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rPr>
      </w:pPr>
      <w:r>
        <w:rPr>
          <w:rFonts w:hint="eastAsia" w:ascii="黑体" w:hAnsi="黑体" w:eastAsia="黑体" w:cs="黑体"/>
          <w:lang w:val="en-US" w:eastAsia="zh-CN"/>
        </w:rPr>
        <w:t>深圳市儿童医院</w:t>
      </w:r>
      <w:r>
        <w:rPr>
          <w:rFonts w:hint="eastAsia" w:ascii="黑体" w:hAnsi="黑体" w:eastAsia="黑体" w:cs="黑体"/>
        </w:rPr>
        <w:t>设备采购需求参数表</w:t>
      </w:r>
    </w:p>
    <w:tbl>
      <w:tblPr>
        <w:tblStyle w:val="8"/>
        <w:tblW w:w="9654" w:type="dxa"/>
        <w:jc w:val="center"/>
        <w:tblLayout w:type="autofit"/>
        <w:tblCellMar>
          <w:top w:w="0" w:type="dxa"/>
          <w:left w:w="108" w:type="dxa"/>
          <w:bottom w:w="0" w:type="dxa"/>
          <w:right w:w="108" w:type="dxa"/>
        </w:tblCellMar>
      </w:tblPr>
      <w:tblGrid>
        <w:gridCol w:w="660"/>
        <w:gridCol w:w="1117"/>
        <w:gridCol w:w="7877"/>
      </w:tblGrid>
      <w:tr>
        <w:tblPrEx>
          <w:tblCellMar>
            <w:top w:w="0" w:type="dxa"/>
            <w:left w:w="108" w:type="dxa"/>
            <w:bottom w:w="0" w:type="dxa"/>
            <w:right w:w="108" w:type="dxa"/>
          </w:tblCellMar>
        </w:tblPrEx>
        <w:trPr>
          <w:trHeight w:val="510"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14:textFill>
                  <w14:solidFill>
                    <w14:schemeClr w14:val="tx1"/>
                  </w14:solidFill>
                </w14:textFill>
              </w:rPr>
            </w:pPr>
            <w:r>
              <w:rPr>
                <w:rFonts w:hint="default" w:ascii="Times New Roman" w:hAnsi="Times New Roman" w:cs="Times New Roman"/>
                <w:b/>
                <w:bCs/>
                <w:color w:val="000000" w:themeColor="text1"/>
                <w:kern w:val="0"/>
                <w:sz w:val="22"/>
                <w14:textFill>
                  <w14:solidFill>
                    <w14:schemeClr w14:val="tx1"/>
                  </w14:solidFill>
                </w14:textFill>
              </w:rPr>
              <w:t>序号</w:t>
            </w:r>
          </w:p>
        </w:tc>
        <w:tc>
          <w:tcPr>
            <w:tcW w:w="1117"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14:textFill>
                  <w14:solidFill>
                    <w14:schemeClr w14:val="tx1"/>
                  </w14:solidFill>
                </w14:textFill>
              </w:rPr>
            </w:pPr>
            <w:r>
              <w:rPr>
                <w:rFonts w:hint="default" w:ascii="Times New Roman" w:hAnsi="Times New Roman" w:cs="Times New Roman"/>
                <w:b/>
                <w:bCs/>
                <w:color w:val="000000" w:themeColor="text1"/>
                <w:kern w:val="0"/>
                <w:sz w:val="22"/>
                <w14:textFill>
                  <w14:solidFill>
                    <w14:schemeClr w14:val="tx1"/>
                  </w14:solidFill>
                </w14:textFill>
              </w:rPr>
              <w:t>项目名称</w:t>
            </w: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000000" w:themeColor="text1"/>
                <w:kern w:val="0"/>
                <w:sz w:val="22"/>
                <w14:textFill>
                  <w14:solidFill>
                    <w14:schemeClr w14:val="tx1"/>
                  </w14:solidFill>
                </w14:textFill>
              </w:rPr>
            </w:pPr>
            <w:r>
              <w:rPr>
                <w:rFonts w:hint="default" w:ascii="Times New Roman" w:hAnsi="Times New Roman" w:cs="Times New Roman"/>
                <w:b/>
                <w:bCs/>
                <w:color w:val="000000" w:themeColor="text1"/>
                <w:kern w:val="0"/>
                <w:sz w:val="22"/>
                <w14:textFill>
                  <w14:solidFill>
                    <w14:schemeClr w14:val="tx1"/>
                  </w14:solidFill>
                </w14:textFill>
              </w:rPr>
              <w:t>招标事项及要求</w:t>
            </w:r>
          </w:p>
        </w:tc>
      </w:tr>
      <w:tr>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rPr>
              <w:t>1</w:t>
            </w:r>
          </w:p>
        </w:tc>
        <w:tc>
          <w:tcPr>
            <w:tcW w:w="1117" w:type="dxa"/>
            <w:vMerge w:val="restart"/>
            <w:tcBorders>
              <w:top w:val="single" w:color="3F3F3F" w:sz="4" w:space="0"/>
              <w:left w:val="single" w:color="3F3F3F"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lang w:val="en-US" w:eastAsia="zh-CN"/>
              </w:rPr>
              <w:t>全自动血液分析仪（末梢血）</w:t>
            </w: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w:t>
            </w:r>
            <w:r>
              <w:rPr>
                <w:rFonts w:hint="eastAsia" w:ascii="宋体" w:hAnsi="宋体" w:eastAsia="宋体"/>
                <w:sz w:val="20"/>
                <w:szCs w:val="20"/>
                <w:lang w:val="en-US" w:eastAsia="zh-CN"/>
              </w:rPr>
              <w:t>全自动血液细胞分析仪适用于末梢血和静脉血检测（可以根据应用需求设定），</w:t>
            </w:r>
            <w:r>
              <w:rPr>
                <w:rFonts w:ascii="宋体" w:hAnsi="宋体" w:eastAsia="宋体"/>
                <w:sz w:val="20"/>
                <w:szCs w:val="20"/>
              </w:rPr>
              <w:t>单机检测速度：CBC＋DIFF ≥110个样本/小时。（</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shd w:val="clear" w:color="000000" w:fill="FFFFFF"/>
            <w:vAlign w:val="center"/>
          </w:tcPr>
          <w:p>
            <w:pPr>
              <w:widowControl/>
              <w:jc w:val="center"/>
              <w:rPr>
                <w:rFonts w:hint="eastAsia" w:ascii="宋体" w:hAnsi="宋体" w:cs="宋体"/>
                <w:color w:val="3F3F3F"/>
                <w:kern w:val="0"/>
                <w:sz w:val="20"/>
                <w:szCs w:val="20"/>
              </w:rPr>
            </w:pPr>
          </w:p>
        </w:tc>
        <w:tc>
          <w:tcPr>
            <w:tcW w:w="1117" w:type="dxa"/>
            <w:vMerge w:val="continue"/>
            <w:tcBorders>
              <w:left w:val="single" w:color="3F3F3F" w:sz="4" w:space="0"/>
              <w:right w:val="single" w:color="3F3F3F" w:sz="4" w:space="0"/>
            </w:tcBorders>
            <w:shd w:val="clear" w:color="000000" w:fill="FFFFFF"/>
            <w:vAlign w:val="center"/>
          </w:tcPr>
          <w:p>
            <w:pPr>
              <w:widowControl/>
              <w:jc w:val="center"/>
              <w:rPr>
                <w:rFonts w:hint="eastAsia" w:ascii="宋体" w:hAnsi="宋体" w:cs="宋体"/>
                <w:b/>
                <w:bCs/>
                <w:color w:val="3F3F3F"/>
                <w:kern w:val="0"/>
                <w:sz w:val="18"/>
                <w:szCs w:val="18"/>
                <w:lang w:val="en-US" w:eastAsia="zh-CN"/>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2.</w:t>
            </w:r>
            <w:r>
              <w:rPr>
                <w:rFonts w:ascii="宋体" w:hAnsi="宋体" w:eastAsia="宋体"/>
                <w:sz w:val="20"/>
                <w:szCs w:val="20"/>
              </w:rPr>
              <w:t>体液报告参数：体液分析报告参数≥7个。</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3.</w:t>
            </w:r>
            <w:r>
              <w:rPr>
                <w:rFonts w:ascii="宋体" w:hAnsi="宋体" w:eastAsia="宋体"/>
                <w:sz w:val="20"/>
                <w:szCs w:val="20"/>
              </w:rPr>
              <w:t>▲直方图散点图：直方图≥2个；二维散点图≥3个；三维散点图≥2个。（</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4.</w:t>
            </w:r>
            <w:r>
              <w:rPr>
                <w:rFonts w:ascii="宋体" w:hAnsi="宋体" w:eastAsia="宋体"/>
                <w:sz w:val="20"/>
                <w:szCs w:val="20"/>
              </w:rPr>
              <w:t>样本用量：末梢全血可自动批量进样或手动进样；末梢全血检测CDR+CRP用血量≤37μl，预稀释模式CDR+CRP用血量≤20μl。</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5.</w:t>
            </w:r>
            <w:r>
              <w:rPr>
                <w:rFonts w:ascii="宋体" w:hAnsi="宋体" w:eastAsia="宋体"/>
                <w:sz w:val="20"/>
                <w:szCs w:val="20"/>
              </w:rPr>
              <w:t>全自动血液细胞分析仪标配自动进样器，自动进样器内轨标配回退功能。</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6.</w:t>
            </w:r>
            <w:r>
              <w:rPr>
                <w:rFonts w:ascii="宋体" w:hAnsi="宋体" w:eastAsia="宋体"/>
                <w:sz w:val="20"/>
                <w:szCs w:val="20"/>
              </w:rPr>
              <w:t>具有全自动体液（含胸水、腹水、脑脊液和浆膜液等体液）细胞计数和对体液中的白细胞进行分类的功能；具有通过高荧光体液细胞参数对肿瘤细胞进行提示功能。</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7.</w:t>
            </w:r>
            <w:r>
              <w:rPr>
                <w:rFonts w:ascii="宋体" w:hAnsi="宋体" w:eastAsia="宋体"/>
                <w:sz w:val="20"/>
                <w:szCs w:val="20"/>
              </w:rPr>
              <w:t>末梢全血预稀释模式也能进行白细胞五分类、有核红细胞、网织红细胞和CRP、SAA检测，有急诊插入功能。</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8.</w:t>
            </w:r>
            <w:r>
              <w:rPr>
                <w:rFonts w:ascii="宋体" w:hAnsi="宋体" w:eastAsia="宋体"/>
                <w:sz w:val="20"/>
                <w:szCs w:val="20"/>
              </w:rPr>
              <w:t>使用荧光染料和半导体激光检测WBC五分类，并具有有核红细胞实测功能，能自动进行对白细胞计数的校正。</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9.</w:t>
            </w:r>
            <w:r>
              <w:rPr>
                <w:rFonts w:ascii="宋体" w:hAnsi="宋体" w:eastAsia="宋体"/>
                <w:sz w:val="20"/>
                <w:szCs w:val="20"/>
              </w:rPr>
              <w:t>具有全自动网织红细胞检测功能，可对网织红进行分型，提供网织红成熟度指数，网织红细胞检测无需机外染色处理。</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10.</w:t>
            </w:r>
            <w:r>
              <w:rPr>
                <w:rFonts w:ascii="宋体" w:hAnsi="宋体" w:eastAsia="宋体"/>
                <w:sz w:val="20"/>
                <w:szCs w:val="20"/>
              </w:rPr>
              <w:t>具有检测网织红细胞血红蛋白含量的功能，以帮助判断贫血的类型。</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11.</w:t>
            </w:r>
            <w:r>
              <w:rPr>
                <w:rFonts w:ascii="宋体" w:hAnsi="宋体" w:eastAsia="宋体"/>
                <w:sz w:val="20"/>
                <w:szCs w:val="20"/>
              </w:rPr>
              <w:t>血小板检测采用鞘流阻抗法和荧光染色法两种方法，并可转换。</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12.</w:t>
            </w:r>
            <w:r>
              <w:rPr>
                <w:rFonts w:ascii="宋体" w:hAnsi="宋体" w:eastAsia="宋体"/>
                <w:sz w:val="20"/>
                <w:szCs w:val="20"/>
              </w:rPr>
              <w:t>具有低值血小板检测功能，如遇血小板低值时通过自动增加计数颗粒数量来保证血小板检测精度。</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13.</w:t>
            </w:r>
            <w:r>
              <w:rPr>
                <w:rFonts w:ascii="宋体" w:hAnsi="宋体" w:eastAsia="宋体"/>
                <w:sz w:val="20"/>
                <w:szCs w:val="20"/>
              </w:rPr>
              <w:t>血液分析仪主机自带≥10寸大屏幕彩色液晶触摸屏。（</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14.</w:t>
            </w:r>
            <w:r>
              <w:rPr>
                <w:rFonts w:ascii="宋体" w:hAnsi="宋体" w:eastAsia="宋体"/>
                <w:sz w:val="20"/>
                <w:szCs w:val="20"/>
              </w:rPr>
              <w:t>▲血液分析线性范围（静脉血）：白细胞：（0-490）×10^9/L，红细胞：（0-8.0）×10^12/L，血小板：（0-4900）×10^9/L。（线性范围上限可高于要求，不能低于此要求；</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15.</w:t>
            </w:r>
            <w:r>
              <w:rPr>
                <w:rFonts w:ascii="宋体" w:hAnsi="宋体" w:eastAsia="宋体"/>
                <w:sz w:val="20"/>
                <w:szCs w:val="20"/>
              </w:rPr>
              <w:t>血液模式空白计数要求：白细胞≤0.1×10^9/L，红细胞≤0.02×10^12/L，血红蛋白≤1g/L，阻抗法血小板≤5×10^9/L。</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16.</w:t>
            </w:r>
            <w:r>
              <w:rPr>
                <w:rFonts w:ascii="宋体" w:hAnsi="宋体" w:eastAsia="宋体"/>
                <w:sz w:val="20"/>
                <w:szCs w:val="20"/>
              </w:rPr>
              <w:t>特定蛋白分析线性范围：CRP：0.2-320mg/L。（</w:t>
            </w:r>
            <w:r>
              <w:rPr>
                <w:rFonts w:hint="eastAsia" w:ascii="宋体" w:hAnsi="宋体" w:eastAsia="宋体"/>
                <w:sz w:val="20"/>
                <w:szCs w:val="20"/>
                <w:lang w:eastAsia="zh-CN"/>
              </w:rPr>
              <w:t>须提供厂家公开发行的产品彩页加盖厂家公章证明</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17.</w:t>
            </w:r>
            <w:r>
              <w:rPr>
                <w:rFonts w:ascii="宋体" w:hAnsi="宋体" w:eastAsia="宋体"/>
                <w:sz w:val="20"/>
                <w:szCs w:val="20"/>
              </w:rPr>
              <w:t>高值标本自动检测：仪器可自动识别、回退、稀释高值SAA样本，避免假低报告发出。</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eastAsia" w:ascii="宋体" w:hAnsi="宋体" w:eastAsia="宋体" w:cs="Times New Roman"/>
                <w:kern w:val="2"/>
                <w:sz w:val="20"/>
                <w:szCs w:val="20"/>
                <w:lang w:val="en-US" w:eastAsia="zh-CN" w:bidi="ar-SA"/>
              </w:rPr>
            </w:pPr>
            <w:r>
              <w:rPr>
                <w:rFonts w:hint="eastAsia" w:ascii="宋体" w:hAnsi="宋体"/>
                <w:sz w:val="20"/>
                <w:szCs w:val="20"/>
                <w:lang w:val="en-US" w:eastAsia="zh-CN"/>
              </w:rPr>
              <w:t>18.</w:t>
            </w:r>
            <w:r>
              <w:rPr>
                <w:rFonts w:ascii="宋体" w:hAnsi="宋体" w:eastAsia="宋体"/>
                <w:sz w:val="20"/>
                <w:szCs w:val="20"/>
              </w:rPr>
              <w:t>CRP和 SAA提供有溯源性的有证血液校准物</w:t>
            </w:r>
            <w:r>
              <w:rPr>
                <w:rFonts w:hint="eastAsia" w:ascii="宋体" w:hAnsi="宋体" w:eastAsia="宋体"/>
                <w:sz w:val="20"/>
                <w:szCs w:val="20"/>
                <w:lang w:eastAsia="zh-CN"/>
              </w:rPr>
              <w:t>，</w:t>
            </w:r>
            <w:r>
              <w:rPr>
                <w:rFonts w:hint="eastAsia" w:ascii="宋体" w:hAnsi="宋体" w:eastAsia="宋体"/>
                <w:sz w:val="20"/>
                <w:szCs w:val="20"/>
                <w:lang w:val="en-US" w:eastAsia="zh-CN"/>
              </w:rPr>
              <w:t>以保证检测结果的量值溯源与结果的准确性</w:t>
            </w:r>
            <w:r>
              <w:rPr>
                <w:rFonts w:ascii="宋体" w:hAnsi="宋体" w:eastAsia="宋体"/>
                <w:sz w:val="20"/>
                <w:szCs w:val="20"/>
              </w:rPr>
              <w:t>。</w:t>
            </w:r>
          </w:p>
        </w:tc>
      </w:tr>
      <w:tr>
        <w:tblPrEx>
          <w:tblCellMar>
            <w:top w:w="0" w:type="dxa"/>
            <w:left w:w="108" w:type="dxa"/>
            <w:bottom w:w="0" w:type="dxa"/>
            <w:right w:w="108" w:type="dxa"/>
          </w:tblCellMar>
        </w:tblPrEx>
        <w:trPr>
          <w:trHeight w:val="454" w:hRule="atLeast"/>
          <w:jc w:val="center"/>
        </w:trPr>
        <w:tc>
          <w:tcPr>
            <w:tcW w:w="660" w:type="dxa"/>
            <w:vMerge w:val="continue"/>
            <w:tcBorders>
              <w:top w:val="nil"/>
              <w:left w:val="single" w:color="auto"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117" w:type="dxa"/>
            <w:vMerge w:val="continue"/>
            <w:tcBorders>
              <w:top w:val="single" w:color="3F3F3F" w:sz="4" w:space="0"/>
              <w:left w:val="single" w:color="3F3F3F"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7877" w:type="dxa"/>
            <w:tcBorders>
              <w:top w:val="single" w:color="3F3F3F" w:sz="4" w:space="0"/>
              <w:left w:val="nil"/>
              <w:bottom w:val="single" w:color="auto" w:sz="4" w:space="0"/>
              <w:right w:val="single" w:color="3F3F3F" w:sz="4" w:space="0"/>
            </w:tcBorders>
            <w:shd w:val="clear" w:color="000000" w:fill="FFFFFF"/>
            <w:vAlign w:val="center"/>
          </w:tcPr>
          <w:p>
            <w:pPr>
              <w:numPr>
                <w:ilvl w:val="0"/>
                <w:numId w:val="0"/>
              </w:numPr>
              <w:spacing w:line="240" w:lineRule="auto"/>
              <w:ind w:leftChars="0"/>
              <w:jc w:val="both"/>
              <w:rPr>
                <w:rFonts w:hint="eastAsia"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配置清单：</w:t>
            </w:r>
          </w:p>
          <w:p>
            <w:pPr>
              <w:numPr>
                <w:ilvl w:val="0"/>
                <w:numId w:val="0"/>
              </w:numPr>
              <w:spacing w:line="240" w:lineRule="auto"/>
              <w:ind w:leftChars="0"/>
              <w:jc w:val="both"/>
              <w:rPr>
                <w:rFonts w:hint="default" w:ascii="宋体" w:hAnsi="宋体" w:cs="宋体"/>
                <w:color w:val="000000" w:themeColor="text1"/>
                <w:sz w:val="22"/>
                <w:szCs w:val="22"/>
                <w:lang w:val="en-US" w:eastAsia="zh-CN"/>
                <w14:textFill>
                  <w14:solidFill>
                    <w14:schemeClr w14:val="tx1"/>
                  </w14:solidFill>
                </w14:textFill>
              </w:rPr>
            </w:pPr>
            <w:r>
              <w:rPr>
                <w:rFonts w:hint="eastAsia" w:ascii="宋体" w:hAnsi="宋体" w:cs="宋体"/>
                <w:color w:val="000000" w:themeColor="text1"/>
                <w:sz w:val="22"/>
                <w:szCs w:val="22"/>
                <w:lang w:val="en-US" w:eastAsia="zh-CN"/>
                <w14:textFill>
                  <w14:solidFill>
                    <w14:schemeClr w14:val="tx1"/>
                  </w14:solidFill>
                </w14:textFill>
              </w:rPr>
              <w:t xml:space="preserve"> </w:t>
            </w:r>
            <w:bookmarkStart w:id="0" w:name="_GoBack"/>
            <w:bookmarkEnd w:id="0"/>
          </w:p>
          <w:tbl>
            <w:tblPr>
              <w:tblStyle w:val="8"/>
              <w:tblpPr w:leftFromText="180" w:rightFromText="180" w:vertAnchor="text" w:horzAnchor="page" w:tblpX="619" w:tblpY="195"/>
              <w:tblOverlap w:val="never"/>
              <w:tblW w:w="6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8"/>
              <w:gridCol w:w="2732"/>
              <w:gridCol w:w="718"/>
              <w:gridCol w:w="1018"/>
              <w:gridCol w:w="12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868" w:type="dxa"/>
                  <w:shd w:val="clear" w:color="auto" w:fill="auto"/>
                </w:tcPr>
                <w:p>
                  <w:pPr>
                    <w:widowControl/>
                    <w:jc w:val="both"/>
                    <w:rPr>
                      <w:rFonts w:ascii="宋体" w:hAnsi="宋体" w:eastAsia="宋体"/>
                    </w:rPr>
                  </w:pPr>
                  <w:r>
                    <w:rPr>
                      <w:rFonts w:hint="eastAsia" w:ascii="宋体" w:hAnsi="宋体" w:eastAsia="宋体"/>
                    </w:rPr>
                    <w:t>序号</w:t>
                  </w:r>
                </w:p>
              </w:tc>
              <w:tc>
                <w:tcPr>
                  <w:tcW w:w="2732" w:type="dxa"/>
                  <w:shd w:val="clear" w:color="auto" w:fill="auto"/>
                </w:tcPr>
                <w:p>
                  <w:pPr>
                    <w:widowControl/>
                    <w:jc w:val="both"/>
                    <w:rPr>
                      <w:rFonts w:ascii="宋体" w:hAnsi="宋体" w:eastAsia="宋体"/>
                    </w:rPr>
                  </w:pPr>
                  <w:r>
                    <w:rPr>
                      <w:rFonts w:hint="eastAsia" w:ascii="宋体" w:hAnsi="宋体" w:eastAsia="宋体"/>
                    </w:rPr>
                    <w:t>名称</w:t>
                  </w:r>
                </w:p>
              </w:tc>
              <w:tc>
                <w:tcPr>
                  <w:tcW w:w="718" w:type="dxa"/>
                  <w:shd w:val="clear" w:color="auto" w:fill="auto"/>
                </w:tcPr>
                <w:p>
                  <w:pPr>
                    <w:widowControl/>
                    <w:jc w:val="both"/>
                    <w:rPr>
                      <w:rFonts w:ascii="宋体" w:hAnsi="宋体" w:eastAsia="宋体"/>
                    </w:rPr>
                  </w:pPr>
                  <w:r>
                    <w:rPr>
                      <w:rFonts w:hint="eastAsia" w:ascii="宋体" w:hAnsi="宋体" w:eastAsia="宋体"/>
                    </w:rPr>
                    <w:t>数量</w:t>
                  </w:r>
                </w:p>
              </w:tc>
              <w:tc>
                <w:tcPr>
                  <w:tcW w:w="1018" w:type="dxa"/>
                  <w:shd w:val="clear" w:color="auto" w:fill="auto"/>
                </w:tcPr>
                <w:p>
                  <w:pPr>
                    <w:widowControl/>
                    <w:jc w:val="both"/>
                    <w:rPr>
                      <w:rFonts w:ascii="宋体" w:hAnsi="宋体" w:eastAsia="宋体"/>
                    </w:rPr>
                  </w:pPr>
                  <w:r>
                    <w:rPr>
                      <w:rFonts w:hint="eastAsia" w:ascii="宋体" w:hAnsi="宋体" w:eastAsia="宋体"/>
                    </w:rPr>
                    <w:t>单位</w:t>
                  </w:r>
                </w:p>
              </w:tc>
              <w:tc>
                <w:tcPr>
                  <w:tcW w:w="1286" w:type="dxa"/>
                  <w:shd w:val="clear" w:color="auto" w:fill="auto"/>
                </w:tcPr>
                <w:p>
                  <w:pPr>
                    <w:widowControl/>
                    <w:jc w:val="both"/>
                    <w:rPr>
                      <w:rFonts w:ascii="宋体" w:hAnsi="宋体" w:eastAsia="宋体"/>
                    </w:rPr>
                  </w:pPr>
                  <w:r>
                    <w:rPr>
                      <w:rFonts w:hint="eastAsia" w:ascii="宋体" w:hAnsi="宋体" w:eastAsia="宋体"/>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trPr>
              <w:tc>
                <w:tcPr>
                  <w:tcW w:w="868" w:type="dxa"/>
                  <w:shd w:val="clear" w:color="auto" w:fill="auto"/>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2732"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血细胞分析仪主机</w:t>
                  </w:r>
                </w:p>
              </w:tc>
              <w:tc>
                <w:tcPr>
                  <w:tcW w:w="718"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1018" w:type="dxa"/>
                  <w:shd w:val="clear" w:color="auto" w:fill="auto"/>
                </w:tcPr>
                <w:p>
                  <w:pPr>
                    <w:widowControl/>
                    <w:jc w:val="both"/>
                    <w:rPr>
                      <w:rFonts w:ascii="宋体" w:hAnsi="宋体" w:eastAsia="宋体"/>
                    </w:rPr>
                  </w:pPr>
                  <w:r>
                    <w:rPr>
                      <w:rFonts w:hint="eastAsia" w:ascii="宋体" w:hAnsi="宋体" w:eastAsia="宋体"/>
                    </w:rPr>
                    <w:t>台</w:t>
                  </w:r>
                </w:p>
              </w:tc>
              <w:tc>
                <w:tcPr>
                  <w:tcW w:w="1286" w:type="dxa"/>
                  <w:shd w:val="clear" w:color="auto" w:fill="auto"/>
                </w:tcPr>
                <w:p>
                  <w:pPr>
                    <w:widowControl/>
                    <w:jc w:val="both"/>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68" w:type="dxa"/>
                  <w:shd w:val="clear" w:color="auto" w:fill="auto"/>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2</w:t>
                  </w:r>
                </w:p>
              </w:tc>
              <w:tc>
                <w:tcPr>
                  <w:tcW w:w="2732"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电脑主机</w:t>
                  </w:r>
                </w:p>
              </w:tc>
              <w:tc>
                <w:tcPr>
                  <w:tcW w:w="718"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1018" w:type="dxa"/>
                  <w:shd w:val="clear" w:color="auto" w:fill="auto"/>
                </w:tcPr>
                <w:p>
                  <w:pPr>
                    <w:widowControl/>
                    <w:jc w:val="both"/>
                    <w:rPr>
                      <w:rFonts w:ascii="宋体" w:hAnsi="宋体" w:eastAsia="宋体"/>
                    </w:rPr>
                  </w:pPr>
                  <w:r>
                    <w:rPr>
                      <w:rFonts w:hint="eastAsia" w:ascii="宋体" w:hAnsi="宋体" w:eastAsia="宋体"/>
                    </w:rPr>
                    <w:t>台</w:t>
                  </w:r>
                </w:p>
              </w:tc>
              <w:tc>
                <w:tcPr>
                  <w:tcW w:w="1286" w:type="dxa"/>
                  <w:shd w:val="clear" w:color="auto" w:fill="auto"/>
                </w:tcPr>
                <w:p>
                  <w:pPr>
                    <w:widowControl/>
                    <w:jc w:val="both"/>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68" w:type="dxa"/>
                  <w:shd w:val="clear" w:color="auto" w:fill="auto"/>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3</w:t>
                  </w:r>
                </w:p>
              </w:tc>
              <w:tc>
                <w:tcPr>
                  <w:tcW w:w="2732"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显示器</w:t>
                  </w:r>
                </w:p>
              </w:tc>
              <w:tc>
                <w:tcPr>
                  <w:tcW w:w="718"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1018" w:type="dxa"/>
                  <w:shd w:val="clear" w:color="auto" w:fill="auto"/>
                </w:tcPr>
                <w:p>
                  <w:pPr>
                    <w:widowControl/>
                    <w:jc w:val="both"/>
                    <w:rPr>
                      <w:rFonts w:ascii="宋体" w:hAnsi="宋体" w:eastAsia="宋体"/>
                    </w:rPr>
                  </w:pPr>
                  <w:r>
                    <w:rPr>
                      <w:rFonts w:hint="eastAsia" w:ascii="宋体" w:hAnsi="宋体" w:eastAsia="宋体"/>
                    </w:rPr>
                    <w:t>台</w:t>
                  </w:r>
                </w:p>
              </w:tc>
              <w:tc>
                <w:tcPr>
                  <w:tcW w:w="1286" w:type="dxa"/>
                  <w:shd w:val="clear" w:color="auto" w:fill="auto"/>
                </w:tcPr>
                <w:p>
                  <w:pPr>
                    <w:widowControl/>
                    <w:jc w:val="both"/>
                    <w:rPr>
                      <w:rFonts w:ascii="宋体" w:hAnsi="宋体" w:eastAsia="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trPr>
              <w:tc>
                <w:tcPr>
                  <w:tcW w:w="868"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4</w:t>
                  </w:r>
                </w:p>
              </w:tc>
              <w:tc>
                <w:tcPr>
                  <w:tcW w:w="2732"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外置条码扫描仪</w:t>
                  </w:r>
                </w:p>
              </w:tc>
              <w:tc>
                <w:tcPr>
                  <w:tcW w:w="718" w:type="dxa"/>
                  <w:shd w:val="clear" w:color="auto" w:fill="auto"/>
                  <w:vAlign w:val="center"/>
                </w:tcPr>
                <w:p>
                  <w:pPr>
                    <w:widowControl/>
                    <w:jc w:val="both"/>
                    <w:textAlignment w:val="center"/>
                    <w:rPr>
                      <w:rFonts w:ascii="宋体" w:hAnsi="宋体" w:eastAsia="宋体" w:cs="宋体"/>
                      <w:color w:val="000000"/>
                      <w:kern w:val="0"/>
                      <w:sz w:val="22"/>
                      <w:lang w:bidi="ar"/>
                    </w:rPr>
                  </w:pPr>
                  <w:r>
                    <w:rPr>
                      <w:rFonts w:hint="eastAsia" w:ascii="宋体" w:hAnsi="宋体" w:eastAsia="宋体" w:cs="宋体"/>
                      <w:color w:val="000000"/>
                      <w:kern w:val="0"/>
                      <w:sz w:val="22"/>
                      <w:lang w:bidi="ar"/>
                    </w:rPr>
                    <w:t>1</w:t>
                  </w:r>
                </w:p>
              </w:tc>
              <w:tc>
                <w:tcPr>
                  <w:tcW w:w="1018" w:type="dxa"/>
                  <w:shd w:val="clear" w:color="auto" w:fill="auto"/>
                </w:tcPr>
                <w:p>
                  <w:pPr>
                    <w:widowControl/>
                    <w:jc w:val="both"/>
                    <w:rPr>
                      <w:rFonts w:ascii="宋体" w:hAnsi="宋体" w:eastAsia="宋体"/>
                    </w:rPr>
                  </w:pPr>
                  <w:r>
                    <w:rPr>
                      <w:rFonts w:hint="eastAsia" w:ascii="宋体" w:hAnsi="宋体" w:eastAsia="宋体"/>
                    </w:rPr>
                    <w:t>个</w:t>
                  </w:r>
                </w:p>
              </w:tc>
              <w:tc>
                <w:tcPr>
                  <w:tcW w:w="1286" w:type="dxa"/>
                  <w:shd w:val="clear" w:color="auto" w:fill="auto"/>
                </w:tcPr>
                <w:p>
                  <w:pPr>
                    <w:widowControl/>
                    <w:jc w:val="both"/>
                    <w:rPr>
                      <w:rFonts w:ascii="宋体" w:hAnsi="宋体" w:eastAsia="宋体"/>
                    </w:rPr>
                  </w:pPr>
                </w:p>
              </w:tc>
            </w:tr>
          </w:tbl>
          <w:p>
            <w:pPr>
              <w:numPr>
                <w:ilvl w:val="0"/>
                <w:numId w:val="0"/>
              </w:numPr>
              <w:spacing w:line="240" w:lineRule="auto"/>
              <w:ind w:leftChars="0"/>
              <w:jc w:val="both"/>
              <w:rPr>
                <w:rFonts w:hint="default" w:ascii="宋体" w:hAnsi="宋体" w:cs="宋体"/>
                <w:color w:val="000000" w:themeColor="text1"/>
                <w:sz w:val="22"/>
                <w:szCs w:val="22"/>
                <w:lang w:val="en-US" w:eastAsia="zh-CN"/>
                <w14:textFill>
                  <w14:solidFill>
                    <w14:schemeClr w14:val="tx1"/>
                  </w14:solidFill>
                </w14:textFill>
              </w:rPr>
            </w:pPr>
          </w:p>
        </w:tc>
      </w:tr>
    </w:tbl>
    <w:p>
      <w:pPr>
        <w:pStyle w:val="3"/>
        <w:bidi w:val="0"/>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专用</w:t>
      </w:r>
      <w:r>
        <w:rPr>
          <w:rFonts w:hint="eastAsia" w:ascii="宋体" w:hAnsi="宋体" w:cs="宋体"/>
          <w:b/>
          <w:bCs/>
          <w:color w:val="FF0000"/>
          <w:kern w:val="0"/>
          <w:sz w:val="28"/>
          <w:szCs w:val="28"/>
          <w:lang w:eastAsia="zh-CN"/>
        </w:rPr>
        <w:t>☑</w:t>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序号</w:t>
            </w:r>
          </w:p>
        </w:tc>
        <w:tc>
          <w:tcPr>
            <w:tcW w:w="5094"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名称</w:t>
            </w:r>
          </w:p>
        </w:tc>
        <w:tc>
          <w:tcPr>
            <w:tcW w:w="1985"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单位</w:t>
            </w:r>
          </w:p>
        </w:tc>
        <w:tc>
          <w:tcPr>
            <w:tcW w:w="2126"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60"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rPr>
              <w:t>1</w:t>
            </w:r>
          </w:p>
        </w:tc>
        <w:tc>
          <w:tcPr>
            <w:tcW w:w="5094"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lang w:val="en-US" w:eastAsia="zh-CN"/>
              </w:rPr>
              <w:t>穿刺针</w:t>
            </w:r>
          </w:p>
        </w:tc>
        <w:tc>
          <w:tcPr>
            <w:tcW w:w="1985"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lang w:val="en-US" w:eastAsia="zh-CN"/>
              </w:rPr>
              <w:t>件</w:t>
            </w:r>
          </w:p>
        </w:tc>
        <w:tc>
          <w:tcPr>
            <w:tcW w:w="2126" w:type="dxa"/>
            <w:vAlign w:val="center"/>
          </w:tcPr>
          <w:p>
            <w:pPr>
              <w:jc w:val="center"/>
              <w:rPr>
                <w:rFonts w:hint="eastAsia" w:ascii="宋体" w:hAnsi="宋体" w:eastAsia="宋体" w:cs="宋体"/>
                <w:b/>
                <w:sz w:val="22"/>
                <w:szCs w:val="22"/>
              </w:rPr>
            </w:pPr>
            <w:r>
              <w:rPr>
                <w:rFonts w:hint="eastAsia" w:ascii="宋体" w:hAnsi="宋体" w:eastAsia="宋体" w:cs="宋体"/>
                <w:b/>
                <w:sz w:val="22"/>
                <w:szCs w:val="22"/>
                <w:lang w:val="en-US" w:eastAsia="zh-CN"/>
              </w:rPr>
              <w:t>8000</w:t>
            </w:r>
          </w:p>
        </w:tc>
      </w:tr>
    </w:tbl>
    <w:p>
      <w:pPr>
        <w:jc w:val="left"/>
        <w:rPr>
          <w:rFonts w:ascii="Times New Roman" w:hAnsi="Times New Roman"/>
          <w:szCs w:val="21"/>
        </w:rPr>
      </w:pP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bCs w:val="0"/>
                <w:color w:val="000000" w:themeColor="text1"/>
                <w:sz w:val="22"/>
                <w:szCs w:val="22"/>
                <w14:textFill>
                  <w14:solidFill>
                    <w14:schemeClr w14:val="tx1"/>
                  </w14:solidFill>
                </w14:textFill>
              </w:rPr>
            </w:pPr>
            <w:r>
              <w:rPr>
                <w:rFonts w:hint="default" w:ascii="Times New Roman" w:hAnsi="Times New Roman" w:eastAsia="宋体" w:cs="Times New Roman"/>
                <w:b/>
                <w:bCs w:val="0"/>
                <w:color w:val="000000" w:themeColor="text1"/>
                <w:sz w:val="22"/>
                <w:szCs w:val="22"/>
                <w14:textFill>
                  <w14:solidFill>
                    <w14:schemeClr w14:val="tx1"/>
                  </w14:solidFill>
                </w14:textFill>
              </w:rPr>
              <w:t>序号</w:t>
            </w:r>
          </w:p>
        </w:tc>
        <w:tc>
          <w:tcPr>
            <w:tcW w:w="5107" w:type="dxa"/>
            <w:vAlign w:val="center"/>
          </w:tcPr>
          <w:p>
            <w:pPr>
              <w:jc w:val="center"/>
              <w:rPr>
                <w:rFonts w:hint="default" w:ascii="Times New Roman" w:hAnsi="Times New Roman" w:eastAsia="宋体" w:cs="Times New Roman"/>
                <w:b/>
                <w:bCs w:val="0"/>
                <w:color w:val="000000" w:themeColor="text1"/>
                <w:sz w:val="22"/>
                <w:szCs w:val="22"/>
                <w14:textFill>
                  <w14:solidFill>
                    <w14:schemeClr w14:val="tx1"/>
                  </w14:solidFill>
                </w14:textFill>
              </w:rPr>
            </w:pPr>
            <w:r>
              <w:rPr>
                <w:rFonts w:hint="default" w:ascii="Times New Roman" w:hAnsi="Times New Roman" w:eastAsia="宋体" w:cs="Times New Roman"/>
                <w:b/>
                <w:bCs w:val="0"/>
                <w:color w:val="000000" w:themeColor="text1"/>
                <w:sz w:val="22"/>
                <w:szCs w:val="22"/>
                <w14:textFill>
                  <w14:solidFill>
                    <w14:schemeClr w14:val="tx1"/>
                  </w14:solidFill>
                </w14:textFill>
              </w:rPr>
              <w:t>名称</w:t>
            </w:r>
          </w:p>
        </w:tc>
        <w:tc>
          <w:tcPr>
            <w:tcW w:w="1985" w:type="dxa"/>
            <w:vAlign w:val="center"/>
          </w:tcPr>
          <w:p>
            <w:pPr>
              <w:jc w:val="center"/>
              <w:rPr>
                <w:rFonts w:hint="default" w:ascii="Times New Roman" w:hAnsi="Times New Roman" w:eastAsia="宋体" w:cs="Times New Roman"/>
                <w:b/>
                <w:bCs w:val="0"/>
                <w:color w:val="000000" w:themeColor="text1"/>
                <w:sz w:val="22"/>
                <w:szCs w:val="22"/>
                <w14:textFill>
                  <w14:solidFill>
                    <w14:schemeClr w14:val="tx1"/>
                  </w14:solidFill>
                </w14:textFill>
              </w:rPr>
            </w:pPr>
            <w:r>
              <w:rPr>
                <w:rFonts w:hint="default" w:ascii="Times New Roman" w:hAnsi="Times New Roman" w:eastAsia="宋体" w:cs="Times New Roman"/>
                <w:b/>
                <w:bCs w:val="0"/>
                <w:color w:val="000000" w:themeColor="text1"/>
                <w:sz w:val="22"/>
                <w:szCs w:val="22"/>
                <w14:textFill>
                  <w14:solidFill>
                    <w14:schemeClr w14:val="tx1"/>
                  </w14:solidFill>
                </w14:textFill>
              </w:rPr>
              <w:t>单位</w:t>
            </w:r>
          </w:p>
        </w:tc>
        <w:tc>
          <w:tcPr>
            <w:tcW w:w="2126" w:type="dxa"/>
            <w:vAlign w:val="center"/>
          </w:tcPr>
          <w:p>
            <w:pPr>
              <w:jc w:val="center"/>
              <w:rPr>
                <w:rFonts w:hint="eastAsia" w:ascii="Times New Roman" w:hAnsi="Times New Roman" w:eastAsia="宋体" w:cs="Times New Roman"/>
                <w:b/>
                <w:bCs w:val="0"/>
                <w:color w:val="000000" w:themeColor="text1"/>
                <w:sz w:val="22"/>
                <w:szCs w:val="22"/>
                <w:lang w:eastAsia="zh-CN"/>
                <w14:textFill>
                  <w14:solidFill>
                    <w14:schemeClr w14:val="tx1"/>
                  </w14:solidFill>
                </w14:textFill>
              </w:rPr>
            </w:pPr>
            <w:r>
              <w:rPr>
                <w:rFonts w:hint="default" w:ascii="Times New Roman" w:hAnsi="Times New Roman" w:eastAsia="宋体" w:cs="Times New Roman"/>
                <w:b/>
                <w:bCs w:val="0"/>
                <w:color w:val="000000" w:themeColor="text1"/>
                <w:sz w:val="22"/>
                <w:szCs w:val="22"/>
                <w14:textFill>
                  <w14:solidFill>
                    <w14:schemeClr w14:val="tx1"/>
                  </w14:solidFill>
                </w14:textFill>
              </w:rPr>
              <w:t>预算单价</w:t>
            </w:r>
            <w:r>
              <w:rPr>
                <w:rFonts w:hint="eastAsia" w:ascii="Times New Roman" w:hAnsi="Times New Roman" w:cs="Times New Roman"/>
                <w:b/>
                <w:bCs w:val="0"/>
                <w:color w:val="000000" w:themeColor="text1"/>
                <w:sz w:val="22"/>
                <w:szCs w:val="22"/>
                <w:lang w:eastAsia="zh-CN"/>
                <w14:textFill>
                  <w14:solidFill>
                    <w14:schemeClr w14:val="tx1"/>
                  </w14:solidFill>
                </w14:textFill>
              </w:rPr>
              <w:t>（</w:t>
            </w:r>
            <w:r>
              <w:rPr>
                <w:rFonts w:hint="eastAsia" w:ascii="Times New Roman" w:hAnsi="Times New Roman" w:cs="Times New Roman"/>
                <w:b/>
                <w:bCs w:val="0"/>
                <w:color w:val="000000" w:themeColor="text1"/>
                <w:sz w:val="22"/>
                <w:szCs w:val="22"/>
                <w:lang w:val="en-US" w:eastAsia="zh-CN"/>
                <w14:textFill>
                  <w14:solidFill>
                    <w14:schemeClr w14:val="tx1"/>
                  </w14:solidFill>
                </w14:textFill>
              </w:rPr>
              <w:t>元</w:t>
            </w:r>
            <w:r>
              <w:rPr>
                <w:rFonts w:hint="eastAsia" w:ascii="Times New Roman" w:hAnsi="Times New Roman" w:cs="Times New Roman"/>
                <w:b/>
                <w:bCs w:val="0"/>
                <w:color w:val="000000" w:themeColor="text1"/>
                <w:sz w:val="22"/>
                <w:szCs w:val="22"/>
                <w:lang w:eastAsia="zh-CN"/>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通道稀释液</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箱</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2</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HGB通道溶血剂</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箱</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3</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白细胞计数通道溶血剂</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箱</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4</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白细胞分类通道溶血剂</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箱</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2670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5</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白细胞计数通道染色液</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5840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6</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白细胞分类通道染色液</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2970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7</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RET通道稀释液</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箱</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8</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RET通道染色液</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3340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9</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血常规质控高值</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支</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10</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血常规质控中值</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支</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11</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血常规质控低值</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支</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12</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RET质控高值</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支</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13</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RET质控中值</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支</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14</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RET质控低值</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支</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15</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血常规校准</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支</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16</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清洁液</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17</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C反应蛋白溶血剂</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箱</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18</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C反应蛋白试剂盒</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2360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19</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C反应蛋白质控品</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3450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20</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C反应蛋白校准品</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21</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SAA试剂盒</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3440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22</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SAA质控品</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84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23</w:t>
            </w:r>
          </w:p>
        </w:tc>
        <w:tc>
          <w:tcPr>
            <w:tcW w:w="5107"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SAA校准品</w:t>
            </w:r>
          </w:p>
        </w:tc>
        <w:tc>
          <w:tcPr>
            <w:tcW w:w="1985"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盒</w:t>
            </w:r>
          </w:p>
        </w:tc>
        <w:tc>
          <w:tcPr>
            <w:tcW w:w="2126" w:type="dxa"/>
            <w:vAlign w:val="center"/>
          </w:tcPr>
          <w:p>
            <w:pPr>
              <w:jc w:val="cente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pPr>
            <w:r>
              <w:rPr>
                <w:rFonts w:hint="default" w:ascii="Times New Roman" w:hAnsi="Times New Roman" w:eastAsia="宋体" w:cs="Times New Roman"/>
                <w:b w:val="0"/>
                <w:bCs/>
                <w:color w:val="000000" w:themeColor="text1"/>
                <w:sz w:val="22"/>
                <w:szCs w:val="22"/>
                <w:lang w:val="en-US" w:eastAsia="zh-CN"/>
                <w14:textFill>
                  <w14:solidFill>
                    <w14:schemeClr w14:val="tx1"/>
                  </w14:solidFill>
                </w14:textFill>
              </w:rPr>
              <w:t>700</w:t>
            </w:r>
          </w:p>
        </w:tc>
      </w:tr>
    </w:tbl>
    <w:p>
      <w:pPr>
        <w:jc w:val="center"/>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04A302D8"/>
    <w:rsid w:val="0DD86610"/>
    <w:rsid w:val="200D3FBF"/>
    <w:rsid w:val="20527BD7"/>
    <w:rsid w:val="255D5826"/>
    <w:rsid w:val="37067D52"/>
    <w:rsid w:val="38A32080"/>
    <w:rsid w:val="3D266927"/>
    <w:rsid w:val="4A190B1F"/>
    <w:rsid w:val="4DC60BF5"/>
    <w:rsid w:val="4E6316DE"/>
    <w:rsid w:val="58711C31"/>
    <w:rsid w:val="59114FB0"/>
    <w:rsid w:val="5C084948"/>
    <w:rsid w:val="6245055F"/>
    <w:rsid w:val="7C2E2604"/>
    <w:rsid w:val="7FF318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autoRedefine/>
    <w:unhideWhenUsed/>
    <w:qFormat/>
    <w:uiPriority w:val="99"/>
    <w:pPr>
      <w:jc w:val="left"/>
    </w:p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kern w:val="0"/>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qFormat/>
    <w:uiPriority w:val="99"/>
    <w:rPr>
      <w:sz w:val="21"/>
      <w:szCs w:val="21"/>
    </w:rPr>
  </w:style>
  <w:style w:type="character" w:customStyle="1" w:styleId="12">
    <w:name w:val="标题 1 字符"/>
    <w:link w:val="2"/>
    <w:autoRedefine/>
    <w:qFormat/>
    <w:uiPriority w:val="9"/>
    <w:rPr>
      <w:b/>
      <w:bCs/>
      <w:kern w:val="44"/>
      <w:sz w:val="44"/>
      <w:szCs w:val="44"/>
    </w:rPr>
  </w:style>
  <w:style w:type="character" w:customStyle="1" w:styleId="13">
    <w:name w:val="批注文字 字符"/>
    <w:link w:val="4"/>
    <w:semiHidden/>
    <w:qFormat/>
    <w:uiPriority w:val="99"/>
    <w:rPr>
      <w:kern w:val="2"/>
      <w:sz w:val="21"/>
      <w:szCs w:val="22"/>
    </w:rPr>
  </w:style>
  <w:style w:type="character" w:customStyle="1" w:styleId="14">
    <w:name w:val="批注框文本 字符"/>
    <w:link w:val="5"/>
    <w:semiHidden/>
    <w:qFormat/>
    <w:uiPriority w:val="99"/>
    <w:rPr>
      <w:kern w:val="2"/>
      <w:sz w:val="18"/>
      <w:szCs w:val="18"/>
    </w:rPr>
  </w:style>
  <w:style w:type="character" w:customStyle="1" w:styleId="15">
    <w:name w:val="页脚 字符"/>
    <w:link w:val="6"/>
    <w:qFormat/>
    <w:uiPriority w:val="99"/>
    <w:rPr>
      <w:sz w:val="18"/>
      <w:szCs w:val="18"/>
    </w:rPr>
  </w:style>
  <w:style w:type="character" w:customStyle="1" w:styleId="16">
    <w:name w:val="页眉 字符"/>
    <w:link w:val="7"/>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Sky123.Org</Company>
  <Pages>3</Pages>
  <Words>1348</Words>
  <Characters>1629</Characters>
  <Lines>10</Lines>
  <Paragraphs>2</Paragraphs>
  <TotalTime>2</TotalTime>
  <ScaleCrop>false</ScaleCrop>
  <LinksUpToDate>false</LinksUpToDate>
  <CharactersWithSpaces>1643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2023-11-02T03:07:00Z</dcterms:created>
  <dc:creator>Sky123.Org</dc:creator>
  <cp:lastModifiedBy>WE</cp:lastModifiedBy>
  <cp:lastPrinted>2020-06-15T03:32:00Z</cp:lastPrinted>
  <dcterms:modified xsi:type="dcterms:W3CDTF">2024-07-09T08:48:33Z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475DC7B2ACD1432B806C1BE37B3B0788_13</vt:lpwstr>
  </property>
</Properties>
</file>