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lang w:val="en-US" w:eastAsia="zh-CN"/>
        </w:rPr>
        <w:t>深圳市儿童医院</w:t>
      </w:r>
      <w:r>
        <w:rPr>
          <w:rFonts w:hint="eastAsia" w:ascii="黑体" w:hAnsi="黑体" w:eastAsia="黑体" w:cs="黑体"/>
        </w:rPr>
        <w:t>设备采购需求参数表</w:t>
      </w:r>
    </w:p>
    <w:tbl>
      <w:tblPr>
        <w:tblStyle w:val="8"/>
        <w:tblW w:w="9962" w:type="dxa"/>
        <w:jc w:val="center"/>
        <w:tblLayout w:type="fixed"/>
        <w:tblCellMar>
          <w:top w:w="0" w:type="dxa"/>
          <w:left w:w="108" w:type="dxa"/>
          <w:bottom w:w="0" w:type="dxa"/>
          <w:right w:w="108" w:type="dxa"/>
        </w:tblCellMar>
      </w:tblPr>
      <w:tblGrid>
        <w:gridCol w:w="658"/>
        <w:gridCol w:w="1104"/>
        <w:gridCol w:w="8200"/>
      </w:tblGrid>
      <w:tr>
        <w:tblPrEx>
          <w:tblCellMar>
            <w:top w:w="0" w:type="dxa"/>
            <w:left w:w="108" w:type="dxa"/>
            <w:bottom w:w="0" w:type="dxa"/>
            <w:right w:w="108" w:type="dxa"/>
          </w:tblCellMar>
        </w:tblPrEx>
        <w:trPr>
          <w:trHeight w:val="567" w:hRule="atLeast"/>
          <w:jc w:val="center"/>
        </w:trPr>
        <w:tc>
          <w:tcPr>
            <w:tcW w:w="65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序号</w:t>
            </w:r>
          </w:p>
        </w:tc>
        <w:tc>
          <w:tcPr>
            <w:tcW w:w="1104"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项目名称</w:t>
            </w: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ascii="宋体" w:hAnsi="宋体" w:cs="宋体"/>
                <w:b/>
                <w:bCs/>
                <w:color w:val="000000" w:themeColor="text1"/>
                <w:kern w:val="0"/>
                <w:sz w:val="22"/>
                <w14:textFill>
                  <w14:solidFill>
                    <w14:schemeClr w14:val="tx1"/>
                  </w14:solidFill>
                </w14:textFill>
              </w:rPr>
            </w:pPr>
            <w:r>
              <w:rPr>
                <w:rFonts w:hint="eastAsia" w:ascii="宋体" w:hAnsi="宋体" w:cs="宋体"/>
                <w:b/>
                <w:bCs/>
                <w:color w:val="000000" w:themeColor="text1"/>
                <w:kern w:val="0"/>
                <w:sz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658" w:type="dxa"/>
            <w:vMerge w:val="restart"/>
            <w:tcBorders>
              <w:top w:val="single" w:color="auto" w:sz="4" w:space="0"/>
              <w:left w:val="single" w:color="auto"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rPr>
              <w:t>1</w:t>
            </w:r>
          </w:p>
        </w:tc>
        <w:tc>
          <w:tcPr>
            <w:tcW w:w="1104"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hint="default" w:ascii="Times New Roman" w:hAnsi="Times New Roman" w:cs="Times New Roman"/>
                <w:b/>
                <w:bCs/>
                <w:color w:val="3F3F3F"/>
                <w:kern w:val="0"/>
                <w:sz w:val="22"/>
                <w:szCs w:val="22"/>
              </w:rPr>
            </w:pPr>
            <w:r>
              <w:rPr>
                <w:rFonts w:hint="default" w:ascii="Times New Roman" w:hAnsi="Times New Roman" w:cs="Times New Roman"/>
                <w:b/>
                <w:bCs/>
                <w:color w:val="3F3F3F"/>
                <w:kern w:val="0"/>
                <w:sz w:val="22"/>
                <w:szCs w:val="22"/>
                <w:lang w:val="en-US" w:eastAsia="zh-CN"/>
              </w:rPr>
              <w:t>全自动血液分析流水线（静脉血）</w:t>
            </w: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w:t>
            </w:r>
            <w:r>
              <w:rPr>
                <w:rFonts w:ascii="宋体" w:hAnsi="宋体" w:eastAsia="宋体"/>
              </w:rPr>
              <w:t>全自动血液分析流水线</w:t>
            </w:r>
            <w:r>
              <w:rPr>
                <w:rFonts w:hint="eastAsia" w:ascii="宋体" w:hAnsi="宋体" w:eastAsia="宋体"/>
                <w:lang w:val="en-US" w:eastAsia="zh-CN"/>
              </w:rPr>
              <w:t>系统</w:t>
            </w:r>
            <w:r>
              <w:rPr>
                <w:rFonts w:ascii="宋体" w:hAnsi="宋体" w:eastAsia="宋体"/>
              </w:rPr>
              <w:t>具备白细胞五分类、有核红细胞、网织红细胞、体液细胞、CRP、SAA</w:t>
            </w:r>
            <w:r>
              <w:rPr>
                <w:rFonts w:hint="eastAsia" w:ascii="宋体" w:hAnsi="宋体" w:eastAsia="宋体"/>
                <w:lang w:val="en-US" w:eastAsia="zh-CN"/>
              </w:rPr>
              <w:t>、</w:t>
            </w:r>
            <w:r>
              <w:rPr>
                <w:rFonts w:ascii="宋体" w:hAnsi="宋体" w:eastAsia="宋体"/>
              </w:rPr>
              <w:t>血沉</w:t>
            </w:r>
            <w:r>
              <w:rPr>
                <w:rFonts w:hint="eastAsia" w:ascii="宋体" w:hAnsi="宋体" w:eastAsia="宋体"/>
                <w:lang w:val="en-US" w:eastAsia="zh-CN"/>
              </w:rPr>
              <w:t>和糖化血红蛋白</w:t>
            </w:r>
            <w:r>
              <w:rPr>
                <w:rFonts w:ascii="宋体" w:hAnsi="宋体" w:eastAsia="宋体"/>
              </w:rPr>
              <w:t>等检测功能。</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w:t>
            </w:r>
            <w:r>
              <w:rPr>
                <w:rFonts w:ascii="宋体" w:hAnsi="宋体" w:eastAsia="宋体"/>
              </w:rPr>
              <w:t>全自动血液分析流水线的全自动血液细胞分析仪、全自动特定蛋白分析仪、推片染色机、全自动细胞形态学分析仪（阅片机）由轨道相连。</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numPr>
                <w:ilvl w:val="0"/>
                <w:numId w:val="0"/>
              </w:numPr>
              <w:ind w:leftChars="0"/>
              <w:jc w:val="both"/>
              <w:rPr>
                <w:rFonts w:hint="default" w:ascii="宋体" w:hAnsi="宋体" w:eastAsia="宋体" w:cs="Times New Roman"/>
                <w:kern w:val="2"/>
                <w:sz w:val="21"/>
                <w:szCs w:val="22"/>
                <w:lang w:val="en-US" w:eastAsia="zh-CN" w:bidi="ar-SA"/>
              </w:rPr>
            </w:pPr>
            <w:r>
              <w:rPr>
                <w:rFonts w:hint="eastAsia" w:ascii="宋体" w:hAnsi="宋体"/>
                <w:lang w:val="en-US" w:eastAsia="zh-CN"/>
              </w:rPr>
              <w:t>3.</w:t>
            </w:r>
            <w:r>
              <w:rPr>
                <w:rFonts w:ascii="宋体" w:hAnsi="宋体" w:eastAsia="宋体"/>
              </w:rPr>
              <w:t>▲全自动血液细胞分析仪、推片染色机、全自动细胞形态学分析仪（阅片机）为同一品牌</w:t>
            </w:r>
            <w:r>
              <w:rPr>
                <w:rFonts w:hint="eastAsia" w:ascii="宋体" w:hAnsi="宋体" w:eastAsia="宋体"/>
                <w:lang w:eastAsia="zh-CN"/>
              </w:rPr>
              <w:t>，</w:t>
            </w:r>
            <w:r>
              <w:rPr>
                <w:rFonts w:hint="eastAsia" w:ascii="宋体" w:hAnsi="宋体" w:eastAsia="宋体"/>
                <w:lang w:val="en-US" w:eastAsia="zh-CN"/>
              </w:rPr>
              <w:t>以保证检测系统的完整溯源和数据的高效互联互通</w:t>
            </w:r>
            <w:r>
              <w:rPr>
                <w:rFonts w:ascii="宋体" w:hAnsi="宋体" w:eastAsia="宋体"/>
              </w:rPr>
              <w:t>。（</w:t>
            </w:r>
            <w:r>
              <w:rPr>
                <w:rFonts w:hint="eastAsia" w:ascii="宋体" w:hAnsi="宋体" w:eastAsia="宋体"/>
                <w:lang w:eastAsia="zh-CN"/>
              </w:rPr>
              <w:t>须提供厂家公开发行的产品彩页加盖厂家公章证明</w:t>
            </w:r>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4.</w:t>
            </w:r>
            <w:r>
              <w:rPr>
                <w:rFonts w:ascii="宋体" w:hAnsi="宋体" w:eastAsia="宋体"/>
              </w:rPr>
              <w:t>▲全自动血液分析流水线检测速度要求：全血细胞计数+五分类检测速度≥400个样本/小时，CRP检测速度≥200个样本/小时，SAA检测速度≥200个样本/小时,血沉检测速度≥100个样本/小时，自动推片染色速度≥120个样本/小时，自动阅片速度≥40个样本/小时。（</w:t>
            </w:r>
            <w:r>
              <w:rPr>
                <w:rFonts w:hint="eastAsia" w:ascii="宋体" w:hAnsi="宋体" w:eastAsia="宋体"/>
                <w:lang w:eastAsia="zh-CN"/>
              </w:rPr>
              <w:t>须提供厂家公开发行的产品彩页加盖厂家公章证明</w:t>
            </w:r>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5.</w:t>
            </w:r>
            <w:r>
              <w:rPr>
                <w:rFonts w:ascii="宋体" w:hAnsi="宋体" w:eastAsia="宋体"/>
              </w:rPr>
              <w:t>分析系统可设定自动复检规则和自动审核规则，自动审核规则需经过多中心单位验证。</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6.</w:t>
            </w:r>
            <w:r>
              <w:rPr>
                <w:rFonts w:ascii="宋体" w:hAnsi="宋体" w:eastAsia="宋体"/>
              </w:rPr>
              <w:t>检测方法及原理：血液分析采用半导体激光法、鞘流电阻抗法、荧光染色法和流式细胞技术原理，CRP、SAA检测采用胶乳增强免疫散射比浊法。糖化血红蛋白采用高效液相色谱法。</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7.</w:t>
            </w:r>
            <w:r>
              <w:rPr>
                <w:rFonts w:ascii="宋体" w:hAnsi="宋体" w:eastAsia="宋体"/>
              </w:rPr>
              <w:t>血液分析流水线上每一台血液检测分析仪均需满足血液分析报告参数：血液分析报告参数≥37个。（备注：不含直方图、散点图，</w:t>
            </w:r>
            <w:r>
              <w:rPr>
                <w:rFonts w:hint="eastAsia" w:ascii="宋体" w:hAnsi="宋体" w:eastAsia="宋体"/>
                <w:lang w:eastAsia="zh-CN"/>
              </w:rPr>
              <w:t>须提供厂家公开发行的产品彩页加盖厂家公章证明</w:t>
            </w:r>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8.</w:t>
            </w:r>
            <w:r>
              <w:rPr>
                <w:rFonts w:ascii="宋体" w:hAnsi="宋体" w:eastAsia="宋体"/>
              </w:rPr>
              <w:t>体液报告参数：体液分析报告参数≥7个。（需出具注册相关材料予以佐证）。</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numPr>
                <w:ilvl w:val="0"/>
                <w:numId w:val="0"/>
              </w:numPr>
              <w:ind w:leftChars="0"/>
              <w:jc w:val="both"/>
              <w:rPr>
                <w:rFonts w:hint="default" w:ascii="宋体" w:hAnsi="宋体" w:eastAsia="宋体" w:cs="Times New Roman"/>
                <w:kern w:val="2"/>
                <w:sz w:val="21"/>
                <w:szCs w:val="22"/>
                <w:lang w:val="en-US" w:eastAsia="zh-CN" w:bidi="ar-SA"/>
              </w:rPr>
            </w:pPr>
            <w:r>
              <w:rPr>
                <w:rFonts w:hint="eastAsia" w:ascii="宋体" w:hAnsi="宋体"/>
                <w:lang w:val="en-US" w:eastAsia="zh-CN"/>
              </w:rPr>
              <w:t>9.</w:t>
            </w:r>
            <w:r>
              <w:rPr>
                <w:rFonts w:ascii="宋体" w:hAnsi="宋体" w:eastAsia="宋体"/>
              </w:rPr>
              <w:t>▲直方图散点图：直方图≥2个；二维散点图≥3个；三维散点图≥2个。（</w:t>
            </w:r>
            <w:r>
              <w:rPr>
                <w:rFonts w:hint="eastAsia" w:ascii="宋体" w:hAnsi="宋体" w:eastAsia="宋体"/>
                <w:lang w:eastAsia="zh-CN"/>
              </w:rPr>
              <w:t>须提供厂家公开发行的产品彩页加盖厂家公章证明</w:t>
            </w:r>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10</w:t>
            </w:r>
            <w:r>
              <w:rPr>
                <w:rFonts w:ascii="宋体" w:hAnsi="宋体" w:eastAsia="宋体"/>
              </w:rPr>
              <w:t>单机检测速度：CBC＋DIFF ≥110个样本/小时。（</w:t>
            </w:r>
            <w:r>
              <w:rPr>
                <w:rFonts w:hint="eastAsia" w:ascii="宋体" w:hAnsi="宋体" w:eastAsia="宋体"/>
                <w:lang w:eastAsia="zh-CN"/>
              </w:rPr>
              <w:t>须提供厂家公开发行的产品彩页加盖厂家公章证明</w:t>
            </w:r>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11.</w:t>
            </w:r>
            <w:r>
              <w:rPr>
                <w:rFonts w:ascii="宋体" w:hAnsi="宋体" w:eastAsia="宋体"/>
              </w:rPr>
              <w:t>样本用量：静脉全血CBC+DIFF模式≤85μL、微量全血CBC+DIFF+CRP模式≤40μL。</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12.</w:t>
            </w:r>
            <w:r>
              <w:rPr>
                <w:rFonts w:ascii="宋体" w:hAnsi="宋体" w:eastAsia="宋体"/>
              </w:rPr>
              <w:t>全自动血液细胞分析仪标配自动进样器，自动进样器内轨标配回退功能。</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13.</w:t>
            </w:r>
            <w:r>
              <w:rPr>
                <w:rFonts w:ascii="宋体" w:hAnsi="宋体" w:eastAsia="宋体"/>
              </w:rPr>
              <w:t>具有全自动体液（含胸水、腹水、脑脊液和浆膜液等体液）细胞计数和对体液中的白细胞进行分类的功能；具有通过高荧光体液细胞参数对肿瘤细胞进行提示功能。</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14.</w:t>
            </w:r>
            <w:r>
              <w:rPr>
                <w:rFonts w:ascii="宋体" w:hAnsi="宋体" w:eastAsia="宋体"/>
              </w:rPr>
              <w:t>全血</w:t>
            </w:r>
            <w:r>
              <w:rPr>
                <w:rFonts w:hint="eastAsia" w:ascii="宋体" w:hAnsi="宋体" w:eastAsia="宋体"/>
                <w:lang w:val="en-US" w:eastAsia="zh-CN"/>
              </w:rPr>
              <w:t>(包括静脉和末稍全血)</w:t>
            </w:r>
            <w:r>
              <w:rPr>
                <w:rFonts w:ascii="宋体" w:hAnsi="宋体" w:eastAsia="宋体"/>
              </w:rPr>
              <w:t>预稀释模式也能进行白细胞五分类、有核红细胞、网织红细胞和CRP、SAA检测，有急诊插入功能。</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15.</w:t>
            </w:r>
            <w:r>
              <w:rPr>
                <w:rFonts w:ascii="宋体" w:hAnsi="宋体" w:eastAsia="宋体"/>
              </w:rPr>
              <w:t>使用荧光染料和半导体激光检测WBC五分类，并具有有核红细胞实测功能，能自动进行对白细胞计数的校正。</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16.</w:t>
            </w:r>
            <w:r>
              <w:rPr>
                <w:rFonts w:ascii="宋体" w:hAnsi="宋体" w:eastAsia="宋体"/>
              </w:rPr>
              <w:t>具有全自动网织红细胞检测功能，可对网织红进行分型，提供网织红成熟度指数，网织红细胞检测无需机外染色处理。</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auto"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17.</w:t>
            </w:r>
            <w:r>
              <w:rPr>
                <w:rFonts w:ascii="宋体" w:hAnsi="宋体" w:eastAsia="宋体"/>
              </w:rPr>
              <w:t>具有检测网织红细胞血红蛋白含量的功能，以帮助判断贫血的类型。</w:t>
            </w:r>
          </w:p>
        </w:tc>
      </w:tr>
      <w:tr>
        <w:tblPrEx>
          <w:tblCellMar>
            <w:top w:w="0" w:type="dxa"/>
            <w:left w:w="108" w:type="dxa"/>
            <w:bottom w:w="0" w:type="dxa"/>
            <w:right w:w="108" w:type="dxa"/>
          </w:tblCellMar>
        </w:tblPrEx>
        <w:trPr>
          <w:trHeight w:val="454" w:hRule="atLeast"/>
          <w:jc w:val="center"/>
        </w:trPr>
        <w:tc>
          <w:tcPr>
            <w:tcW w:w="658" w:type="dxa"/>
            <w:vMerge w:val="continue"/>
            <w:tcBorders>
              <w:top w:val="single" w:color="auto" w:sz="4" w:space="0"/>
              <w:left w:val="single" w:color="auto"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top w:val="single" w:color="auto" w:sz="4" w:space="0"/>
              <w:left w:val="single" w:color="3F3F3F"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auto" w:sz="4" w:space="0"/>
              <w:left w:val="nil"/>
              <w:bottom w:val="single" w:color="auto" w:sz="4" w:space="0"/>
              <w:right w:val="single" w:color="auto"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18.</w:t>
            </w:r>
            <w:r>
              <w:rPr>
                <w:rFonts w:ascii="宋体" w:hAnsi="宋体" w:eastAsia="宋体"/>
              </w:rPr>
              <w:t>血小板检测采用鞘流阻抗法和荧光染色法两种方法，并可转换。</w:t>
            </w:r>
          </w:p>
        </w:tc>
      </w:tr>
      <w:tr>
        <w:tblPrEx>
          <w:tblCellMar>
            <w:top w:w="0" w:type="dxa"/>
            <w:left w:w="108" w:type="dxa"/>
            <w:bottom w:w="0" w:type="dxa"/>
            <w:right w:w="108" w:type="dxa"/>
          </w:tblCellMar>
        </w:tblPrEx>
        <w:trPr>
          <w:trHeight w:val="454" w:hRule="atLeast"/>
          <w:jc w:val="center"/>
        </w:trPr>
        <w:tc>
          <w:tcPr>
            <w:tcW w:w="658" w:type="dxa"/>
            <w:vMerge w:val="continue"/>
            <w:tcBorders>
              <w:top w:val="single" w:color="auto" w:sz="4" w:space="0"/>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top w:val="single" w:color="auto" w:sz="4" w:space="0"/>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auto"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19.</w:t>
            </w:r>
            <w:r>
              <w:rPr>
                <w:rFonts w:ascii="宋体" w:hAnsi="宋体" w:eastAsia="宋体"/>
              </w:rPr>
              <w:t>具有低值血小板检测功能，如遇血小板低值时通过自动增加计数颗粒数量来保证血小板检测精度。</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20.</w:t>
            </w:r>
            <w:r>
              <w:rPr>
                <w:rFonts w:ascii="宋体" w:hAnsi="宋体" w:eastAsia="宋体"/>
              </w:rPr>
              <w:t>血液分析仪主机自带≥10寸大屏幕彩色液晶触摸屏。（</w:t>
            </w:r>
            <w:r>
              <w:rPr>
                <w:rFonts w:hint="eastAsia" w:ascii="宋体" w:hAnsi="宋体" w:eastAsia="宋体"/>
                <w:lang w:eastAsia="zh-CN"/>
              </w:rPr>
              <w:t>须提供厂家公开发行的产品彩页加盖厂家公章证明</w:t>
            </w:r>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21.</w:t>
            </w:r>
            <w:r>
              <w:rPr>
                <w:rFonts w:ascii="宋体" w:hAnsi="宋体" w:eastAsia="宋体"/>
              </w:rPr>
              <w:t>▲血液分析线性范围（静脉血）：白细胞：（0-490）</w:t>
            </w:r>
            <w:r>
              <w:rPr>
                <w:rFonts w:hint="eastAsia" w:ascii="宋体" w:hAnsi="宋体" w:eastAsia="宋体"/>
              </w:rPr>
              <w:t>×</w:t>
            </w:r>
            <w:r>
              <w:rPr>
                <w:rFonts w:ascii="宋体" w:hAnsi="宋体" w:eastAsia="宋体"/>
              </w:rPr>
              <w:t>10^9/L，红细胞：（0-8.0）</w:t>
            </w:r>
            <w:r>
              <w:rPr>
                <w:rFonts w:hint="eastAsia" w:ascii="宋体" w:hAnsi="宋体" w:eastAsia="宋体"/>
              </w:rPr>
              <w:t>×</w:t>
            </w:r>
            <w:r>
              <w:rPr>
                <w:rFonts w:ascii="宋体" w:hAnsi="宋体" w:eastAsia="宋体"/>
              </w:rPr>
              <w:t>10^12/L，血小板：（0-4900）</w:t>
            </w:r>
            <w:r>
              <w:rPr>
                <w:rFonts w:hint="eastAsia" w:ascii="宋体" w:hAnsi="宋体" w:eastAsia="宋体"/>
              </w:rPr>
              <w:t>×</w:t>
            </w:r>
            <w:r>
              <w:rPr>
                <w:rFonts w:ascii="宋体" w:hAnsi="宋体" w:eastAsia="宋体"/>
              </w:rPr>
              <w:t>10^9/L。（线性范围上限可高于要求，不能低于此要求；须提供厂家公开发行的产品彩页</w:t>
            </w:r>
            <w:r>
              <w:rPr>
                <w:rFonts w:hint="eastAsia" w:ascii="宋体" w:hAnsi="宋体" w:eastAsia="宋体"/>
                <w:lang w:val="en-US" w:eastAsia="zh-CN"/>
              </w:rPr>
              <w:t>加盖厂家公章</w:t>
            </w:r>
            <w:r>
              <w:rPr>
                <w:rFonts w:ascii="宋体" w:hAnsi="宋体" w:eastAsia="宋体"/>
              </w:rPr>
              <w:t>证明）</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22.</w:t>
            </w:r>
            <w:r>
              <w:rPr>
                <w:rFonts w:ascii="宋体" w:hAnsi="宋体" w:eastAsia="宋体"/>
              </w:rPr>
              <w:t>血液模式空白计数要求：白细胞≤0.1</w:t>
            </w:r>
            <w:r>
              <w:rPr>
                <w:rFonts w:hint="eastAsia" w:ascii="宋体" w:hAnsi="宋体" w:eastAsia="宋体"/>
              </w:rPr>
              <w:t>×</w:t>
            </w:r>
            <w:r>
              <w:rPr>
                <w:rFonts w:ascii="宋体" w:hAnsi="宋体" w:eastAsia="宋体"/>
              </w:rPr>
              <w:t>10^9/L，红细胞≤0.02</w:t>
            </w:r>
            <w:r>
              <w:rPr>
                <w:rFonts w:hint="eastAsia" w:ascii="宋体" w:hAnsi="宋体" w:eastAsia="宋体"/>
              </w:rPr>
              <w:t>×</w:t>
            </w:r>
            <w:r>
              <w:rPr>
                <w:rFonts w:ascii="宋体" w:hAnsi="宋体" w:eastAsia="宋体"/>
              </w:rPr>
              <w:t xml:space="preserve"> 10^12/L，血红蛋白≤1g/L，阻抗法血小板≤5</w:t>
            </w:r>
            <w:r>
              <w:rPr>
                <w:rFonts w:hint="eastAsia" w:ascii="宋体" w:hAnsi="宋体" w:eastAsia="宋体"/>
              </w:rPr>
              <w:t>×</w:t>
            </w:r>
            <w:r>
              <w:rPr>
                <w:rFonts w:ascii="宋体" w:hAnsi="宋体" w:eastAsia="宋体"/>
              </w:rPr>
              <w:t>10^9/L。</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23.</w:t>
            </w:r>
            <w:r>
              <w:rPr>
                <w:rFonts w:ascii="宋体" w:hAnsi="宋体" w:eastAsia="宋体"/>
              </w:rPr>
              <w:t>特定蛋白分析线性范围：CRP：0.2-320mg/L。（</w:t>
            </w:r>
            <w:r>
              <w:rPr>
                <w:rFonts w:hint="eastAsia" w:ascii="宋体" w:hAnsi="宋体" w:eastAsia="宋体"/>
                <w:lang w:eastAsia="zh-CN"/>
              </w:rPr>
              <w:t>须提供厂家公开发行的产品彩页加盖厂家公章证明</w:t>
            </w:r>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24.</w:t>
            </w:r>
            <w:r>
              <w:rPr>
                <w:rFonts w:ascii="宋体" w:hAnsi="宋体" w:eastAsia="宋体"/>
              </w:rPr>
              <w:t>采血要求：CRP和血沉检测可使用EDTA抗凝采血管，节省患者采血量。</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25.</w:t>
            </w:r>
            <w:r>
              <w:rPr>
                <w:rFonts w:ascii="宋体" w:hAnsi="宋体" w:eastAsia="宋体"/>
              </w:rPr>
              <w:t>高值标本自动检测：仪器可自动识别、回退、稀释高值SAA样本，避免假低报告发出。</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26.</w:t>
            </w:r>
            <w:r>
              <w:rPr>
                <w:rFonts w:ascii="宋体" w:hAnsi="宋体" w:eastAsia="宋体"/>
              </w:rPr>
              <w:t>CRP和 SAA提供有溯源性的有证血液校准物。</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27.</w:t>
            </w:r>
            <w:r>
              <w:rPr>
                <w:rFonts w:ascii="宋体" w:hAnsi="宋体" w:eastAsia="宋体"/>
              </w:rPr>
              <w:t>推片染色机可独立工作，在没有血常规HCT结果时也可进行推片。</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28.</w:t>
            </w:r>
            <w:r>
              <w:rPr>
                <w:rFonts w:ascii="宋体" w:hAnsi="宋体" w:eastAsia="宋体"/>
              </w:rPr>
              <w:t>推片规则：≥10项，用户可自定义推片规则。</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29.</w:t>
            </w:r>
            <w:r>
              <w:rPr>
                <w:rFonts w:ascii="宋体" w:hAnsi="宋体" w:eastAsia="宋体"/>
              </w:rPr>
              <w:t>染色方式：</w:t>
            </w:r>
            <w:bookmarkStart w:id="0" w:name="_GoBack"/>
            <w:r>
              <w:rPr>
                <w:rFonts w:ascii="宋体" w:hAnsi="宋体" w:eastAsia="宋体"/>
                <w:color w:val="000000"/>
              </w:rPr>
              <w:t>≥7种</w:t>
            </w:r>
            <w:bookmarkEnd w:id="0"/>
            <w:r>
              <w:rPr>
                <w:rFonts w:ascii="宋体" w:hAnsi="宋体" w:eastAsia="宋体"/>
              </w:rPr>
              <w:t>。</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30.</w:t>
            </w:r>
            <w:r>
              <w:rPr>
                <w:rFonts w:ascii="宋体" w:hAnsi="宋体" w:eastAsia="宋体"/>
              </w:rPr>
              <w:t>玻片识别：可直接在玻片上打印数字、条码和二维码。</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31.</w:t>
            </w:r>
            <w:r>
              <w:rPr>
                <w:rFonts w:ascii="宋体" w:hAnsi="宋体" w:eastAsia="宋体"/>
              </w:rPr>
              <w:t>推片染色机用血量：全自动进样≤200μl，闭盖进样≤200μl，微量血进样≤40μl（提供证明文件）。</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32.</w:t>
            </w:r>
            <w:r>
              <w:rPr>
                <w:rFonts w:ascii="宋体" w:hAnsi="宋体" w:eastAsia="宋体"/>
              </w:rPr>
              <w:t>仪器可自动检测血液粘稠度，根据粘稠度的不同对滴血量、推片的速度/角度、推刀在血滴上停留的时间等进行控制</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33.</w:t>
            </w:r>
            <w:r>
              <w:rPr>
                <w:rFonts w:ascii="宋体" w:hAnsi="宋体" w:eastAsia="宋体"/>
              </w:rPr>
              <w:t>提供经过NMPA注册的同品牌的体液质控物，需满足三个浓度水平。</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34.</w:t>
            </w:r>
            <w:r>
              <w:rPr>
                <w:rFonts w:ascii="宋体" w:hAnsi="宋体" w:eastAsia="宋体"/>
              </w:rPr>
              <w:t>阅片机适用范围：用于对外周血涂片血细胞的形态图像摄取、可视化观察及描述，包括白细胞单细胞图像摄取、初步分类，红细胞形态描述及血小板数目估算。</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35.</w:t>
            </w:r>
            <w:r>
              <w:rPr>
                <w:rFonts w:ascii="宋体" w:hAnsi="宋体" w:eastAsia="宋体"/>
              </w:rPr>
              <w:t>阅片机数据存储：支持外周血玻片的数据和细胞图片存档，可存储不少于4万个样本的细胞图形及血液分析结果信息。</w:t>
            </w:r>
          </w:p>
        </w:tc>
      </w:tr>
      <w:tr>
        <w:tblPrEx>
          <w:tblCellMar>
            <w:top w:w="0" w:type="dxa"/>
            <w:left w:w="108" w:type="dxa"/>
            <w:bottom w:w="0" w:type="dxa"/>
            <w:right w:w="108" w:type="dxa"/>
          </w:tblCellMar>
        </w:tblPrEx>
        <w:trPr>
          <w:trHeight w:val="454" w:hRule="atLeast"/>
          <w:jc w:val="center"/>
        </w:trPr>
        <w:tc>
          <w:tcPr>
            <w:tcW w:w="658" w:type="dxa"/>
            <w:vMerge w:val="continue"/>
            <w:tcBorders>
              <w:top w:val="nil"/>
              <w:left w:val="single" w:color="auto" w:sz="4" w:space="0"/>
              <w:bottom w:val="nil"/>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36.</w:t>
            </w:r>
            <w:r>
              <w:rPr>
                <w:rFonts w:ascii="宋体" w:hAnsi="宋体" w:eastAsia="宋体"/>
              </w:rPr>
              <w:t>糖化血红蛋白日间变异系数CV%≤1.0%。</w:t>
            </w:r>
          </w:p>
        </w:tc>
      </w:tr>
      <w:tr>
        <w:tblPrEx>
          <w:tblCellMar>
            <w:top w:w="0" w:type="dxa"/>
            <w:left w:w="108" w:type="dxa"/>
            <w:bottom w:w="0" w:type="dxa"/>
            <w:right w:w="108" w:type="dxa"/>
          </w:tblCellMar>
        </w:tblPrEx>
        <w:trPr>
          <w:trHeight w:val="454" w:hRule="atLeast"/>
          <w:jc w:val="center"/>
        </w:trPr>
        <w:tc>
          <w:tcPr>
            <w:tcW w:w="658" w:type="dxa"/>
            <w:tcBorders>
              <w:top w:val="nil"/>
              <w:left w:val="single" w:color="3F3F3F" w:sz="4" w:space="0"/>
              <w:bottom w:val="nil"/>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3F3F3F"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37.</w:t>
            </w:r>
            <w:r>
              <w:rPr>
                <w:rFonts w:ascii="宋体" w:hAnsi="宋体" w:eastAsia="宋体"/>
              </w:rPr>
              <w:t>糖化血红蛋白分析仪进样模式具备自动全血、自动预稀释、封闭全血，并配有专用的急诊样本位。</w:t>
            </w:r>
          </w:p>
        </w:tc>
      </w:tr>
      <w:tr>
        <w:tblPrEx>
          <w:tblCellMar>
            <w:top w:w="0" w:type="dxa"/>
            <w:left w:w="108" w:type="dxa"/>
            <w:bottom w:w="0" w:type="dxa"/>
            <w:right w:w="108" w:type="dxa"/>
          </w:tblCellMar>
        </w:tblPrEx>
        <w:trPr>
          <w:trHeight w:val="454" w:hRule="atLeast"/>
          <w:jc w:val="center"/>
        </w:trPr>
        <w:tc>
          <w:tcPr>
            <w:tcW w:w="658" w:type="dxa"/>
            <w:tcBorders>
              <w:top w:val="nil"/>
              <w:left w:val="single" w:color="3F3F3F"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vMerge w:val="continue"/>
            <w:tcBorders>
              <w:left w:val="single" w:color="3F3F3F"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3F3F3F" w:sz="4" w:space="0"/>
              <w:left w:val="nil"/>
              <w:bottom w:val="single" w:color="auto" w:sz="4" w:space="0"/>
              <w:right w:val="single" w:color="3F3F3F" w:sz="4" w:space="0"/>
            </w:tcBorders>
            <w:shd w:val="clear" w:color="000000" w:fill="FFFFFF"/>
            <w:vAlign w:val="center"/>
          </w:tcPr>
          <w:p>
            <w:pPr>
              <w:jc w:val="both"/>
              <w:rPr>
                <w:rFonts w:hint="default" w:ascii="宋体" w:hAnsi="宋体" w:eastAsia="宋体" w:cs="Times New Roman"/>
                <w:kern w:val="2"/>
                <w:sz w:val="21"/>
                <w:szCs w:val="22"/>
                <w:lang w:val="en-US" w:eastAsia="zh-CN" w:bidi="ar-SA"/>
              </w:rPr>
            </w:pPr>
            <w:r>
              <w:rPr>
                <w:rFonts w:hint="eastAsia" w:ascii="宋体" w:hAnsi="宋体"/>
                <w:lang w:val="en-US" w:eastAsia="zh-CN"/>
              </w:rPr>
              <w:t>38.</w:t>
            </w:r>
            <w:r>
              <w:rPr>
                <w:rFonts w:ascii="宋体" w:hAnsi="宋体" w:eastAsia="宋体"/>
              </w:rPr>
              <w:t>糖化血红蛋白分析仪单根层析柱检测次数可达5000次</w:t>
            </w:r>
            <w:r>
              <w:rPr>
                <w:rFonts w:hint="eastAsia" w:ascii="宋体" w:hAnsi="宋体" w:eastAsia="宋体"/>
                <w:lang w:val="en-US" w:eastAsia="zh-CN"/>
              </w:rPr>
              <w:t>以上</w:t>
            </w:r>
            <w:r>
              <w:rPr>
                <w:rFonts w:ascii="宋体" w:hAnsi="宋体" w:eastAsia="宋体"/>
              </w:rPr>
              <w:t>。</w:t>
            </w:r>
          </w:p>
        </w:tc>
      </w:tr>
      <w:tr>
        <w:tblPrEx>
          <w:tblCellMar>
            <w:top w:w="0" w:type="dxa"/>
            <w:left w:w="108" w:type="dxa"/>
            <w:bottom w:w="0" w:type="dxa"/>
            <w:right w:w="108" w:type="dxa"/>
          </w:tblCellMar>
        </w:tblPrEx>
        <w:trPr>
          <w:trHeight w:val="567" w:hRule="atLeast"/>
          <w:jc w:val="center"/>
        </w:trPr>
        <w:tc>
          <w:tcPr>
            <w:tcW w:w="658" w:type="dxa"/>
            <w:tcBorders>
              <w:top w:val="single" w:color="auto" w:sz="4" w:space="0"/>
              <w:left w:val="single" w:color="auto"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1104" w:type="dxa"/>
            <w:tcBorders>
              <w:top w:val="single" w:color="auto" w:sz="4" w:space="0"/>
              <w:left w:val="single" w:color="3F3F3F" w:sz="4" w:space="0"/>
              <w:bottom w:val="single" w:color="auto" w:sz="4" w:space="0"/>
              <w:right w:val="single" w:color="3F3F3F" w:sz="4" w:space="0"/>
            </w:tcBorders>
            <w:vAlign w:val="center"/>
          </w:tcPr>
          <w:p>
            <w:pPr>
              <w:widowControl/>
              <w:jc w:val="left"/>
              <w:rPr>
                <w:rFonts w:ascii="宋体" w:hAnsi="宋体" w:cs="宋体"/>
                <w:color w:val="3F3F3F"/>
                <w:kern w:val="0"/>
                <w:sz w:val="20"/>
                <w:szCs w:val="20"/>
              </w:rPr>
            </w:pPr>
          </w:p>
        </w:tc>
        <w:tc>
          <w:tcPr>
            <w:tcW w:w="8200" w:type="dxa"/>
            <w:tcBorders>
              <w:top w:val="single" w:color="auto" w:sz="4" w:space="0"/>
              <w:left w:val="nil"/>
              <w:bottom w:val="single" w:color="auto" w:sz="4" w:space="0"/>
              <w:right w:val="single" w:color="auto" w:sz="4" w:space="0"/>
            </w:tcBorders>
            <w:shd w:val="clear" w:color="000000" w:fill="FFFFFF"/>
            <w:vAlign w:val="center"/>
          </w:tcPr>
          <w:p>
            <w:pPr>
              <w:jc w:val="both"/>
              <w:rPr>
                <w:rFonts w:hint="eastAsia" w:ascii="宋体" w:hAnsi="宋体"/>
                <w:lang w:val="en-US" w:eastAsia="zh-CN"/>
              </w:rPr>
            </w:pPr>
            <w:r>
              <w:rPr>
                <w:rFonts w:hint="eastAsia" w:ascii="宋体" w:hAnsi="宋体"/>
                <w:lang w:val="en-US" w:eastAsia="zh-CN"/>
              </w:rPr>
              <w:t>配置清单：</w:t>
            </w:r>
          </w:p>
          <w:tbl>
            <w:tblPr>
              <w:tblStyle w:val="9"/>
              <w:tblW w:w="93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3"/>
              <w:gridCol w:w="2593"/>
              <w:gridCol w:w="1382"/>
              <w:gridCol w:w="1146"/>
              <w:gridCol w:w="2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21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序号</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名称</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数量</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单位</w:t>
                  </w:r>
                </w:p>
              </w:tc>
              <w:tc>
                <w:tcPr>
                  <w:tcW w:w="2079" w:type="dxa"/>
                  <w:vAlign w:val="center"/>
                </w:tcPr>
                <w:p>
                  <w:pPr>
                    <w:widowControl/>
                    <w:ind w:firstLine="400" w:firstLineChars="200"/>
                    <w:jc w:val="both"/>
                    <w:rPr>
                      <w:rFonts w:ascii="宋体" w:hAnsi="宋体" w:eastAsia="宋体" w:cs="Times New Roman"/>
                      <w:kern w:val="0"/>
                      <w:sz w:val="20"/>
                      <w:szCs w:val="20"/>
                    </w:rPr>
                  </w:pPr>
                  <w:r>
                    <w:rPr>
                      <w:rFonts w:hint="eastAsia" w:ascii="宋体" w:hAnsi="宋体" w:eastAsia="宋体" w:cs="Times New Roman"/>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2193" w:type="dxa"/>
                  <w:vAlign w:val="center"/>
                </w:tcPr>
                <w:p>
                  <w:pPr>
                    <w:widowControl/>
                    <w:jc w:val="center"/>
                    <w:rPr>
                      <w:rFonts w:hint="eastAsia" w:ascii="宋体" w:hAnsi="宋体" w:eastAsia="宋体" w:cs="Times New Roman"/>
                      <w:kern w:val="0"/>
                      <w:sz w:val="20"/>
                      <w:szCs w:val="20"/>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rPr>
                    <w:t>1</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全自动血液细胞分析仪</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2</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台</w:t>
                  </w:r>
                </w:p>
              </w:tc>
              <w:tc>
                <w:tcPr>
                  <w:tcW w:w="2079" w:type="dxa"/>
                  <w:vAlign w:val="center"/>
                </w:tcPr>
                <w:p>
                  <w:pPr>
                    <w:widowControl/>
                    <w:jc w:val="cente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193" w:type="dxa"/>
                  <w:vAlign w:val="center"/>
                </w:tcPr>
                <w:p>
                  <w:pPr>
                    <w:widowControl/>
                    <w:jc w:val="center"/>
                    <w:rPr>
                      <w:rFonts w:hint="eastAsia" w:ascii="宋体" w:hAnsi="宋体" w:eastAsia="宋体" w:cs="Times New Roman"/>
                      <w:kern w:val="0"/>
                      <w:sz w:val="20"/>
                      <w:szCs w:val="20"/>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rPr>
                    <w:t>2</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全自动特定蛋白分析仪</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台</w:t>
                  </w:r>
                </w:p>
              </w:tc>
              <w:tc>
                <w:tcPr>
                  <w:tcW w:w="2079" w:type="dxa"/>
                  <w:vAlign w:val="center"/>
                </w:tcPr>
                <w:p>
                  <w:pPr>
                    <w:widowControl/>
                    <w:jc w:val="cente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193" w:type="dxa"/>
                  <w:vAlign w:val="center"/>
                </w:tcPr>
                <w:p>
                  <w:pPr>
                    <w:widowControl/>
                    <w:jc w:val="center"/>
                    <w:rPr>
                      <w:rFonts w:hint="eastAsia" w:ascii="宋体" w:hAnsi="宋体" w:eastAsia="宋体" w:cs="Times New Roman"/>
                      <w:kern w:val="0"/>
                      <w:sz w:val="20"/>
                      <w:szCs w:val="20"/>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rPr>
                    <w:t>3</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自动血涂片制备仪</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台</w:t>
                  </w:r>
                </w:p>
              </w:tc>
              <w:tc>
                <w:tcPr>
                  <w:tcW w:w="2079" w:type="dxa"/>
                  <w:vAlign w:val="center"/>
                </w:tcPr>
                <w:p>
                  <w:pPr>
                    <w:widowControl/>
                    <w:jc w:val="cente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93" w:type="dxa"/>
                  <w:vAlign w:val="center"/>
                </w:tcPr>
                <w:p>
                  <w:pPr>
                    <w:widowControl/>
                    <w:jc w:val="center"/>
                    <w:rPr>
                      <w:rFonts w:hint="eastAsia" w:ascii="宋体" w:hAnsi="宋体" w:eastAsia="宋体" w:cs="Times New Roman"/>
                      <w:kern w:val="0"/>
                      <w:sz w:val="20"/>
                      <w:szCs w:val="20"/>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rPr>
                    <w:t>4</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全自动形态分析仪</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台</w:t>
                  </w:r>
                </w:p>
              </w:tc>
              <w:tc>
                <w:tcPr>
                  <w:tcW w:w="2079" w:type="dxa"/>
                  <w:vAlign w:val="center"/>
                </w:tcPr>
                <w:p>
                  <w:pPr>
                    <w:widowControl/>
                    <w:jc w:val="cente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193" w:type="dxa"/>
                  <w:vAlign w:val="center"/>
                </w:tcPr>
                <w:p>
                  <w:pPr>
                    <w:widowControl/>
                    <w:jc w:val="center"/>
                    <w:rPr>
                      <w:rFonts w:hint="eastAsia" w:ascii="宋体" w:hAnsi="宋体" w:eastAsia="宋体" w:cs="Times New Roman"/>
                      <w:kern w:val="0"/>
                      <w:sz w:val="20"/>
                      <w:szCs w:val="20"/>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rPr>
                    <w:t>5</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全自动糖化血红蛋白分析仪</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台</w:t>
                  </w:r>
                </w:p>
              </w:tc>
              <w:tc>
                <w:tcPr>
                  <w:tcW w:w="2079" w:type="dxa"/>
                  <w:vAlign w:val="center"/>
                </w:tcPr>
                <w:p>
                  <w:pPr>
                    <w:widowControl/>
                    <w:jc w:val="cente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193" w:type="dxa"/>
                  <w:vAlign w:val="center"/>
                </w:tcPr>
                <w:p>
                  <w:pPr>
                    <w:widowControl/>
                    <w:jc w:val="center"/>
                    <w:rPr>
                      <w:rFonts w:hint="eastAsia" w:ascii="宋体" w:hAnsi="宋体" w:eastAsia="宋体" w:cs="Times New Roman"/>
                      <w:kern w:val="0"/>
                      <w:sz w:val="20"/>
                      <w:szCs w:val="20"/>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rPr>
                    <w:t>6</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进样轨道</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套</w:t>
                  </w:r>
                </w:p>
              </w:tc>
              <w:tc>
                <w:tcPr>
                  <w:tcW w:w="2079" w:type="dxa"/>
                  <w:vAlign w:val="center"/>
                </w:tcPr>
                <w:p>
                  <w:pPr>
                    <w:widowControl/>
                    <w:jc w:val="cente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193" w:type="dxa"/>
                  <w:vAlign w:val="center"/>
                </w:tcPr>
                <w:p>
                  <w:pPr>
                    <w:widowControl/>
                    <w:jc w:val="center"/>
                    <w:rPr>
                      <w:rFonts w:hint="eastAsia" w:ascii="宋体" w:hAnsi="宋体" w:eastAsia="宋体" w:cs="Times New Roman"/>
                      <w:kern w:val="0"/>
                      <w:sz w:val="20"/>
                      <w:szCs w:val="20"/>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rPr>
                    <w:t>7</w:t>
                  </w:r>
                </w:p>
              </w:tc>
              <w:tc>
                <w:tcPr>
                  <w:tcW w:w="2593"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浓缩稀释仪</w:t>
                  </w:r>
                </w:p>
              </w:tc>
              <w:tc>
                <w:tcPr>
                  <w:tcW w:w="1382"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1</w:t>
                  </w:r>
                </w:p>
              </w:tc>
              <w:tc>
                <w:tcPr>
                  <w:tcW w:w="1146" w:type="dxa"/>
                  <w:vAlign w:val="center"/>
                </w:tcPr>
                <w:p>
                  <w:pPr>
                    <w:widowControl/>
                    <w:jc w:val="center"/>
                    <w:rPr>
                      <w:rFonts w:ascii="宋体" w:hAnsi="宋体" w:eastAsia="宋体" w:cs="Times New Roman"/>
                      <w:kern w:val="0"/>
                      <w:sz w:val="20"/>
                      <w:szCs w:val="20"/>
                    </w:rPr>
                  </w:pPr>
                  <w:r>
                    <w:rPr>
                      <w:rFonts w:hint="eastAsia" w:ascii="宋体" w:hAnsi="宋体" w:eastAsia="宋体" w:cs="Times New Roman"/>
                      <w:kern w:val="0"/>
                      <w:sz w:val="20"/>
                      <w:szCs w:val="20"/>
                    </w:rPr>
                    <w:t>台</w:t>
                  </w:r>
                </w:p>
              </w:tc>
              <w:tc>
                <w:tcPr>
                  <w:tcW w:w="2079" w:type="dxa"/>
                  <w:vAlign w:val="center"/>
                </w:tcPr>
                <w:p>
                  <w:pPr>
                    <w:widowControl/>
                    <w:jc w:val="center"/>
                    <w:rPr>
                      <w:rFonts w:ascii="宋体" w:hAnsi="宋体" w:eastAsia="宋体" w:cs="Times New Roman"/>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2193" w:type="dxa"/>
                  <w:vAlign w:val="center"/>
                </w:tcPr>
                <w:p>
                  <w:pPr>
                    <w:widowControl/>
                    <w:jc w:val="center"/>
                    <w:rPr>
                      <w:rFonts w:hint="eastAsia" w:ascii="宋体" w:hAnsi="宋体" w:eastAsia="宋体" w:cs="Times New Roman"/>
                      <w:kern w:val="0"/>
                      <w:sz w:val="20"/>
                      <w:szCs w:val="20"/>
                      <w:lang w:val="en-US" w:eastAsia="zh-CN"/>
                    </w:rPr>
                  </w:pPr>
                  <w:r>
                    <w:rPr>
                      <w:rFonts w:hint="eastAsia" w:ascii="宋体" w:hAnsi="宋体" w:cs="Times New Roman"/>
                      <w:kern w:val="0"/>
                      <w:sz w:val="20"/>
                      <w:szCs w:val="20"/>
                      <w:lang w:val="en-US" w:eastAsia="zh-CN"/>
                    </w:rPr>
                    <w:t xml:space="preserve">  </w:t>
                  </w:r>
                  <w:r>
                    <w:rPr>
                      <w:rFonts w:hint="eastAsia" w:ascii="宋体" w:hAnsi="宋体" w:eastAsia="宋体" w:cs="Times New Roman"/>
                      <w:kern w:val="0"/>
                      <w:sz w:val="20"/>
                      <w:szCs w:val="20"/>
                      <w:lang w:val="en-US" w:eastAsia="zh-CN"/>
                    </w:rPr>
                    <w:t>8</w:t>
                  </w:r>
                </w:p>
              </w:tc>
              <w:tc>
                <w:tcPr>
                  <w:tcW w:w="2593" w:type="dxa"/>
                  <w:vAlign w:val="center"/>
                </w:tcPr>
                <w:p>
                  <w:pPr>
                    <w:widowControl/>
                    <w:jc w:val="center"/>
                    <w:rPr>
                      <w:rFonts w:hint="default" w:ascii="宋体" w:hAnsi="宋体" w:eastAsia="宋体" w:cs="Times New Roman"/>
                      <w:kern w:val="0"/>
                      <w:sz w:val="20"/>
                      <w:szCs w:val="20"/>
                      <w:lang w:val="en-US" w:eastAsia="zh-CN"/>
                    </w:rPr>
                  </w:pPr>
                  <w:r>
                    <w:rPr>
                      <w:rFonts w:hint="eastAsia" w:ascii="宋体" w:hAnsi="宋体" w:eastAsia="宋体" w:cs="Times New Roman"/>
                      <w:kern w:val="0"/>
                      <w:sz w:val="20"/>
                      <w:szCs w:val="20"/>
                      <w:lang w:val="en-US" w:eastAsia="zh-CN"/>
                    </w:rPr>
                    <w:t>全自动荧光免疫分析模块</w:t>
                  </w:r>
                </w:p>
              </w:tc>
              <w:tc>
                <w:tcPr>
                  <w:tcW w:w="1382" w:type="dxa"/>
                  <w:vAlign w:val="center"/>
                </w:tcPr>
                <w:p>
                  <w:pPr>
                    <w:widowControl/>
                    <w:jc w:val="center"/>
                    <w:rPr>
                      <w:rFonts w:hint="eastAsia" w:ascii="宋体" w:hAnsi="宋体" w:eastAsia="宋体" w:cs="Times New Roman"/>
                      <w:kern w:val="0"/>
                      <w:sz w:val="20"/>
                      <w:szCs w:val="20"/>
                      <w:lang w:val="en-US" w:eastAsia="zh-CN"/>
                    </w:rPr>
                  </w:pPr>
                  <w:r>
                    <w:rPr>
                      <w:rFonts w:hint="eastAsia" w:ascii="宋体" w:hAnsi="宋体" w:eastAsia="宋体" w:cs="Times New Roman"/>
                      <w:kern w:val="0"/>
                      <w:sz w:val="20"/>
                      <w:szCs w:val="20"/>
                      <w:lang w:val="en-US" w:eastAsia="zh-CN"/>
                    </w:rPr>
                    <w:t>1</w:t>
                  </w:r>
                </w:p>
              </w:tc>
              <w:tc>
                <w:tcPr>
                  <w:tcW w:w="1146" w:type="dxa"/>
                  <w:vAlign w:val="center"/>
                </w:tcPr>
                <w:p>
                  <w:pPr>
                    <w:widowControl/>
                    <w:jc w:val="center"/>
                    <w:rPr>
                      <w:rFonts w:hint="eastAsia" w:ascii="宋体" w:hAnsi="宋体" w:eastAsia="宋体" w:cs="Times New Roman"/>
                      <w:kern w:val="0"/>
                      <w:sz w:val="20"/>
                      <w:szCs w:val="20"/>
                      <w:lang w:val="en-US" w:eastAsia="zh-CN"/>
                    </w:rPr>
                  </w:pPr>
                  <w:r>
                    <w:rPr>
                      <w:rFonts w:hint="eastAsia" w:ascii="宋体" w:hAnsi="宋体" w:eastAsia="宋体" w:cs="Times New Roman"/>
                      <w:kern w:val="0"/>
                      <w:sz w:val="20"/>
                      <w:szCs w:val="20"/>
                      <w:lang w:val="en-US" w:eastAsia="zh-CN"/>
                    </w:rPr>
                    <w:t>台</w:t>
                  </w:r>
                </w:p>
              </w:tc>
              <w:tc>
                <w:tcPr>
                  <w:tcW w:w="2079" w:type="dxa"/>
                  <w:vAlign w:val="center"/>
                </w:tcPr>
                <w:p>
                  <w:pPr>
                    <w:widowControl/>
                    <w:jc w:val="center"/>
                    <w:rPr>
                      <w:rFonts w:ascii="宋体" w:hAnsi="宋体" w:eastAsia="宋体" w:cs="Times New Roman"/>
                      <w:kern w:val="0"/>
                      <w:sz w:val="20"/>
                      <w:szCs w:val="20"/>
                    </w:rPr>
                  </w:pPr>
                </w:p>
              </w:tc>
            </w:tr>
          </w:tbl>
          <w:p>
            <w:pPr>
              <w:jc w:val="both"/>
              <w:rPr>
                <w:rFonts w:hint="default" w:ascii="宋体" w:hAnsi="宋体"/>
                <w:lang w:val="en-US" w:eastAsia="zh-CN"/>
              </w:rPr>
            </w:pPr>
          </w:p>
        </w:tc>
      </w:tr>
    </w:tbl>
    <w:p>
      <w:pPr>
        <w:pStyle w:val="3"/>
        <w:bidi w:val="0"/>
        <w:jc w:val="center"/>
        <w:rPr>
          <w:sz w:val="32"/>
          <w:szCs w:val="32"/>
        </w:rPr>
      </w:pPr>
      <w:r>
        <w:rPr>
          <w:rFonts w:hint="eastAsia"/>
          <w:sz w:val="32"/>
          <w:szCs w:val="32"/>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0" w:type="dxa"/>
            <w:vAlign w:val="center"/>
          </w:tcPr>
          <w:p>
            <w:pPr>
              <w:jc w:val="center"/>
              <w:rPr>
                <w:rFonts w:hint="default" w:ascii="Times New Roman" w:hAnsi="Times New Roman" w:eastAsia="宋体" w:cs="Times New Roman"/>
                <w:b/>
                <w:bCs/>
                <w:sz w:val="22"/>
                <w:szCs w:val="22"/>
                <w:lang w:val="en-US" w:eastAsia="zh-CN"/>
              </w:rPr>
            </w:pPr>
            <w:r>
              <w:rPr>
                <w:rFonts w:hint="eastAsia" w:ascii="Times New Roman" w:hAnsi="Times New Roman" w:eastAsia="宋体" w:cs="Times New Roman"/>
                <w:b/>
                <w:bCs/>
                <w:sz w:val="22"/>
                <w:szCs w:val="22"/>
                <w:lang w:val="en-US" w:eastAsia="zh-CN"/>
              </w:rPr>
              <w:t>序号</w:t>
            </w:r>
          </w:p>
        </w:tc>
        <w:tc>
          <w:tcPr>
            <w:tcW w:w="5094" w:type="dxa"/>
            <w:vAlign w:val="center"/>
          </w:tcPr>
          <w:p>
            <w:pPr>
              <w:jc w:val="center"/>
              <w:rPr>
                <w:rFonts w:hint="default" w:ascii="Times New Roman" w:hAnsi="Times New Roman" w:eastAsia="宋体" w:cs="Times New Roman"/>
                <w:b/>
                <w:bCs/>
                <w:sz w:val="22"/>
                <w:szCs w:val="22"/>
                <w:lang w:val="en-US" w:eastAsia="zh-CN"/>
              </w:rPr>
            </w:pPr>
            <w:r>
              <w:rPr>
                <w:rFonts w:hint="eastAsia" w:ascii="Times New Roman" w:hAnsi="Times New Roman" w:eastAsia="宋体" w:cs="Times New Roman"/>
                <w:b/>
                <w:bCs/>
                <w:sz w:val="22"/>
                <w:szCs w:val="22"/>
                <w:lang w:val="en-US" w:eastAsia="zh-CN"/>
              </w:rPr>
              <w:t>名称</w:t>
            </w:r>
          </w:p>
        </w:tc>
        <w:tc>
          <w:tcPr>
            <w:tcW w:w="1985" w:type="dxa"/>
            <w:vAlign w:val="center"/>
          </w:tcPr>
          <w:p>
            <w:pPr>
              <w:jc w:val="center"/>
              <w:rPr>
                <w:rFonts w:hint="default" w:ascii="Times New Roman" w:hAnsi="Times New Roman" w:eastAsia="宋体" w:cs="Times New Roman"/>
                <w:b/>
                <w:bCs/>
                <w:sz w:val="22"/>
                <w:szCs w:val="22"/>
                <w:lang w:val="en-US" w:eastAsia="zh-CN"/>
              </w:rPr>
            </w:pPr>
            <w:r>
              <w:rPr>
                <w:rFonts w:hint="eastAsia" w:ascii="Times New Roman" w:hAnsi="Times New Roman" w:eastAsia="宋体" w:cs="Times New Roman"/>
                <w:b/>
                <w:bCs/>
                <w:sz w:val="22"/>
                <w:szCs w:val="22"/>
                <w:lang w:val="en-US" w:eastAsia="zh-CN"/>
              </w:rPr>
              <w:t>单位</w:t>
            </w:r>
          </w:p>
        </w:tc>
        <w:tc>
          <w:tcPr>
            <w:tcW w:w="2126" w:type="dxa"/>
            <w:vAlign w:val="center"/>
          </w:tcPr>
          <w:p>
            <w:pPr>
              <w:jc w:val="center"/>
              <w:rPr>
                <w:rFonts w:hint="default" w:ascii="Times New Roman" w:hAnsi="Times New Roman" w:eastAsia="宋体" w:cs="Times New Roman"/>
                <w:b/>
                <w:bCs/>
                <w:sz w:val="22"/>
                <w:szCs w:val="22"/>
                <w:lang w:val="en-US" w:eastAsia="zh-CN"/>
              </w:rPr>
            </w:pPr>
            <w:r>
              <w:rPr>
                <w:rFonts w:hint="eastAsia" w:ascii="Times New Roman" w:hAnsi="Times New Roman" w:eastAsia="宋体" w:cs="Times New Roman"/>
                <w:b/>
                <w:bCs/>
                <w:sz w:val="22"/>
                <w:szCs w:val="22"/>
                <w:lang w:val="en-US" w:eastAsia="zh-CN"/>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60" w:type="dxa"/>
            <w:vAlign w:val="center"/>
          </w:tcPr>
          <w:p>
            <w:pPr>
              <w:jc w:val="center"/>
              <w:rPr>
                <w:rFonts w:hint="default" w:ascii="Times New Roman" w:hAnsi="Times New Roman" w:eastAsia="宋体" w:cs="Times New Roman"/>
                <w:b w:val="0"/>
                <w:bCs w:val="0"/>
                <w:sz w:val="22"/>
                <w:szCs w:val="22"/>
                <w:lang w:val="en-US" w:eastAsia="zh-CN"/>
              </w:rPr>
            </w:pPr>
            <w:r>
              <w:rPr>
                <w:rFonts w:hint="eastAsia" w:ascii="Times New Roman" w:hAnsi="Times New Roman" w:eastAsia="宋体" w:cs="Times New Roman"/>
                <w:b w:val="0"/>
                <w:bCs w:val="0"/>
                <w:sz w:val="22"/>
                <w:szCs w:val="22"/>
                <w:lang w:val="en-US" w:eastAsia="zh-CN"/>
              </w:rPr>
              <w:t>1</w:t>
            </w:r>
          </w:p>
        </w:tc>
        <w:tc>
          <w:tcPr>
            <w:tcW w:w="5094" w:type="dxa"/>
            <w:vAlign w:val="center"/>
          </w:tcPr>
          <w:p>
            <w:pPr>
              <w:jc w:val="center"/>
              <w:rPr>
                <w:rFonts w:hint="default" w:ascii="Times New Roman" w:hAnsi="Times New Roman" w:eastAsia="宋体" w:cs="Times New Roman"/>
                <w:b w:val="0"/>
                <w:bCs w:val="0"/>
                <w:sz w:val="22"/>
                <w:szCs w:val="22"/>
                <w:lang w:val="en-US" w:eastAsia="zh-CN"/>
              </w:rPr>
            </w:pPr>
            <w:r>
              <w:rPr>
                <w:rFonts w:hint="eastAsia" w:ascii="Times New Roman" w:hAnsi="Times New Roman" w:eastAsia="宋体" w:cs="Times New Roman"/>
                <w:b w:val="0"/>
                <w:bCs w:val="0"/>
                <w:sz w:val="22"/>
                <w:szCs w:val="22"/>
                <w:lang w:val="en-US" w:eastAsia="zh-CN"/>
              </w:rPr>
              <w:t>穿刺针</w:t>
            </w:r>
          </w:p>
        </w:tc>
        <w:tc>
          <w:tcPr>
            <w:tcW w:w="1985" w:type="dxa"/>
            <w:vAlign w:val="center"/>
          </w:tcPr>
          <w:p>
            <w:pPr>
              <w:jc w:val="center"/>
              <w:rPr>
                <w:rFonts w:hint="eastAsia" w:ascii="Times New Roman" w:hAnsi="Times New Roman" w:eastAsia="宋体" w:cs="Times New Roman"/>
                <w:b w:val="0"/>
                <w:bCs w:val="0"/>
                <w:sz w:val="22"/>
                <w:szCs w:val="22"/>
                <w:lang w:val="en-US" w:eastAsia="zh-CN"/>
              </w:rPr>
            </w:pPr>
            <w:r>
              <w:rPr>
                <w:rFonts w:hint="eastAsia" w:ascii="Times New Roman" w:hAnsi="Times New Roman" w:eastAsia="宋体" w:cs="Times New Roman"/>
                <w:b w:val="0"/>
                <w:bCs w:val="0"/>
                <w:sz w:val="22"/>
                <w:szCs w:val="22"/>
                <w:lang w:val="en-US" w:eastAsia="zh-CN"/>
              </w:rPr>
              <w:t>件</w:t>
            </w:r>
          </w:p>
        </w:tc>
        <w:tc>
          <w:tcPr>
            <w:tcW w:w="2126" w:type="dxa"/>
            <w:vAlign w:val="center"/>
          </w:tcPr>
          <w:p>
            <w:pPr>
              <w:jc w:val="center"/>
              <w:rPr>
                <w:rFonts w:hint="default" w:ascii="Times New Roman" w:hAnsi="Times New Roman" w:eastAsia="宋体" w:cs="Times New Roman"/>
                <w:b w:val="0"/>
                <w:bCs w:val="0"/>
                <w:sz w:val="22"/>
                <w:szCs w:val="22"/>
                <w:lang w:val="en-US" w:eastAsia="zh-CN"/>
              </w:rPr>
            </w:pPr>
            <w:r>
              <w:rPr>
                <w:rFonts w:hint="eastAsia" w:ascii="Times New Roman" w:hAnsi="Times New Roman" w:eastAsia="宋体" w:cs="Times New Roman"/>
                <w:b w:val="0"/>
                <w:bCs w:val="0"/>
                <w:sz w:val="22"/>
                <w:szCs w:val="22"/>
                <w:lang w:val="en-US" w:eastAsia="zh-CN"/>
              </w:rPr>
              <w:t>8000</w:t>
            </w:r>
          </w:p>
        </w:tc>
      </w:tr>
    </w:tbl>
    <w:p>
      <w:pPr>
        <w:jc w:val="left"/>
        <w:rPr>
          <w:rFonts w:ascii="Times New Roman" w:hAnsi="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5107"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pPr>
              <w:jc w:val="center"/>
              <w:rPr>
                <w:rFonts w:hint="eastAsia" w:ascii="Times New Roman" w:hAnsi="Times New Roman" w:eastAsia="宋体" w:cs="Times New Roman"/>
                <w:b/>
                <w:sz w:val="22"/>
                <w:szCs w:val="22"/>
                <w:lang w:eastAsia="zh-CN"/>
              </w:rPr>
            </w:pPr>
            <w:r>
              <w:rPr>
                <w:rFonts w:hint="default" w:ascii="Times New Roman" w:hAnsi="Times New Roman" w:eastAsia="宋体" w:cs="Times New Roman"/>
                <w:b/>
                <w:sz w:val="22"/>
                <w:szCs w:val="22"/>
              </w:rPr>
              <w:t>预算单价</w:t>
            </w:r>
            <w:r>
              <w:rPr>
                <w:rFonts w:hint="eastAsia" w:ascii="Times New Roman" w:hAnsi="Times New Roman" w:cs="Times New Roman"/>
                <w:b/>
                <w:sz w:val="22"/>
                <w:szCs w:val="22"/>
                <w:lang w:eastAsia="zh-CN"/>
              </w:rPr>
              <w:t>（</w:t>
            </w:r>
            <w:r>
              <w:rPr>
                <w:rFonts w:hint="eastAsia" w:ascii="Times New Roman" w:hAnsi="Times New Roman" w:cs="Times New Roman"/>
                <w:b/>
                <w:sz w:val="22"/>
                <w:szCs w:val="22"/>
                <w:lang w:val="en-US" w:eastAsia="zh-CN"/>
              </w:rPr>
              <w:t>元</w:t>
            </w:r>
            <w:r>
              <w:rPr>
                <w:rFonts w:hint="eastAsia" w:ascii="Times New Roman" w:hAnsi="Times New Roman" w:cs="Times New Roman"/>
                <w:b/>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浓缩稀释液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通道稀释液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HGB通道溶血剂</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白细胞计数通道溶血剂</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白细胞分类通道溶血剂</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白细胞计数通道染色液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7</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白细胞分类通道染色液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8</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RET通道稀释液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RET通道染色液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血常规质控高值</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支</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11</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血常规质控中值</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支</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12</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血常规质控低值</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支</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13</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RET质控高值</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支</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14</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RET质控中值</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支</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15</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RET质控低值</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支</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16</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血常规校准</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支</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17</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清洁液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18</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C反应蛋白溶血剂</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19</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C反应蛋白清洁液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20</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C反应蛋白试剂盒</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21</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C反应蛋白质控品</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22</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C反应蛋白校准品</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23</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SAA试剂盒</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24</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SAA质控品</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25</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SAA校准品</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26</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血沉清洗液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27</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载玻片</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28</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专用镜油</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29</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染色液A液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染色液B液</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31</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糖化血红蛋白洗脱液 A</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32</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糖化血红蛋白洗脱液 B</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33</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糖化血红蛋白溶血剂</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箱</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5200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34</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层析柱(5000次)</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35</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糖化血红蛋白校准品</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1360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36</w:t>
            </w:r>
          </w:p>
        </w:tc>
        <w:tc>
          <w:tcPr>
            <w:tcW w:w="5107"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糖化血红蛋白质控品</w:t>
            </w:r>
          </w:p>
        </w:tc>
        <w:tc>
          <w:tcPr>
            <w:tcW w:w="1985"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盒</w:t>
            </w:r>
          </w:p>
        </w:tc>
        <w:tc>
          <w:tcPr>
            <w:tcW w:w="2126" w:type="dxa"/>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2"/>
                <w:szCs w:val="22"/>
                <w:u w:val="none"/>
                <w:lang w:val="en-US" w:eastAsia="zh-CN" w:bidi="ar"/>
              </w:rPr>
            </w:pPr>
            <w:r>
              <w:rPr>
                <w:rFonts w:hint="default" w:ascii="Times New Roman" w:hAnsi="Times New Roman" w:eastAsia="宋体" w:cs="Times New Roman"/>
                <w:i w:val="0"/>
                <w:iCs w:val="0"/>
                <w:color w:val="000000"/>
                <w:kern w:val="0"/>
                <w:sz w:val="22"/>
                <w:szCs w:val="22"/>
                <w:u w:val="none"/>
                <w:lang w:val="en-US" w:eastAsia="zh-CN" w:bidi="ar"/>
              </w:rPr>
              <w:t>763</w:t>
            </w:r>
          </w:p>
        </w:tc>
      </w:tr>
    </w:tbl>
    <w:p>
      <w:pPr>
        <w:jc w:val="left"/>
        <w:rPr>
          <w:rFonts w:ascii="微软雅黑" w:hAnsi="微软雅黑" w:eastAsia="微软雅黑" w:cs="宋体"/>
          <w:color w:val="3F3F3F"/>
          <w:kern w:val="0"/>
          <w:szCs w:val="21"/>
        </w:rPr>
      </w:pPr>
    </w:p>
    <w:sectPr>
      <w:footerReference r:id="rId3"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 w:name="DejaVu Sans">
    <w:panose1 w:val="020B0606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160D3253"/>
    <w:rsid w:val="1FCD0AFE"/>
    <w:rsid w:val="200D3FBF"/>
    <w:rsid w:val="20527BD7"/>
    <w:rsid w:val="23006066"/>
    <w:rsid w:val="38A32080"/>
    <w:rsid w:val="3D266927"/>
    <w:rsid w:val="467D015B"/>
    <w:rsid w:val="4E6316DE"/>
    <w:rsid w:val="59114FB0"/>
    <w:rsid w:val="5B7E2608"/>
    <w:rsid w:val="5E10150C"/>
    <w:rsid w:val="655230CF"/>
    <w:rsid w:val="6C2E220A"/>
    <w:rsid w:val="7C2E2604"/>
    <w:rsid w:val="7DFD16EA"/>
    <w:rsid w:val="7FF3184E"/>
    <w:rsid w:val="AF97B61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unhideWhenUsed/>
    <w:qFormat/>
    <w:uiPriority w:val="99"/>
    <w:pPr>
      <w:jc w:val="left"/>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qFormat/>
    <w:uiPriority w:val="99"/>
    <w:rPr>
      <w:sz w:val="21"/>
      <w:szCs w:val="21"/>
    </w:rPr>
  </w:style>
  <w:style w:type="character" w:customStyle="1" w:styleId="12">
    <w:name w:val="标题 1 字符"/>
    <w:link w:val="2"/>
    <w:qFormat/>
    <w:uiPriority w:val="9"/>
    <w:rPr>
      <w:b/>
      <w:bCs/>
      <w:kern w:val="44"/>
      <w:sz w:val="44"/>
      <w:szCs w:val="44"/>
    </w:rPr>
  </w:style>
  <w:style w:type="character" w:customStyle="1" w:styleId="13">
    <w:name w:val="批注文字 字符"/>
    <w:link w:val="4"/>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font31"/>
    <w:basedOn w:val="10"/>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Sky123.Org</Company>
  <Pages>4</Pages>
  <Words>2105</Words>
  <Characters>2484</Characters>
  <Lines>10</Lines>
  <Paragraphs>2</Paragraphs>
  <TotalTime>3</TotalTime>
  <ScaleCrop>false</ScaleCrop>
  <LinksUpToDate>false</LinksUpToDate>
  <CharactersWithSpaces>2501</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2023-11-02T11:07:00Z</dcterms:created>
  <dc:creator>Sky123.Org</dc:creator>
  <cp:lastModifiedBy>WE</cp:lastModifiedBy>
  <cp:lastPrinted>2020-06-15T11:32:00Z</cp:lastPrinted>
  <dcterms:modified xsi:type="dcterms:W3CDTF">2024-07-09T17:52:41Z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2D75FD5F469846EBB5A73AA4C0FC1D02_13</vt:lpwstr>
  </property>
</Properties>
</file>