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黑体" w:hAnsi="黑体" w:eastAsia="黑体" w:cs="黑体"/>
        </w:rPr>
      </w:pPr>
      <w:r>
        <w:rPr>
          <w:rFonts w:hint="eastAsia" w:ascii="黑体" w:hAnsi="黑体" w:eastAsia="黑体" w:cs="黑体"/>
          <w:lang w:val="en-US" w:eastAsia="zh-CN"/>
        </w:rPr>
        <w:t>深圳市儿童医院</w:t>
      </w:r>
      <w:r>
        <w:rPr>
          <w:rFonts w:hint="eastAsia" w:ascii="黑体" w:hAnsi="黑体" w:eastAsia="黑体" w:cs="黑体"/>
        </w:rPr>
        <w:t>设备采购需求参数表</w:t>
      </w:r>
    </w:p>
    <w:tbl>
      <w:tblPr>
        <w:tblStyle w:val="8"/>
        <w:tblW w:w="9654" w:type="dxa"/>
        <w:jc w:val="center"/>
        <w:tblLayout w:type="autofit"/>
        <w:tblCellMar>
          <w:top w:w="0" w:type="dxa"/>
          <w:left w:w="108" w:type="dxa"/>
          <w:bottom w:w="0" w:type="dxa"/>
          <w:right w:w="108" w:type="dxa"/>
        </w:tblCellMar>
      </w:tblPr>
      <w:tblGrid>
        <w:gridCol w:w="660"/>
        <w:gridCol w:w="1344"/>
        <w:gridCol w:w="7650"/>
      </w:tblGrid>
      <w:tr>
        <w:tblPrEx>
          <w:tblCellMar>
            <w:top w:w="0" w:type="dxa"/>
            <w:left w:w="108" w:type="dxa"/>
            <w:bottom w:w="0" w:type="dxa"/>
            <w:right w:w="108" w:type="dxa"/>
          </w:tblCellMar>
        </w:tblPrEx>
        <w:trPr>
          <w:trHeight w:val="567" w:hRule="atLeast"/>
          <w:jc w:val="center"/>
        </w:trPr>
        <w:tc>
          <w:tcPr>
            <w:tcW w:w="660"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序号</w:t>
            </w:r>
          </w:p>
        </w:tc>
        <w:tc>
          <w:tcPr>
            <w:tcW w:w="1344" w:type="dxa"/>
            <w:tcBorders>
              <w:top w:val="single" w:color="3F3F3F" w:sz="4" w:space="0"/>
              <w:left w:val="single" w:color="auto" w:sz="4" w:space="0"/>
              <w:bottom w:val="single" w:color="3F3F3F" w:sz="4" w:space="0"/>
              <w:right w:val="single" w:color="3F3F3F" w:sz="4" w:space="0"/>
            </w:tcBorders>
            <w:shd w:val="clear" w:color="000000" w:fill="FFFFFF"/>
            <w:vAlign w:val="center"/>
          </w:tcPr>
          <w:p>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项目名称</w:t>
            </w: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招标事项及要求</w:t>
            </w:r>
          </w:p>
        </w:tc>
      </w:tr>
      <w:tr>
        <w:tblPrEx>
          <w:tblCellMar>
            <w:top w:w="0" w:type="dxa"/>
            <w:left w:w="108" w:type="dxa"/>
            <w:bottom w:w="0" w:type="dxa"/>
            <w:right w:w="108" w:type="dxa"/>
          </w:tblCellMar>
        </w:tblPrEx>
        <w:trPr>
          <w:trHeight w:val="454" w:hRule="atLeast"/>
          <w:jc w:val="center"/>
        </w:trPr>
        <w:tc>
          <w:tcPr>
            <w:tcW w:w="660" w:type="dxa"/>
            <w:vMerge w:val="restart"/>
            <w:tcBorders>
              <w:top w:val="single" w:color="auto" w:sz="4" w:space="0"/>
              <w:left w:val="single" w:color="auto" w:sz="4" w:space="0"/>
              <w:right w:val="single" w:color="3F3F3F" w:sz="4" w:space="0"/>
            </w:tcBorders>
            <w:shd w:val="clear" w:color="000000" w:fill="FFFFFF"/>
            <w:vAlign w:val="center"/>
          </w:tcPr>
          <w:p>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14:textFill>
                  <w14:solidFill>
                    <w14:schemeClr w14:val="tx1"/>
                  </w14:solidFill>
                </w14:textFill>
              </w:rPr>
              <w:t>1</w:t>
            </w:r>
          </w:p>
        </w:tc>
        <w:tc>
          <w:tcPr>
            <w:tcW w:w="1344" w:type="dxa"/>
            <w:vMerge w:val="restart"/>
            <w:tcBorders>
              <w:top w:val="single" w:color="3F3F3F" w:sz="4" w:space="0"/>
              <w:left w:val="single" w:color="3F3F3F" w:sz="4" w:space="0"/>
              <w:right w:val="single" w:color="3F3F3F" w:sz="4" w:space="0"/>
            </w:tcBorders>
            <w:shd w:val="clear" w:color="000000" w:fill="FFFFFF"/>
            <w:vAlign w:val="center"/>
          </w:tcPr>
          <w:p>
            <w:pPr>
              <w:widowControl/>
              <w:jc w:val="center"/>
              <w:rPr>
                <w:rFonts w:hint="default" w:ascii="Times New Roman" w:hAnsi="Times New Roman" w:eastAsia="宋体" w:cs="Times New Roman"/>
                <w:b/>
                <w:bCs/>
                <w:color w:val="000000" w:themeColor="text1"/>
                <w:kern w:val="0"/>
                <w:sz w:val="22"/>
                <w:szCs w:val="22"/>
                <w14:textFill>
                  <w14:solidFill>
                    <w14:schemeClr w14:val="tx1"/>
                  </w14:solidFill>
                </w14:textFill>
              </w:rPr>
            </w:pPr>
            <w:r>
              <w:rPr>
                <w:rFonts w:hint="default" w:ascii="Times New Roman" w:hAnsi="Times New Roman" w:eastAsia="宋体" w:cs="Times New Roman"/>
                <w:b/>
                <w:bCs/>
                <w:color w:val="000000" w:themeColor="text1"/>
                <w:kern w:val="0"/>
                <w:sz w:val="22"/>
                <w:szCs w:val="22"/>
                <w:lang w:val="en-US" w:eastAsia="zh-CN"/>
                <w14:textFill>
                  <w14:solidFill>
                    <w14:schemeClr w14:val="tx1"/>
                  </w14:solidFill>
                </w14:textFill>
              </w:rPr>
              <w:t>全自动血液分析流水线（末梢血）</w:t>
            </w: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default" w:ascii="Times New Roman" w:hAnsi="Times New Roman" w:eastAsia="宋体" w:cs="Times New Roman"/>
                <w:color w:val="000000" w:themeColor="text1"/>
                <w:sz w:val="22"/>
                <w:szCs w:val="22"/>
                <w14:textFill>
                  <w14:solidFill>
                    <w14:schemeClr w14:val="tx1"/>
                  </w14:solidFill>
                </w14:textFill>
              </w:rPr>
              <w:t>全自动血液分析流水线具备白细胞五分类、有核红细胞、网织红细胞、体液细胞、CRP、SAA、血沉等检测功能。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numPr>
                <w:ilvl w:val="0"/>
                <w:numId w:val="0"/>
              </w:num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14:textFill>
                  <w14:solidFill>
                    <w14:schemeClr w14:val="tx1"/>
                  </w14:solidFill>
                </w14:textFill>
              </w:rPr>
              <w:t>全自动血液分析流水线的全自动血液细胞分析仪、全自动特定蛋白分析仪、推片染色机、全自动细胞形态学分析仪（阅片机）由轨道相连。</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14:textFill>
                  <w14:solidFill>
                    <w14:schemeClr w14:val="tx1"/>
                  </w14:solidFill>
                </w14:textFill>
              </w:rPr>
              <w:t>▲全自动血液细胞分析仪、推片染色机、全自动细胞形态学分析仪（阅片机）为同一品牌。（</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14:textFill>
                  <w14:solidFill>
                    <w14:schemeClr w14:val="tx1"/>
                  </w14:solidFill>
                </w14:textFill>
              </w:rPr>
              <w:t>▲全自动血液分析流水线检测速度要求：全血细胞计数+五分类+NRBC检测速度≥440个样本/小时，全血细胞计数+五分类+NRBC+CRP检测速度≥200个样本/小时，自动推片染色速度≥120个样本/小时。（</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5.</w:t>
            </w:r>
            <w:r>
              <w:rPr>
                <w:rFonts w:hint="default" w:ascii="Times New Roman" w:hAnsi="Times New Roman" w:eastAsia="宋体" w:cs="Times New Roman"/>
                <w:color w:val="000000" w:themeColor="text1"/>
                <w:sz w:val="22"/>
                <w:szCs w:val="22"/>
                <w14:textFill>
                  <w14:solidFill>
                    <w14:schemeClr w14:val="tx1"/>
                  </w14:solidFill>
                </w14:textFill>
              </w:rPr>
              <w:t>分析系统可设定自动复检规则和自动审核规则，自动审核规则需经过多中心单位验证。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6.</w:t>
            </w:r>
            <w:r>
              <w:rPr>
                <w:rFonts w:hint="default" w:ascii="Times New Roman" w:hAnsi="Times New Roman" w:eastAsia="宋体" w:cs="Times New Roman"/>
                <w:color w:val="000000" w:themeColor="text1"/>
                <w:sz w:val="22"/>
                <w:szCs w:val="22"/>
                <w14:textFill>
                  <w14:solidFill>
                    <w14:schemeClr w14:val="tx1"/>
                  </w14:solidFill>
                </w14:textFill>
              </w:rPr>
              <w:t>检测方法及原理：血液分析采用半导体激光法、鞘流电阻抗法、荧光染色法和流式细胞技术原理，CRP、SAA检测采用胶乳增强免疫散射比浊法。</w:t>
            </w:r>
            <w:bookmarkStart w:id="0" w:name="_GoBack"/>
            <w:bookmarkEnd w:id="0"/>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7.</w:t>
            </w:r>
            <w:r>
              <w:rPr>
                <w:rFonts w:hint="default" w:ascii="Times New Roman" w:hAnsi="Times New Roman" w:eastAsia="宋体" w:cs="Times New Roman"/>
                <w:color w:val="000000" w:themeColor="text1"/>
                <w:sz w:val="22"/>
                <w:szCs w:val="22"/>
                <w14:textFill>
                  <w14:solidFill>
                    <w14:schemeClr w14:val="tx1"/>
                  </w14:solidFill>
                </w14:textFill>
              </w:rPr>
              <w:t>血液分析流水线上每一台血液检测分析仪均需满足血液分析报告参数：血液分析报告参数≥37个。（备注：不含直方图、散点图，</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8.</w:t>
            </w:r>
            <w:r>
              <w:rPr>
                <w:rFonts w:hint="default" w:ascii="Times New Roman" w:hAnsi="Times New Roman" w:eastAsia="宋体" w:cs="Times New Roman"/>
                <w:color w:val="000000" w:themeColor="text1"/>
                <w:sz w:val="22"/>
                <w:szCs w:val="22"/>
                <w14:textFill>
                  <w14:solidFill>
                    <w14:schemeClr w14:val="tx1"/>
                  </w14:solidFill>
                </w14:textFill>
              </w:rPr>
              <w:t>体液报告参数：体液分析报告参数≥7个。（需出具注册相关材料予以佐证）。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9.</w:t>
            </w:r>
            <w:r>
              <w:rPr>
                <w:rFonts w:hint="default" w:ascii="Times New Roman" w:hAnsi="Times New Roman" w:eastAsia="宋体" w:cs="Times New Roman"/>
                <w:color w:val="000000" w:themeColor="text1"/>
                <w:sz w:val="22"/>
                <w:szCs w:val="22"/>
                <w14:textFill>
                  <w14:solidFill>
                    <w14:schemeClr w14:val="tx1"/>
                  </w14:solidFill>
                </w14:textFill>
              </w:rPr>
              <w:t>▲直方图散点图：直方图≥2个；二维散点图≥3个；三维散点图≥2个。（</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10.</w:t>
            </w:r>
            <w:r>
              <w:rPr>
                <w:rFonts w:hint="default" w:ascii="Times New Roman" w:hAnsi="Times New Roman" w:eastAsia="宋体" w:cs="Times New Roman"/>
                <w:color w:val="000000" w:themeColor="text1"/>
                <w:sz w:val="22"/>
                <w:szCs w:val="22"/>
                <w14:textFill>
                  <w14:solidFill>
                    <w14:schemeClr w14:val="tx1"/>
                  </w14:solidFill>
                </w14:textFill>
              </w:rPr>
              <w:t>单机检测速度：CBC＋DIFF ≥110个样本/小时。（</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11.</w:t>
            </w:r>
            <w:r>
              <w:rPr>
                <w:rFonts w:hint="default" w:ascii="Times New Roman" w:hAnsi="Times New Roman" w:eastAsia="宋体" w:cs="Times New Roman"/>
                <w:color w:val="000000" w:themeColor="text1"/>
                <w:sz w:val="22"/>
                <w:szCs w:val="22"/>
                <w14:textFill>
                  <w14:solidFill>
                    <w14:schemeClr w14:val="tx1"/>
                  </w14:solidFill>
                </w14:textFill>
              </w:rPr>
              <w:t>样本用量：末梢全血可自动批量进样或手动进样；末梢全血检测CDR+CRP用血量≤37μl，预稀释模式CDR+CRP用血量≤20μl。</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cs="Times New Roman"/>
                <w:color w:val="000000" w:themeColor="text1"/>
                <w:sz w:val="22"/>
                <w:szCs w:val="22"/>
                <w:lang w:val="en-US" w:eastAsia="zh-CN"/>
                <w14:textFill>
                  <w14:solidFill>
                    <w14:schemeClr w14:val="tx1"/>
                  </w14:solidFill>
                </w14:textFill>
              </w:rPr>
              <w:t>12.</w:t>
            </w:r>
            <w:r>
              <w:rPr>
                <w:rFonts w:hint="default" w:ascii="Times New Roman" w:hAnsi="Times New Roman" w:eastAsia="宋体" w:cs="Times New Roman"/>
                <w:color w:val="000000" w:themeColor="text1"/>
                <w:sz w:val="22"/>
                <w:szCs w:val="22"/>
                <w14:textFill>
                  <w14:solidFill>
                    <w14:schemeClr w14:val="tx1"/>
                  </w14:solidFill>
                </w14:textFill>
              </w:rPr>
              <w:t>全自动血液细胞分析仪标配自动进样器，自动进样器内轨标配回退功能。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具有全自动体液（含胸水、腹水、脑脊液和浆膜液等体液）细胞计数和对体液中的白细胞进行分类的功能；具有通过高荧光体液细胞参数对肿瘤细胞进行提示功能。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末梢全血预稀释模式也能进行白细胞五分类、有核红细胞、网织红细胞和CRP、SAA检测，有急诊插入功能。</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5</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使用荧光染料和半导体激光检测WBC五分类，并具有有核红细胞实测功能，能自动进行对白细胞计数的校正。</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6</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具有全自动网织红细胞检测功能，可对网织红进行分型，提供网织红成熟度指数，网织红细胞检测无需机外染色处理。</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auto"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7</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具有检测网织红细胞血红蛋白含量的功能，以帮助判断贫血的类型。</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top w:val="single" w:color="auto" w:sz="4" w:space="0"/>
              <w:left w:val="single" w:color="3F3F3F"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auto" w:sz="4" w:space="0"/>
              <w:left w:val="nil"/>
              <w:bottom w:val="single" w:color="auto" w:sz="4" w:space="0"/>
              <w:right w:val="single" w:color="auto"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8</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血小板检测采用鞘流阻抗法和荧光染色法两种方法，并可转换。</w:t>
            </w:r>
          </w:p>
        </w:tc>
      </w:tr>
      <w:tr>
        <w:tblPrEx>
          <w:tblCellMar>
            <w:top w:w="0" w:type="dxa"/>
            <w:left w:w="108" w:type="dxa"/>
            <w:bottom w:w="0" w:type="dxa"/>
            <w:right w:w="108" w:type="dxa"/>
          </w:tblCellMar>
        </w:tblPrEx>
        <w:trPr>
          <w:trHeight w:val="454" w:hRule="atLeast"/>
          <w:jc w:val="center"/>
        </w:trPr>
        <w:tc>
          <w:tcPr>
            <w:tcW w:w="660" w:type="dxa"/>
            <w:vMerge w:val="continue"/>
            <w:tcBorders>
              <w:top w:val="single" w:color="auto" w:sz="4" w:space="0"/>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top w:val="single" w:color="auto" w:sz="4" w:space="0"/>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auto"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1</w:t>
            </w:r>
            <w:r>
              <w:rPr>
                <w:rFonts w:hint="eastAsia" w:ascii="Times New Roman" w:hAnsi="Times New Roman" w:cs="Times New Roman"/>
                <w:color w:val="000000" w:themeColor="text1"/>
                <w:sz w:val="22"/>
                <w:szCs w:val="22"/>
                <w:lang w:val="en-US" w:eastAsia="zh-CN"/>
                <w14:textFill>
                  <w14:solidFill>
                    <w14:schemeClr w14:val="tx1"/>
                  </w14:solidFill>
                </w14:textFill>
              </w:rPr>
              <w:t>9</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具有低值血小板检测功能，如遇血小板低值时通过自动增加计数颗粒数量来保证血小板检测精度。</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cs="Times New Roman"/>
                <w:color w:val="000000" w:themeColor="text1"/>
                <w:sz w:val="22"/>
                <w:szCs w:val="22"/>
                <w:lang w:val="en-US" w:eastAsia="zh-CN"/>
                <w14:textFill>
                  <w14:solidFill>
                    <w14:schemeClr w14:val="tx1"/>
                  </w14:solidFill>
                </w14:textFill>
              </w:rPr>
              <w:t>20</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血液分析仪主机自带≥10寸大屏幕彩色液晶触摸屏。（</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1</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 血液分析线性范围（静脉血）：白细胞：（0-490）×10^9/L，红细胞：（0-8.0）×10^12/L，血小板：（0-4900）×10^9/L。（线性范围上限可高于要求，不能低于此要求；</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血液模式空白计数要求：白细胞≤0.1×10^9/L，红细胞≤0.02×10^12/L，血红蛋白≤1g/L，阻抗法血小板≤5×10^9/L。</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特定蛋白分析线性范围：CRP：0.2-320mg/L。（</w:t>
            </w:r>
            <w:r>
              <w:rPr>
                <w:rFonts w:hint="default" w:ascii="Times New Roman" w:hAnsi="Times New Roman" w:eastAsia="宋体" w:cs="Times New Roman"/>
                <w:color w:val="000000" w:themeColor="text1"/>
                <w:sz w:val="22"/>
                <w:szCs w:val="22"/>
                <w:lang w:eastAsia="zh-CN"/>
                <w14:textFill>
                  <w14:solidFill>
                    <w14:schemeClr w14:val="tx1"/>
                  </w14:solidFill>
                </w14:textFill>
              </w:rPr>
              <w:t>须提供厂家公开发行的产品彩页加盖厂家公章证明</w:t>
            </w:r>
            <w:r>
              <w:rPr>
                <w:rFonts w:hint="default" w:ascii="Times New Roman" w:hAnsi="Times New Roman" w:eastAsia="宋体" w:cs="Times New Roman"/>
                <w:color w:val="000000" w:themeColor="text1"/>
                <w:sz w:val="22"/>
                <w:szCs w:val="22"/>
                <w14:textFill>
                  <w14:solidFill>
                    <w14:schemeClr w14:val="tx1"/>
                  </w14:solidFill>
                </w14:textFill>
              </w:rPr>
              <w:t>）</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采血要求：CRP和血沉检测可使用EDTA抗凝采血管，节省患者采血量。</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5</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高值标本自动检测：仪器可自动识别、回退、稀释高值SAA样本，避免假低报告发出。</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6</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CRP和 SAA提供有溯源性的有证血液校准物和质控品。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7</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推片染色机可独立工作，在没有血常规HCT结果时也可进行推片。</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8</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推片规则：≥10项，用户可自定义推片规则。</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2</w:t>
            </w:r>
            <w:r>
              <w:rPr>
                <w:rFonts w:hint="eastAsia" w:ascii="Times New Roman" w:hAnsi="Times New Roman" w:cs="Times New Roman"/>
                <w:color w:val="000000" w:themeColor="text1"/>
                <w:sz w:val="22"/>
                <w:szCs w:val="22"/>
                <w:lang w:val="en-US" w:eastAsia="zh-CN"/>
                <w14:textFill>
                  <w14:solidFill>
                    <w14:schemeClr w14:val="tx1"/>
                  </w14:solidFill>
                </w14:textFill>
              </w:rPr>
              <w:t>9</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染色方式：≥7种。</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eastAsia" w:ascii="Times New Roman" w:hAnsi="Times New Roman" w:cs="Times New Roman"/>
                <w:color w:val="000000" w:themeColor="text1"/>
                <w:sz w:val="22"/>
                <w:szCs w:val="22"/>
                <w:lang w:val="en-US" w:eastAsia="zh-CN"/>
                <w14:textFill>
                  <w14:solidFill>
                    <w14:schemeClr w14:val="tx1"/>
                  </w14:solidFill>
                </w14:textFill>
              </w:rPr>
              <w:t>30</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玻片识别：可直接在玻片上打印数字、条码和二维码。</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3</w:t>
            </w:r>
            <w:r>
              <w:rPr>
                <w:rFonts w:hint="eastAsia" w:ascii="Times New Roman" w:hAnsi="Times New Roman" w:cs="Times New Roman"/>
                <w:color w:val="000000" w:themeColor="text1"/>
                <w:sz w:val="22"/>
                <w:szCs w:val="22"/>
                <w:lang w:val="en-US" w:eastAsia="zh-CN"/>
                <w14:textFill>
                  <w14:solidFill>
                    <w14:schemeClr w14:val="tx1"/>
                  </w14:solidFill>
                </w14:textFill>
              </w:rPr>
              <w:t>1</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推片染色机用血量：全自动进样≤200μl，闭盖进样≤200μl，微量血进样≤40μl（提供证明文件）。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3</w:t>
            </w:r>
            <w:r>
              <w:rPr>
                <w:rFonts w:hint="eastAsia" w:ascii="Times New Roman" w:hAnsi="Times New Roman" w:cs="Times New Roman"/>
                <w:color w:val="000000" w:themeColor="text1"/>
                <w:sz w:val="22"/>
                <w:szCs w:val="22"/>
                <w:lang w:val="en-US" w:eastAsia="zh-CN"/>
                <w14:textFill>
                  <w14:solidFill>
                    <w14:schemeClr w14:val="tx1"/>
                  </w14:solidFill>
                </w14:textFill>
              </w:rPr>
              <w:t>2</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仪器可自动检测血液粘稠度，根据粘稠度的不同对滴血量、推片的速度/角度、推刀在血滴上停留的时间等进行控制</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3</w:t>
            </w:r>
            <w:r>
              <w:rPr>
                <w:rFonts w:hint="eastAsia" w:ascii="Times New Roman" w:hAnsi="Times New Roman" w:cs="Times New Roman"/>
                <w:color w:val="000000" w:themeColor="text1"/>
                <w:sz w:val="22"/>
                <w:szCs w:val="22"/>
                <w:lang w:val="en-US" w:eastAsia="zh-CN"/>
                <w14:textFill>
                  <w14:solidFill>
                    <w14:schemeClr w14:val="tx1"/>
                  </w14:solidFill>
                </w14:textFill>
              </w:rPr>
              <w:t>3</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提供经过NMPA注册的同品牌的体液质控物，需满足三个浓度水平。</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3F3F3F"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3</w:t>
            </w:r>
            <w:r>
              <w:rPr>
                <w:rFonts w:hint="eastAsia" w:ascii="Times New Roman" w:hAnsi="Times New Roman" w:cs="Times New Roman"/>
                <w:color w:val="000000" w:themeColor="text1"/>
                <w:sz w:val="22"/>
                <w:szCs w:val="22"/>
                <w:lang w:val="en-US" w:eastAsia="zh-CN"/>
                <w14:textFill>
                  <w14:solidFill>
                    <w14:schemeClr w14:val="tx1"/>
                  </w14:solidFill>
                </w14:textFill>
              </w:rPr>
              <w:t>4</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阅片机适用范围：用于对外周血涂片血细胞的形态图像摄取、可视化观察及描述，包括白细胞单细胞图像摄取、初步分类，红细胞形态描述及血小板数目估算。</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left w:val="single" w:color="3F3F3F"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3F3F3F" w:sz="4" w:space="0"/>
              <w:left w:val="nil"/>
              <w:bottom w:val="single" w:color="auto" w:sz="4" w:space="0"/>
              <w:right w:val="single" w:color="3F3F3F" w:sz="4" w:space="0"/>
            </w:tcBorders>
            <w:shd w:val="clear" w:color="000000" w:fill="FFFFFF"/>
            <w:vAlign w:val="center"/>
          </w:tcPr>
          <w:p>
            <w:pPr>
              <w:jc w:val="left"/>
              <w:rPr>
                <w:rFonts w:hint="default" w:ascii="Times New Roman" w:hAnsi="Times New Roman" w:eastAsia="宋体" w:cs="Times New Roman"/>
                <w:color w:val="000000" w:themeColor="text1"/>
                <w:kern w:val="2"/>
                <w:sz w:val="22"/>
                <w:szCs w:val="22"/>
                <w:lang w:val="en-US" w:eastAsia="zh-CN" w:bidi="ar-SA"/>
                <w14:textFill>
                  <w14:solidFill>
                    <w14:schemeClr w14:val="tx1"/>
                  </w14:solidFill>
                </w14:textFill>
              </w:rPr>
            </w:pPr>
            <w:r>
              <w:rPr>
                <w:rFonts w:hint="default" w:ascii="Times New Roman" w:hAnsi="Times New Roman" w:eastAsia="宋体" w:cs="Times New Roman"/>
                <w:color w:val="000000" w:themeColor="text1"/>
                <w:sz w:val="22"/>
                <w:szCs w:val="22"/>
                <w:lang w:val="en-US" w:eastAsia="zh-CN"/>
                <w14:textFill>
                  <w14:solidFill>
                    <w14:schemeClr w14:val="tx1"/>
                  </w14:solidFill>
                </w14:textFill>
              </w:rPr>
              <w:t>3</w:t>
            </w:r>
            <w:r>
              <w:rPr>
                <w:rFonts w:hint="eastAsia" w:ascii="Times New Roman" w:hAnsi="Times New Roman" w:cs="Times New Roman"/>
                <w:color w:val="000000" w:themeColor="text1"/>
                <w:sz w:val="22"/>
                <w:szCs w:val="22"/>
                <w:lang w:val="en-US" w:eastAsia="zh-CN"/>
                <w14:textFill>
                  <w14:solidFill>
                    <w14:schemeClr w14:val="tx1"/>
                  </w14:solidFill>
                </w14:textFill>
              </w:rPr>
              <w:t>5</w:t>
            </w:r>
            <w:r>
              <w:rPr>
                <w:rFonts w:hint="default" w:ascii="Times New Roman" w:hAnsi="Times New Roman" w:eastAsia="宋体" w:cs="Times New Roman"/>
                <w:color w:val="000000" w:themeColor="text1"/>
                <w:sz w:val="22"/>
                <w:szCs w:val="22"/>
                <w:lang w:val="en-US" w:eastAsia="zh-CN"/>
                <w14:textFill>
                  <w14:solidFill>
                    <w14:schemeClr w14:val="tx1"/>
                  </w14:solidFill>
                </w14:textFill>
              </w:rPr>
              <w:t>.</w:t>
            </w:r>
            <w:r>
              <w:rPr>
                <w:rFonts w:hint="default" w:ascii="Times New Roman" w:hAnsi="Times New Roman" w:eastAsia="宋体" w:cs="Times New Roman"/>
                <w:color w:val="000000" w:themeColor="text1"/>
                <w:sz w:val="22"/>
                <w:szCs w:val="22"/>
                <w14:textFill>
                  <w14:solidFill>
                    <w14:schemeClr w14:val="tx1"/>
                  </w14:solidFill>
                </w14:textFill>
              </w:rPr>
              <w:t>阅片机数据存储：支持外周血玻片的数据和细胞图片存档，可存储不少于4万个样本的细胞图形及血液分析结果信息。</w:t>
            </w:r>
          </w:p>
        </w:tc>
      </w:tr>
      <w:tr>
        <w:tblPrEx>
          <w:tblCellMar>
            <w:top w:w="0" w:type="dxa"/>
            <w:left w:w="108" w:type="dxa"/>
            <w:bottom w:w="0" w:type="dxa"/>
            <w:right w:w="108" w:type="dxa"/>
          </w:tblCellMar>
        </w:tblPrEx>
        <w:trPr>
          <w:trHeight w:val="454" w:hRule="atLeast"/>
          <w:jc w:val="center"/>
        </w:trPr>
        <w:tc>
          <w:tcPr>
            <w:tcW w:w="660" w:type="dxa"/>
            <w:vMerge w:val="continue"/>
            <w:tcBorders>
              <w:left w:val="single" w:color="auto"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1344" w:type="dxa"/>
            <w:vMerge w:val="continue"/>
            <w:tcBorders>
              <w:top w:val="single" w:color="auto" w:sz="4" w:space="0"/>
              <w:left w:val="single" w:color="3F3F3F" w:sz="4" w:space="0"/>
              <w:bottom w:val="single" w:color="auto" w:sz="4" w:space="0"/>
              <w:right w:val="single" w:color="3F3F3F" w:sz="4" w:space="0"/>
            </w:tcBorders>
            <w:vAlign w:val="center"/>
          </w:tcPr>
          <w:p>
            <w:pPr>
              <w:widowControl/>
              <w:jc w:val="left"/>
              <w:rPr>
                <w:rFonts w:hint="default" w:ascii="Times New Roman" w:hAnsi="Times New Roman" w:eastAsia="宋体" w:cs="Times New Roman"/>
                <w:color w:val="000000" w:themeColor="text1"/>
                <w:kern w:val="0"/>
                <w:sz w:val="22"/>
                <w:szCs w:val="22"/>
                <w14:textFill>
                  <w14:solidFill>
                    <w14:schemeClr w14:val="tx1"/>
                  </w14:solidFill>
                </w14:textFill>
              </w:rPr>
            </w:pPr>
          </w:p>
        </w:tc>
        <w:tc>
          <w:tcPr>
            <w:tcW w:w="7650" w:type="dxa"/>
            <w:tcBorders>
              <w:top w:val="single" w:color="auto" w:sz="4" w:space="0"/>
              <w:left w:val="nil"/>
              <w:bottom w:val="single" w:color="auto" w:sz="4" w:space="0"/>
              <w:right w:val="single" w:color="auto" w:sz="4" w:space="0"/>
            </w:tcBorders>
            <w:shd w:val="clear" w:color="000000" w:fill="FFFFFF"/>
            <w:vAlign w:val="center"/>
          </w:tcPr>
          <w:p>
            <w:pPr>
              <w:jc w:val="left"/>
              <w:rPr>
                <w:rFonts w:hint="eastAsia" w:ascii="Times New Roman" w:hAnsi="Times New Roman" w:cs="Times New Roman"/>
                <w:color w:val="000000" w:themeColor="text1"/>
                <w:sz w:val="22"/>
                <w:szCs w:val="22"/>
                <w:lang w:val="en-US" w:eastAsia="zh-CN"/>
                <w14:textFill>
                  <w14:solidFill>
                    <w14:schemeClr w14:val="tx1"/>
                  </w14:solidFill>
                </w14:textFill>
              </w:rPr>
            </w:pPr>
            <w:r>
              <w:rPr>
                <w:rFonts w:hint="eastAsia" w:ascii="Times New Roman" w:hAnsi="Times New Roman" w:cs="Times New Roman"/>
                <w:color w:val="000000" w:themeColor="text1"/>
                <w:sz w:val="22"/>
                <w:szCs w:val="22"/>
                <w:lang w:val="en-US" w:eastAsia="zh-CN"/>
                <w14:textFill>
                  <w14:solidFill>
                    <w14:schemeClr w14:val="tx1"/>
                  </w14:solidFill>
                </w14:textFill>
              </w:rPr>
              <w:t>配置清单：</w:t>
            </w:r>
          </w:p>
          <w:p>
            <w:pPr>
              <w:jc w:val="left"/>
              <w:rPr>
                <w:rFonts w:hint="default" w:ascii="Times New Roman" w:hAnsi="Times New Roman" w:cs="Times New Roman"/>
                <w:color w:val="000000" w:themeColor="text1"/>
                <w:sz w:val="22"/>
                <w:szCs w:val="22"/>
                <w:lang w:val="en-US" w:eastAsia="zh-CN"/>
                <w14:textFill>
                  <w14:solidFill>
                    <w14:schemeClr w14:val="tx1"/>
                  </w14:solidFill>
                </w14:textFill>
              </w:rPr>
            </w:pPr>
            <w:r>
              <w:rPr>
                <w:rFonts w:hint="eastAsia" w:ascii="Times New Roman" w:hAnsi="Times New Roman" w:cs="Times New Roman"/>
                <w:color w:val="000000" w:themeColor="text1"/>
                <w:sz w:val="22"/>
                <w:szCs w:val="22"/>
                <w:lang w:val="en-US" w:eastAsia="zh-CN"/>
                <w14:textFill>
                  <w14:solidFill>
                    <w14:schemeClr w14:val="tx1"/>
                  </w14:solidFill>
                </w14:textFill>
              </w:rPr>
              <w:t xml:space="preserve"> </w:t>
            </w:r>
          </w:p>
          <w:tbl>
            <w:tblPr>
              <w:tblStyle w:val="9"/>
              <w:tblW w:w="7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9"/>
              <w:gridCol w:w="2668"/>
              <w:gridCol w:w="1221"/>
              <w:gridCol w:w="1243"/>
              <w:gridCol w:w="13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79"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序号</w:t>
                  </w:r>
                </w:p>
              </w:tc>
              <w:tc>
                <w:tcPr>
                  <w:tcW w:w="2668"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名称</w:t>
                  </w:r>
                </w:p>
              </w:tc>
              <w:tc>
                <w:tcPr>
                  <w:tcW w:w="1221"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数量</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单位</w:t>
                  </w:r>
                </w:p>
              </w:tc>
              <w:tc>
                <w:tcPr>
                  <w:tcW w:w="1344"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 w:hRule="atLeast"/>
                <w:jc w:val="center"/>
              </w:trPr>
              <w:tc>
                <w:tcPr>
                  <w:tcW w:w="879" w:type="dxa"/>
                  <w:vAlign w:val="center"/>
                </w:tcPr>
                <w:p>
                  <w:pPr>
                    <w:widowControl/>
                    <w:jc w:val="center"/>
                    <w:rPr>
                      <w:rFonts w:ascii="宋体" w:hAnsi="宋体" w:eastAsia="宋体" w:cs="Times New Roman"/>
                      <w:kern w:val="0"/>
                      <w:sz w:val="22"/>
                      <w:szCs w:val="22"/>
                    </w:rPr>
                  </w:pPr>
                  <w:r>
                    <w:rPr>
                      <w:rFonts w:ascii="宋体" w:hAnsi="宋体" w:eastAsia="宋体" w:cs="Times New Roman"/>
                      <w:kern w:val="0"/>
                      <w:sz w:val="22"/>
                      <w:szCs w:val="22"/>
                    </w:rPr>
                    <w:t>1</w:t>
                  </w:r>
                </w:p>
              </w:tc>
              <w:tc>
                <w:tcPr>
                  <w:tcW w:w="2668" w:type="dxa"/>
                  <w:vAlign w:val="center"/>
                </w:tcPr>
                <w:p>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全自动血液细胞分析仪</w:t>
                  </w:r>
                </w:p>
              </w:tc>
              <w:tc>
                <w:tcPr>
                  <w:tcW w:w="1221" w:type="dxa"/>
                  <w:vAlign w:val="center"/>
                </w:tcPr>
                <w:p>
                  <w:pPr>
                    <w:widowControl/>
                    <w:jc w:val="center"/>
                    <w:rPr>
                      <w:rFonts w:ascii="宋体" w:hAnsi="宋体" w:eastAsia="宋体" w:cs="Times New Roman"/>
                      <w:kern w:val="0"/>
                      <w:sz w:val="22"/>
                      <w:szCs w:val="22"/>
                    </w:rPr>
                  </w:pPr>
                  <w:r>
                    <w:rPr>
                      <w:rFonts w:hint="eastAsia" w:ascii="宋体" w:hAnsi="宋体" w:eastAsia="宋体" w:cs="宋体"/>
                      <w:kern w:val="0"/>
                      <w:sz w:val="22"/>
                      <w:szCs w:val="22"/>
                    </w:rPr>
                    <w:t>4</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台</w:t>
                  </w:r>
                </w:p>
              </w:tc>
              <w:tc>
                <w:tcPr>
                  <w:tcW w:w="1344" w:type="dxa"/>
                  <w:vAlign w:val="center"/>
                </w:tcPr>
                <w:p>
                  <w:pPr>
                    <w:widowControl/>
                    <w:jc w:val="center"/>
                    <w:rPr>
                      <w:rFonts w:ascii="宋体" w:hAnsi="宋体"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9" w:type="dxa"/>
                  <w:vAlign w:val="center"/>
                </w:tcPr>
                <w:p>
                  <w:pPr>
                    <w:widowControl/>
                    <w:jc w:val="center"/>
                    <w:rPr>
                      <w:rFonts w:ascii="宋体" w:hAnsi="宋体" w:eastAsia="宋体" w:cs="Times New Roman"/>
                      <w:kern w:val="0"/>
                      <w:sz w:val="22"/>
                      <w:szCs w:val="22"/>
                    </w:rPr>
                  </w:pPr>
                  <w:r>
                    <w:rPr>
                      <w:rFonts w:ascii="宋体" w:hAnsi="宋体" w:eastAsia="宋体" w:cs="Times New Roman"/>
                      <w:kern w:val="0"/>
                      <w:sz w:val="22"/>
                      <w:szCs w:val="22"/>
                    </w:rPr>
                    <w:t>2</w:t>
                  </w:r>
                </w:p>
              </w:tc>
              <w:tc>
                <w:tcPr>
                  <w:tcW w:w="2668" w:type="dxa"/>
                  <w:vAlign w:val="center"/>
                </w:tcPr>
                <w:p>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全自动特定蛋白分析仪</w:t>
                  </w:r>
                </w:p>
              </w:tc>
              <w:tc>
                <w:tcPr>
                  <w:tcW w:w="1221" w:type="dxa"/>
                  <w:vAlign w:val="center"/>
                </w:tcPr>
                <w:p>
                  <w:pPr>
                    <w:widowControl/>
                    <w:jc w:val="center"/>
                    <w:rPr>
                      <w:rFonts w:ascii="宋体" w:hAnsi="宋体" w:eastAsia="宋体" w:cs="Times New Roman"/>
                      <w:kern w:val="0"/>
                      <w:sz w:val="22"/>
                      <w:szCs w:val="22"/>
                    </w:rPr>
                  </w:pPr>
                  <w:r>
                    <w:rPr>
                      <w:rFonts w:hint="eastAsia" w:ascii="宋体" w:hAnsi="宋体" w:eastAsia="宋体" w:cs="宋体"/>
                      <w:kern w:val="0"/>
                      <w:sz w:val="22"/>
                      <w:szCs w:val="22"/>
                    </w:rPr>
                    <w:t>1</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台</w:t>
                  </w:r>
                </w:p>
              </w:tc>
              <w:tc>
                <w:tcPr>
                  <w:tcW w:w="1344" w:type="dxa"/>
                  <w:vAlign w:val="center"/>
                </w:tcPr>
                <w:p>
                  <w:pPr>
                    <w:widowControl/>
                    <w:jc w:val="center"/>
                    <w:rPr>
                      <w:rFonts w:ascii="宋体" w:hAnsi="宋体"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9" w:type="dxa"/>
                  <w:vAlign w:val="center"/>
                </w:tcPr>
                <w:p>
                  <w:pPr>
                    <w:widowControl/>
                    <w:jc w:val="center"/>
                    <w:rPr>
                      <w:rFonts w:ascii="宋体" w:hAnsi="宋体" w:eastAsia="宋体" w:cs="Times New Roman"/>
                      <w:kern w:val="0"/>
                      <w:sz w:val="22"/>
                      <w:szCs w:val="22"/>
                    </w:rPr>
                  </w:pPr>
                  <w:r>
                    <w:rPr>
                      <w:rFonts w:ascii="宋体" w:hAnsi="宋体" w:eastAsia="宋体" w:cs="Times New Roman"/>
                      <w:kern w:val="0"/>
                      <w:sz w:val="22"/>
                      <w:szCs w:val="22"/>
                    </w:rPr>
                    <w:t>3</w:t>
                  </w:r>
                </w:p>
              </w:tc>
              <w:tc>
                <w:tcPr>
                  <w:tcW w:w="2668" w:type="dxa"/>
                  <w:vAlign w:val="center"/>
                </w:tcPr>
                <w:p>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自动血涂片制备仪</w:t>
                  </w:r>
                </w:p>
              </w:tc>
              <w:tc>
                <w:tcPr>
                  <w:tcW w:w="1221" w:type="dxa"/>
                  <w:vAlign w:val="center"/>
                </w:tcPr>
                <w:p>
                  <w:pPr>
                    <w:widowControl/>
                    <w:jc w:val="center"/>
                    <w:rPr>
                      <w:rFonts w:ascii="宋体" w:hAnsi="宋体" w:eastAsia="宋体" w:cs="Times New Roman"/>
                      <w:kern w:val="0"/>
                      <w:sz w:val="22"/>
                      <w:szCs w:val="22"/>
                    </w:rPr>
                  </w:pPr>
                  <w:r>
                    <w:rPr>
                      <w:rFonts w:hint="eastAsia" w:ascii="宋体" w:hAnsi="宋体" w:eastAsia="宋体" w:cs="宋体"/>
                      <w:kern w:val="0"/>
                      <w:sz w:val="22"/>
                      <w:szCs w:val="22"/>
                    </w:rPr>
                    <w:t>1</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台</w:t>
                  </w:r>
                </w:p>
              </w:tc>
              <w:tc>
                <w:tcPr>
                  <w:tcW w:w="1344" w:type="dxa"/>
                  <w:vAlign w:val="center"/>
                </w:tcPr>
                <w:p>
                  <w:pPr>
                    <w:widowControl/>
                    <w:jc w:val="center"/>
                    <w:rPr>
                      <w:rFonts w:ascii="宋体" w:hAnsi="宋体"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9"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4</w:t>
                  </w:r>
                </w:p>
              </w:tc>
              <w:tc>
                <w:tcPr>
                  <w:tcW w:w="2668" w:type="dxa"/>
                  <w:vAlign w:val="center"/>
                </w:tcPr>
                <w:p>
                  <w:pPr>
                    <w:widowControl/>
                    <w:jc w:val="center"/>
                    <w:textAlignment w:val="center"/>
                    <w:rPr>
                      <w:rFonts w:ascii="宋体" w:hAnsi="宋体" w:eastAsia="宋体" w:cs="宋体"/>
                      <w:color w:val="000000"/>
                      <w:kern w:val="0"/>
                      <w:sz w:val="22"/>
                      <w:szCs w:val="22"/>
                      <w:lang w:bidi="ar"/>
                    </w:rPr>
                  </w:pPr>
                  <w:r>
                    <w:rPr>
                      <w:rFonts w:hint="eastAsia" w:ascii="宋体" w:hAnsi="宋体" w:eastAsia="宋体" w:cs="宋体"/>
                      <w:color w:val="000000"/>
                      <w:kern w:val="0"/>
                      <w:sz w:val="22"/>
                      <w:szCs w:val="22"/>
                      <w:lang w:bidi="ar"/>
                    </w:rPr>
                    <w:t>全自动形态学分析仪</w:t>
                  </w:r>
                </w:p>
              </w:tc>
              <w:tc>
                <w:tcPr>
                  <w:tcW w:w="1221" w:type="dxa"/>
                  <w:vAlign w:val="center"/>
                </w:tcPr>
                <w:p>
                  <w:pPr>
                    <w:widowControl/>
                    <w:jc w:val="center"/>
                    <w:rPr>
                      <w:rFonts w:ascii="宋体" w:hAnsi="宋体" w:eastAsia="宋体" w:cs="Times New Roman"/>
                      <w:kern w:val="0"/>
                      <w:sz w:val="22"/>
                      <w:szCs w:val="22"/>
                    </w:rPr>
                  </w:pPr>
                  <w:r>
                    <w:rPr>
                      <w:rFonts w:hint="eastAsia" w:ascii="宋体" w:hAnsi="宋体" w:eastAsia="宋体" w:cs="宋体"/>
                      <w:kern w:val="0"/>
                      <w:sz w:val="22"/>
                      <w:szCs w:val="22"/>
                    </w:rPr>
                    <w:t>1</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台</w:t>
                  </w:r>
                </w:p>
              </w:tc>
              <w:tc>
                <w:tcPr>
                  <w:tcW w:w="1344" w:type="dxa"/>
                  <w:vAlign w:val="center"/>
                </w:tcPr>
                <w:p>
                  <w:pPr>
                    <w:widowControl/>
                    <w:jc w:val="center"/>
                    <w:rPr>
                      <w:rFonts w:ascii="宋体" w:hAnsi="宋体"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9" w:type="dxa"/>
                  <w:vAlign w:val="center"/>
                </w:tcPr>
                <w:p>
                  <w:pPr>
                    <w:widowControl/>
                    <w:jc w:val="center"/>
                    <w:rPr>
                      <w:rFonts w:hint="eastAsia" w:ascii="宋体" w:hAnsi="宋体" w:eastAsia="宋体" w:cs="Times New Roman"/>
                      <w:kern w:val="0"/>
                      <w:sz w:val="22"/>
                      <w:szCs w:val="22"/>
                      <w:lang w:val="en-US" w:eastAsia="zh-CN"/>
                    </w:rPr>
                  </w:pPr>
                  <w:r>
                    <w:rPr>
                      <w:rFonts w:hint="eastAsia" w:ascii="宋体" w:hAnsi="宋体" w:eastAsia="宋体" w:cs="Times New Roman"/>
                      <w:kern w:val="0"/>
                      <w:sz w:val="22"/>
                      <w:szCs w:val="22"/>
                      <w:lang w:val="en-US" w:eastAsia="zh-CN"/>
                    </w:rPr>
                    <w:t>5</w:t>
                  </w:r>
                </w:p>
              </w:tc>
              <w:tc>
                <w:tcPr>
                  <w:tcW w:w="2668" w:type="dxa"/>
                  <w:vAlign w:val="center"/>
                </w:tcPr>
                <w:p>
                  <w:pPr>
                    <w:widowControl/>
                    <w:jc w:val="center"/>
                    <w:rPr>
                      <w:rFonts w:ascii="宋体" w:hAnsi="宋体" w:eastAsia="宋体" w:cs="宋体"/>
                      <w:kern w:val="0"/>
                      <w:sz w:val="22"/>
                      <w:szCs w:val="22"/>
                    </w:rPr>
                  </w:pPr>
                  <w:r>
                    <w:rPr>
                      <w:rFonts w:hint="eastAsia" w:ascii="宋体" w:hAnsi="宋体" w:eastAsia="宋体" w:cs="宋体"/>
                      <w:color w:val="000000"/>
                      <w:kern w:val="0"/>
                      <w:sz w:val="22"/>
                      <w:szCs w:val="22"/>
                      <w:lang w:bidi="ar"/>
                    </w:rPr>
                    <w:t>进样轨道</w:t>
                  </w:r>
                </w:p>
              </w:tc>
              <w:tc>
                <w:tcPr>
                  <w:tcW w:w="1221" w:type="dxa"/>
                  <w:vAlign w:val="center"/>
                </w:tcPr>
                <w:p>
                  <w:pPr>
                    <w:widowControl/>
                    <w:jc w:val="center"/>
                    <w:rPr>
                      <w:rFonts w:ascii="宋体" w:hAnsi="宋体" w:eastAsia="宋体" w:cs="宋体"/>
                      <w:kern w:val="0"/>
                      <w:sz w:val="22"/>
                      <w:szCs w:val="22"/>
                    </w:rPr>
                  </w:pPr>
                  <w:r>
                    <w:rPr>
                      <w:rFonts w:hint="eastAsia" w:ascii="宋体" w:hAnsi="宋体" w:eastAsia="宋体" w:cs="宋体"/>
                      <w:kern w:val="0"/>
                      <w:sz w:val="22"/>
                      <w:szCs w:val="22"/>
                    </w:rPr>
                    <w:t>1</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套</w:t>
                  </w:r>
                </w:p>
              </w:tc>
              <w:tc>
                <w:tcPr>
                  <w:tcW w:w="1344" w:type="dxa"/>
                  <w:vAlign w:val="center"/>
                </w:tcPr>
                <w:p>
                  <w:pPr>
                    <w:widowControl/>
                    <w:jc w:val="center"/>
                    <w:rPr>
                      <w:rFonts w:ascii="宋体" w:hAnsi="宋体"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9" w:type="dxa"/>
                  <w:vAlign w:val="center"/>
                </w:tcPr>
                <w:p>
                  <w:pPr>
                    <w:widowControl/>
                    <w:jc w:val="center"/>
                    <w:rPr>
                      <w:rFonts w:ascii="宋体" w:hAnsi="宋体" w:eastAsia="宋体" w:cs="Times New Roman"/>
                      <w:kern w:val="0"/>
                      <w:sz w:val="22"/>
                      <w:szCs w:val="22"/>
                      <w:lang w:val="en-US" w:eastAsia="zh-CN" w:bidi="ar-SA"/>
                    </w:rPr>
                  </w:pPr>
                  <w:r>
                    <w:rPr>
                      <w:rFonts w:hint="eastAsia" w:ascii="宋体" w:hAnsi="宋体" w:eastAsia="宋体" w:cs="Times New Roman"/>
                      <w:kern w:val="0"/>
                      <w:sz w:val="22"/>
                      <w:szCs w:val="22"/>
                    </w:rPr>
                    <w:t>6</w:t>
                  </w:r>
                </w:p>
              </w:tc>
              <w:tc>
                <w:tcPr>
                  <w:tcW w:w="2668" w:type="dxa"/>
                  <w:vAlign w:val="center"/>
                </w:tcPr>
                <w:p>
                  <w:pPr>
                    <w:widowControl/>
                    <w:jc w:val="center"/>
                    <w:rPr>
                      <w:rFonts w:ascii="宋体" w:hAnsi="宋体" w:eastAsia="宋体" w:cs="宋体"/>
                      <w:color w:val="000000"/>
                      <w:kern w:val="0"/>
                      <w:sz w:val="22"/>
                      <w:szCs w:val="22"/>
                      <w:lang w:bidi="ar"/>
                    </w:rPr>
                  </w:pPr>
                  <w:r>
                    <w:rPr>
                      <w:rFonts w:hint="eastAsia" w:ascii="宋体" w:hAnsi="宋体" w:eastAsia="宋体" w:cs="Times New Roman"/>
                      <w:kern w:val="0"/>
                      <w:sz w:val="22"/>
                      <w:szCs w:val="22"/>
                    </w:rPr>
                    <w:t>浓缩稀释仪</w:t>
                  </w:r>
                </w:p>
              </w:tc>
              <w:tc>
                <w:tcPr>
                  <w:tcW w:w="1221" w:type="dxa"/>
                  <w:vAlign w:val="center"/>
                </w:tcPr>
                <w:p>
                  <w:pPr>
                    <w:widowControl/>
                    <w:jc w:val="center"/>
                    <w:rPr>
                      <w:rFonts w:ascii="宋体" w:hAnsi="宋体" w:eastAsia="宋体" w:cs="宋体"/>
                      <w:kern w:val="0"/>
                      <w:sz w:val="22"/>
                      <w:szCs w:val="22"/>
                    </w:rPr>
                  </w:pPr>
                  <w:r>
                    <w:rPr>
                      <w:rFonts w:hint="eastAsia" w:ascii="宋体" w:hAnsi="宋体" w:eastAsia="宋体" w:cs="Times New Roman"/>
                      <w:kern w:val="0"/>
                      <w:sz w:val="22"/>
                      <w:szCs w:val="22"/>
                    </w:rPr>
                    <w:t>1</w:t>
                  </w:r>
                </w:p>
              </w:tc>
              <w:tc>
                <w:tcPr>
                  <w:tcW w:w="1243" w:type="dxa"/>
                  <w:vAlign w:val="center"/>
                </w:tcPr>
                <w:p>
                  <w:pPr>
                    <w:widowControl/>
                    <w:jc w:val="center"/>
                    <w:rPr>
                      <w:rFonts w:ascii="宋体" w:hAnsi="宋体" w:eastAsia="宋体" w:cs="Times New Roman"/>
                      <w:kern w:val="0"/>
                      <w:sz w:val="22"/>
                      <w:szCs w:val="22"/>
                    </w:rPr>
                  </w:pPr>
                  <w:r>
                    <w:rPr>
                      <w:rFonts w:hint="eastAsia" w:ascii="宋体" w:hAnsi="宋体" w:eastAsia="宋体" w:cs="Times New Roman"/>
                      <w:kern w:val="0"/>
                      <w:sz w:val="22"/>
                      <w:szCs w:val="22"/>
                    </w:rPr>
                    <w:t>台</w:t>
                  </w:r>
                </w:p>
              </w:tc>
              <w:tc>
                <w:tcPr>
                  <w:tcW w:w="1344" w:type="dxa"/>
                  <w:vAlign w:val="center"/>
                </w:tcPr>
                <w:p>
                  <w:pPr>
                    <w:widowControl/>
                    <w:jc w:val="center"/>
                    <w:rPr>
                      <w:rFonts w:ascii="宋体" w:hAnsi="宋体" w:eastAsia="宋体" w:cs="Times New Roman"/>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879" w:type="dxa"/>
                  <w:vAlign w:val="center"/>
                </w:tcPr>
                <w:p>
                  <w:pPr>
                    <w:widowControl/>
                    <w:jc w:val="center"/>
                    <w:rPr>
                      <w:rFonts w:hint="eastAsia" w:ascii="宋体" w:hAnsi="宋体" w:eastAsia="宋体" w:cs="Times New Roman"/>
                      <w:kern w:val="0"/>
                      <w:sz w:val="22"/>
                      <w:szCs w:val="22"/>
                      <w:lang w:val="en-US" w:eastAsia="zh-CN" w:bidi="ar-SA"/>
                    </w:rPr>
                  </w:pPr>
                  <w:r>
                    <w:rPr>
                      <w:rFonts w:hint="eastAsia" w:ascii="宋体" w:hAnsi="宋体" w:eastAsia="宋体" w:cs="Times New Roman"/>
                      <w:kern w:val="0"/>
                      <w:sz w:val="22"/>
                      <w:szCs w:val="22"/>
                    </w:rPr>
                    <w:t>7</w:t>
                  </w:r>
                </w:p>
              </w:tc>
              <w:tc>
                <w:tcPr>
                  <w:tcW w:w="2668" w:type="dxa"/>
                  <w:vAlign w:val="center"/>
                </w:tcPr>
                <w:p>
                  <w:pPr>
                    <w:widowControl/>
                    <w:jc w:val="center"/>
                    <w:rPr>
                      <w:rFonts w:hint="default" w:ascii="宋体" w:hAnsi="宋体" w:eastAsia="宋体" w:cs="Times New Roman"/>
                      <w:kern w:val="0"/>
                      <w:sz w:val="22"/>
                      <w:szCs w:val="22"/>
                      <w:lang w:val="en-US" w:eastAsia="zh-CN"/>
                    </w:rPr>
                  </w:pPr>
                  <w:r>
                    <w:rPr>
                      <w:rFonts w:hint="eastAsia" w:ascii="宋体" w:hAnsi="宋体" w:eastAsia="宋体" w:cs="Times New Roman"/>
                      <w:kern w:val="0"/>
                      <w:sz w:val="22"/>
                      <w:szCs w:val="22"/>
                      <w:lang w:val="en-US" w:eastAsia="zh-CN"/>
                    </w:rPr>
                    <w:t>全自动荧光免疫分析模块</w:t>
                  </w:r>
                </w:p>
              </w:tc>
              <w:tc>
                <w:tcPr>
                  <w:tcW w:w="1221" w:type="dxa"/>
                  <w:vAlign w:val="center"/>
                </w:tcPr>
                <w:p>
                  <w:pPr>
                    <w:widowControl/>
                    <w:jc w:val="center"/>
                    <w:rPr>
                      <w:rFonts w:hint="eastAsia" w:ascii="宋体" w:hAnsi="宋体" w:eastAsia="宋体" w:cs="Times New Roman"/>
                      <w:kern w:val="0"/>
                      <w:sz w:val="22"/>
                      <w:szCs w:val="22"/>
                      <w:lang w:val="en-US" w:eastAsia="zh-CN"/>
                    </w:rPr>
                  </w:pPr>
                  <w:r>
                    <w:rPr>
                      <w:rFonts w:hint="eastAsia" w:ascii="宋体" w:hAnsi="宋体" w:eastAsia="宋体" w:cs="Times New Roman"/>
                      <w:kern w:val="0"/>
                      <w:sz w:val="22"/>
                      <w:szCs w:val="22"/>
                      <w:lang w:val="en-US" w:eastAsia="zh-CN"/>
                    </w:rPr>
                    <w:t>1</w:t>
                  </w:r>
                </w:p>
              </w:tc>
              <w:tc>
                <w:tcPr>
                  <w:tcW w:w="1243" w:type="dxa"/>
                  <w:vAlign w:val="center"/>
                </w:tcPr>
                <w:p>
                  <w:pPr>
                    <w:widowControl/>
                    <w:jc w:val="center"/>
                    <w:rPr>
                      <w:rFonts w:hint="eastAsia" w:ascii="宋体" w:hAnsi="宋体" w:eastAsia="宋体" w:cs="Times New Roman"/>
                      <w:kern w:val="0"/>
                      <w:sz w:val="22"/>
                      <w:szCs w:val="22"/>
                      <w:lang w:val="en-US" w:eastAsia="zh-CN"/>
                    </w:rPr>
                  </w:pPr>
                  <w:r>
                    <w:rPr>
                      <w:rFonts w:hint="eastAsia" w:ascii="宋体" w:hAnsi="宋体" w:eastAsia="宋体" w:cs="Times New Roman"/>
                      <w:kern w:val="0"/>
                      <w:sz w:val="22"/>
                      <w:szCs w:val="22"/>
                      <w:lang w:val="en-US" w:eastAsia="zh-CN"/>
                    </w:rPr>
                    <w:t>台</w:t>
                  </w:r>
                </w:p>
              </w:tc>
              <w:tc>
                <w:tcPr>
                  <w:tcW w:w="1344" w:type="dxa"/>
                  <w:vAlign w:val="center"/>
                </w:tcPr>
                <w:p>
                  <w:pPr>
                    <w:widowControl/>
                    <w:jc w:val="center"/>
                    <w:rPr>
                      <w:rFonts w:ascii="宋体" w:hAnsi="宋体" w:eastAsia="宋体" w:cs="Times New Roman"/>
                      <w:kern w:val="0"/>
                      <w:sz w:val="22"/>
                      <w:szCs w:val="22"/>
                    </w:rPr>
                  </w:pPr>
                </w:p>
              </w:tc>
            </w:tr>
          </w:tbl>
          <w:p>
            <w:pPr>
              <w:jc w:val="left"/>
              <w:rPr>
                <w:rFonts w:hint="default" w:ascii="Times New Roman" w:hAnsi="Times New Roman" w:cs="Times New Roman"/>
                <w:color w:val="000000" w:themeColor="text1"/>
                <w:sz w:val="22"/>
                <w:szCs w:val="22"/>
                <w:lang w:val="en-US" w:eastAsia="zh-CN"/>
                <w14:textFill>
                  <w14:solidFill>
                    <w14:schemeClr w14:val="tx1"/>
                  </w14:solidFill>
                </w14:textFill>
              </w:rPr>
            </w:pPr>
          </w:p>
        </w:tc>
      </w:tr>
    </w:tbl>
    <w:p>
      <w:pPr>
        <w:pStyle w:val="3"/>
        <w:bidi w:val="0"/>
        <w:jc w:val="center"/>
      </w:pPr>
      <w:r>
        <w:rPr>
          <w:rFonts w:hint="eastAsia"/>
        </w:rPr>
        <w:t>设备配套耗材试剂情况</w:t>
      </w:r>
    </w:p>
    <w:p>
      <w:pPr>
        <w:jc w:val="left"/>
        <w:rPr>
          <w:rFonts w:ascii="宋体" w:hAnsi="宋体" w:cs="宋体"/>
          <w:b/>
          <w:bCs/>
          <w:kern w:val="0"/>
          <w:sz w:val="24"/>
          <w:szCs w:val="24"/>
        </w:rPr>
      </w:pPr>
      <w:r>
        <w:rPr>
          <w:rFonts w:hint="eastAsia" w:ascii="宋体" w:hAnsi="宋体" w:cs="宋体"/>
          <w:b/>
          <w:bCs/>
          <w:kern w:val="0"/>
          <w:sz w:val="28"/>
          <w:szCs w:val="28"/>
        </w:rPr>
        <w:t>配套耗材或试剂  （</w:t>
      </w:r>
      <w:r>
        <w:rPr>
          <w:rFonts w:hint="eastAsia" w:ascii="宋体" w:hAnsi="宋体" w:cs="宋体"/>
          <w:b/>
          <w:bCs/>
          <w:color w:val="FF0000"/>
          <w:kern w:val="0"/>
          <w:sz w:val="28"/>
          <w:szCs w:val="28"/>
        </w:rPr>
        <w:t xml:space="preserve">开放□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专用</w:t>
      </w:r>
      <w:r>
        <w:rPr>
          <w:rFonts w:hint="eastAsia" w:ascii="宋体" w:hAnsi="宋体" w:cs="宋体"/>
          <w:b/>
          <w:bCs/>
          <w:color w:val="FF0000"/>
          <w:kern w:val="0"/>
          <w:sz w:val="28"/>
          <w:szCs w:val="28"/>
          <w:lang w:eastAsia="zh-CN"/>
        </w:rPr>
        <w:t>☑</w:t>
      </w:r>
      <w:r>
        <w:rPr>
          <w:rFonts w:hint="eastAsia" w:ascii="宋体" w:hAnsi="宋体" w:cs="宋体"/>
          <w:b/>
          <w:bCs/>
          <w:color w:val="FF0000"/>
          <w:kern w:val="0"/>
          <w:sz w:val="28"/>
          <w:szCs w:val="28"/>
        </w:rPr>
        <w:t xml:space="preserve"> </w:t>
      </w:r>
      <w:r>
        <w:rPr>
          <w:rFonts w:ascii="宋体" w:hAnsi="宋体" w:cs="宋体"/>
          <w:b/>
          <w:bCs/>
          <w:color w:val="FF0000"/>
          <w:kern w:val="0"/>
          <w:sz w:val="28"/>
          <w:szCs w:val="28"/>
        </w:rPr>
        <w:t xml:space="preserve"> </w:t>
      </w:r>
      <w:r>
        <w:rPr>
          <w:rFonts w:hint="eastAsia" w:ascii="宋体" w:hAnsi="宋体" w:cs="宋体"/>
          <w:b/>
          <w:bCs/>
          <w:color w:val="FF0000"/>
          <w:kern w:val="0"/>
          <w:sz w:val="28"/>
          <w:szCs w:val="28"/>
        </w:rPr>
        <w:t xml:space="preserve"> 无□</w:t>
      </w:r>
      <w:r>
        <w:rPr>
          <w:rFonts w:hint="eastAsia" w:ascii="宋体" w:hAnsi="宋体" w:cs="宋体"/>
          <w:b/>
          <w:bCs/>
          <w:kern w:val="0"/>
          <w:sz w:val="28"/>
          <w:szCs w:val="28"/>
        </w:rPr>
        <w:t xml:space="preserve">） </w:t>
      </w:r>
    </w:p>
    <w:p>
      <w:pPr>
        <w:jc w:val="left"/>
        <w:rPr>
          <w:rFonts w:ascii="宋体" w:hAnsi="宋体" w:cs="宋体"/>
          <w:b/>
          <w:bCs/>
          <w:kern w:val="0"/>
          <w:sz w:val="24"/>
          <w:szCs w:val="24"/>
        </w:rPr>
      </w:pPr>
      <w:r>
        <w:rPr>
          <w:rFonts w:hint="eastAsia" w:ascii="宋体" w:hAnsi="宋体" w:cs="宋体"/>
          <w:b/>
          <w:bCs/>
          <w:kern w:val="0"/>
          <w:sz w:val="24"/>
          <w:szCs w:val="24"/>
        </w:rPr>
        <w:t>配套耗材</w:t>
      </w:r>
    </w:p>
    <w:tbl>
      <w:tblPr>
        <w:tblStyle w:val="8"/>
        <w:tblW w:w="0" w:type="auto"/>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0"/>
        <w:gridCol w:w="5094"/>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860"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序号</w:t>
            </w:r>
          </w:p>
        </w:tc>
        <w:tc>
          <w:tcPr>
            <w:tcW w:w="5094"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名称</w:t>
            </w:r>
          </w:p>
        </w:tc>
        <w:tc>
          <w:tcPr>
            <w:tcW w:w="1985"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单位</w:t>
            </w:r>
          </w:p>
        </w:tc>
        <w:tc>
          <w:tcPr>
            <w:tcW w:w="2126" w:type="dxa"/>
            <w:vAlign w:val="center"/>
          </w:tcPr>
          <w:p>
            <w:pPr>
              <w:jc w:val="center"/>
              <w:rPr>
                <w:rFonts w:hint="default" w:ascii="Times New Roman" w:hAnsi="Times New Roman" w:eastAsia="宋体" w:cs="Times New Roman"/>
                <w:b/>
                <w:sz w:val="22"/>
                <w:szCs w:val="22"/>
              </w:rPr>
            </w:pPr>
            <w:r>
              <w:rPr>
                <w:rFonts w:hint="default" w:ascii="Times New Roman" w:hAnsi="Times New Roman" w:eastAsia="宋体" w:cs="Times New Roman"/>
                <w:b/>
                <w:sz w:val="22"/>
                <w:szCs w:val="22"/>
              </w:rPr>
              <w:t>预算单价（元）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60" w:type="dxa"/>
            <w:vAlign w:val="center"/>
          </w:tcPr>
          <w:p>
            <w:pPr>
              <w:jc w:val="center"/>
              <w:rPr>
                <w:rFonts w:hint="default" w:ascii="Times New Roman" w:hAnsi="Times New Roman" w:eastAsia="宋体" w:cs="Times New Roman"/>
                <w:b w:val="0"/>
                <w:bCs/>
                <w:sz w:val="22"/>
                <w:szCs w:val="22"/>
              </w:rPr>
            </w:pPr>
            <w:r>
              <w:rPr>
                <w:rFonts w:hint="default" w:ascii="Times New Roman" w:hAnsi="Times New Roman" w:eastAsia="宋体" w:cs="Times New Roman"/>
                <w:b w:val="0"/>
                <w:bCs/>
                <w:sz w:val="22"/>
                <w:szCs w:val="22"/>
              </w:rPr>
              <w:t>1</w:t>
            </w:r>
          </w:p>
        </w:tc>
        <w:tc>
          <w:tcPr>
            <w:tcW w:w="5094" w:type="dxa"/>
            <w:vAlign w:val="center"/>
          </w:tcPr>
          <w:p>
            <w:pPr>
              <w:jc w:val="center"/>
              <w:rPr>
                <w:rFonts w:hint="default" w:ascii="Times New Roman" w:hAnsi="Times New Roman" w:eastAsia="宋体" w:cs="Times New Roman"/>
                <w:b w:val="0"/>
                <w:bCs/>
                <w:sz w:val="22"/>
                <w:szCs w:val="22"/>
              </w:rPr>
            </w:pPr>
            <w:r>
              <w:rPr>
                <w:rFonts w:hint="default" w:ascii="Times New Roman" w:hAnsi="Times New Roman" w:eastAsia="宋体" w:cs="Times New Roman"/>
                <w:b w:val="0"/>
                <w:bCs/>
                <w:sz w:val="22"/>
                <w:szCs w:val="22"/>
                <w:lang w:val="en-US" w:eastAsia="zh-CN"/>
              </w:rPr>
              <w:t>穿刺针</w:t>
            </w:r>
          </w:p>
        </w:tc>
        <w:tc>
          <w:tcPr>
            <w:tcW w:w="1985" w:type="dxa"/>
            <w:vAlign w:val="center"/>
          </w:tcPr>
          <w:p>
            <w:pPr>
              <w:jc w:val="center"/>
              <w:rPr>
                <w:rFonts w:hint="default" w:ascii="Times New Roman" w:hAnsi="Times New Roman" w:eastAsia="宋体" w:cs="Times New Roman"/>
                <w:b w:val="0"/>
                <w:bCs/>
                <w:sz w:val="22"/>
                <w:szCs w:val="22"/>
              </w:rPr>
            </w:pPr>
            <w:r>
              <w:rPr>
                <w:rFonts w:hint="default" w:ascii="Times New Roman" w:hAnsi="Times New Roman" w:eastAsia="宋体" w:cs="Times New Roman"/>
                <w:b w:val="0"/>
                <w:bCs/>
                <w:sz w:val="22"/>
                <w:szCs w:val="22"/>
                <w:lang w:val="en-US" w:eastAsia="zh-CN"/>
              </w:rPr>
              <w:t>件</w:t>
            </w:r>
          </w:p>
        </w:tc>
        <w:tc>
          <w:tcPr>
            <w:tcW w:w="2126" w:type="dxa"/>
            <w:vAlign w:val="center"/>
          </w:tcPr>
          <w:p>
            <w:pPr>
              <w:jc w:val="center"/>
              <w:rPr>
                <w:rFonts w:hint="default" w:ascii="Times New Roman" w:hAnsi="Times New Roman" w:eastAsia="宋体" w:cs="Times New Roman"/>
                <w:b w:val="0"/>
                <w:bCs/>
                <w:sz w:val="22"/>
                <w:szCs w:val="22"/>
              </w:rPr>
            </w:pPr>
            <w:r>
              <w:rPr>
                <w:rFonts w:hint="default" w:ascii="Times New Roman" w:hAnsi="Times New Roman" w:eastAsia="宋体" w:cs="Times New Roman"/>
                <w:b w:val="0"/>
                <w:bCs/>
                <w:sz w:val="22"/>
                <w:szCs w:val="22"/>
                <w:lang w:val="en-US" w:eastAsia="zh-CN"/>
              </w:rPr>
              <w:t>8000</w:t>
            </w:r>
          </w:p>
        </w:tc>
      </w:tr>
    </w:tbl>
    <w:p>
      <w:pPr>
        <w:jc w:val="left"/>
        <w:rPr>
          <w:rFonts w:ascii="Times New Roman" w:hAnsi="Times New Roman"/>
          <w:szCs w:val="21"/>
        </w:rPr>
      </w:pPr>
    </w:p>
    <w:p>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ascii="宋体" w:hAnsi="宋体" w:cs="宋体"/>
          <w:b/>
          <w:bCs/>
          <w:kern w:val="0"/>
          <w:sz w:val="24"/>
          <w:szCs w:val="24"/>
        </w:rPr>
      </w:pPr>
      <w:r>
        <w:rPr>
          <w:rFonts w:hint="eastAsia" w:ascii="宋体" w:hAnsi="宋体" w:cs="宋体"/>
          <w:b/>
          <w:bCs/>
          <w:kern w:val="0"/>
          <w:sz w:val="24"/>
          <w:szCs w:val="24"/>
        </w:rPr>
        <w:t xml:space="preserve">配套试剂 </w:t>
      </w:r>
    </w:p>
    <w:tbl>
      <w:tblPr>
        <w:tblStyle w:val="8"/>
        <w:tblW w:w="1006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7"/>
        <w:gridCol w:w="5107"/>
        <w:gridCol w:w="1985"/>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bCs w:val="0"/>
                <w:sz w:val="22"/>
                <w:szCs w:val="22"/>
              </w:rPr>
            </w:pPr>
            <w:r>
              <w:rPr>
                <w:rFonts w:hint="default" w:ascii="Times New Roman" w:hAnsi="Times New Roman" w:eastAsia="宋体" w:cs="Times New Roman"/>
                <w:b/>
                <w:bCs w:val="0"/>
                <w:sz w:val="22"/>
                <w:szCs w:val="22"/>
              </w:rPr>
              <w:t>序号</w:t>
            </w:r>
          </w:p>
        </w:tc>
        <w:tc>
          <w:tcPr>
            <w:tcW w:w="5107" w:type="dxa"/>
            <w:vAlign w:val="center"/>
          </w:tcPr>
          <w:p>
            <w:pPr>
              <w:jc w:val="center"/>
              <w:rPr>
                <w:rFonts w:hint="default" w:ascii="Times New Roman" w:hAnsi="Times New Roman" w:eastAsia="宋体" w:cs="Times New Roman"/>
                <w:b/>
                <w:bCs w:val="0"/>
                <w:sz w:val="22"/>
                <w:szCs w:val="22"/>
              </w:rPr>
            </w:pPr>
            <w:r>
              <w:rPr>
                <w:rFonts w:hint="default" w:ascii="Times New Roman" w:hAnsi="Times New Roman" w:eastAsia="宋体" w:cs="Times New Roman"/>
                <w:b/>
                <w:bCs w:val="0"/>
                <w:sz w:val="22"/>
                <w:szCs w:val="22"/>
              </w:rPr>
              <w:t>名称</w:t>
            </w:r>
          </w:p>
        </w:tc>
        <w:tc>
          <w:tcPr>
            <w:tcW w:w="1985" w:type="dxa"/>
            <w:vAlign w:val="center"/>
          </w:tcPr>
          <w:p>
            <w:pPr>
              <w:jc w:val="center"/>
              <w:rPr>
                <w:rFonts w:hint="default" w:ascii="Times New Roman" w:hAnsi="Times New Roman" w:eastAsia="宋体" w:cs="Times New Roman"/>
                <w:b/>
                <w:bCs w:val="0"/>
                <w:sz w:val="22"/>
                <w:szCs w:val="22"/>
              </w:rPr>
            </w:pPr>
            <w:r>
              <w:rPr>
                <w:rFonts w:hint="default" w:ascii="Times New Roman" w:hAnsi="Times New Roman" w:eastAsia="宋体" w:cs="Times New Roman"/>
                <w:b/>
                <w:bCs w:val="0"/>
                <w:sz w:val="22"/>
                <w:szCs w:val="22"/>
              </w:rPr>
              <w:t>单位</w:t>
            </w:r>
          </w:p>
        </w:tc>
        <w:tc>
          <w:tcPr>
            <w:tcW w:w="2126" w:type="dxa"/>
            <w:vAlign w:val="center"/>
          </w:tcPr>
          <w:p>
            <w:pPr>
              <w:jc w:val="center"/>
              <w:rPr>
                <w:rFonts w:hint="eastAsia" w:ascii="Times New Roman" w:hAnsi="Times New Roman" w:eastAsia="宋体" w:cs="Times New Roman"/>
                <w:b/>
                <w:bCs w:val="0"/>
                <w:sz w:val="22"/>
                <w:szCs w:val="22"/>
                <w:lang w:eastAsia="zh-CN"/>
              </w:rPr>
            </w:pPr>
            <w:r>
              <w:rPr>
                <w:rFonts w:hint="default" w:ascii="Times New Roman" w:hAnsi="Times New Roman" w:eastAsia="宋体" w:cs="Times New Roman"/>
                <w:b/>
                <w:bCs w:val="0"/>
                <w:sz w:val="22"/>
                <w:szCs w:val="22"/>
              </w:rPr>
              <w:t>预算单价</w:t>
            </w:r>
            <w:r>
              <w:rPr>
                <w:rFonts w:hint="eastAsia" w:ascii="Times New Roman" w:hAnsi="Times New Roman" w:cs="Times New Roman"/>
                <w:b/>
                <w:bCs w:val="0"/>
                <w:sz w:val="22"/>
                <w:szCs w:val="22"/>
                <w:lang w:eastAsia="zh-CN"/>
              </w:rPr>
              <w:t>（</w:t>
            </w:r>
            <w:r>
              <w:rPr>
                <w:rFonts w:hint="eastAsia" w:ascii="Times New Roman" w:hAnsi="Times New Roman" w:cs="Times New Roman"/>
                <w:b/>
                <w:bCs w:val="0"/>
                <w:sz w:val="22"/>
                <w:szCs w:val="22"/>
                <w:lang w:val="en-US" w:eastAsia="zh-CN"/>
              </w:rPr>
              <w:t>元</w:t>
            </w:r>
            <w:r>
              <w:rPr>
                <w:rFonts w:hint="eastAsia" w:ascii="Times New Roman" w:hAnsi="Times New Roman" w:cs="Times New Roman"/>
                <w:b/>
                <w:bCs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浓缩稀释液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通道稀释液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HGB通道溶血剂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白细胞计数通道溶血剂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1630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白细胞分类通道溶血剂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2670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白细胞计数通道染色液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5840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7</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白细胞分类通道染色液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2970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8</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RET通道稀释液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925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9</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RET通道染色液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3340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10</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血常规质控高值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11</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血常规质控中值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12</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血常规质控低值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13</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RET质控高值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14</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RET质控中值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15</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RET质控低值</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451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16</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血常规校准</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支</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17</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清洁液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18</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载玻片</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19</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专用镜油</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20</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染色液A液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1300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21</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染色液B液</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22</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C反应蛋白溶血剂</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箱</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2600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23</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C反应蛋白试剂盒</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2360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24</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C反应蛋白质控品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3450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25</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C反应蛋白校准品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680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26</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SAA试剂盒</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3440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27</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SAA质控品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4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28</w:t>
            </w:r>
          </w:p>
        </w:tc>
        <w:tc>
          <w:tcPr>
            <w:tcW w:w="5107"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SAA校准品</w:t>
            </w:r>
          </w:p>
        </w:tc>
        <w:tc>
          <w:tcPr>
            <w:tcW w:w="1985"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盒</w:t>
            </w:r>
          </w:p>
        </w:tc>
        <w:tc>
          <w:tcPr>
            <w:tcW w:w="2126" w:type="dxa"/>
            <w:vAlign w:val="center"/>
          </w:tcPr>
          <w:p>
            <w:pPr>
              <w:jc w:val="center"/>
              <w:rPr>
                <w:rFonts w:hint="default" w:ascii="Times New Roman" w:hAnsi="Times New Roman" w:eastAsia="宋体" w:cs="Times New Roman"/>
                <w:b w:val="0"/>
                <w:bCs/>
                <w:sz w:val="22"/>
                <w:szCs w:val="22"/>
                <w:lang w:val="en-US" w:eastAsia="zh-CN"/>
              </w:rPr>
            </w:pPr>
            <w:r>
              <w:rPr>
                <w:rFonts w:hint="default" w:ascii="Times New Roman" w:hAnsi="Times New Roman" w:eastAsia="宋体" w:cs="Times New Roman"/>
                <w:b w:val="0"/>
                <w:bCs/>
                <w:sz w:val="22"/>
                <w:szCs w:val="22"/>
                <w:lang w:val="en-US" w:eastAsia="zh-CN"/>
              </w:rPr>
              <w:t>700</w:t>
            </w:r>
          </w:p>
        </w:tc>
      </w:tr>
    </w:tbl>
    <w:p>
      <w:pPr>
        <w:jc w:val="center"/>
        <w:rPr>
          <w:rFonts w:hint="default" w:ascii="Times New Roman" w:hAnsi="Times New Roman" w:eastAsia="宋体" w:cs="Times New Roman"/>
          <w:b w:val="0"/>
          <w:bCs/>
          <w:sz w:val="22"/>
          <w:szCs w:val="22"/>
        </w:rPr>
      </w:pP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86"/>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DejaVu Sans">
    <w:panose1 w:val="020B0606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gxMjk0M2E4NWU2Y2Q5YjM1MmQzNDdjN2FlY2ZjNmIifQ=="/>
  </w:docVars>
  <w:rsids>
    <w:rsidRoot w:val="00180716"/>
    <w:rsid w:val="00031B84"/>
    <w:rsid w:val="0007571F"/>
    <w:rsid w:val="00086401"/>
    <w:rsid w:val="000B3A24"/>
    <w:rsid w:val="000E0A0A"/>
    <w:rsid w:val="00100D1E"/>
    <w:rsid w:val="0012370B"/>
    <w:rsid w:val="00153A42"/>
    <w:rsid w:val="0015678E"/>
    <w:rsid w:val="00180716"/>
    <w:rsid w:val="0018661F"/>
    <w:rsid w:val="001B0A84"/>
    <w:rsid w:val="001D5E72"/>
    <w:rsid w:val="00206936"/>
    <w:rsid w:val="002617DE"/>
    <w:rsid w:val="002738F1"/>
    <w:rsid w:val="002C0BFD"/>
    <w:rsid w:val="002C6C45"/>
    <w:rsid w:val="002D02F7"/>
    <w:rsid w:val="002D59FE"/>
    <w:rsid w:val="003141BC"/>
    <w:rsid w:val="0031707A"/>
    <w:rsid w:val="00333E2E"/>
    <w:rsid w:val="003407BA"/>
    <w:rsid w:val="0036311E"/>
    <w:rsid w:val="003938A4"/>
    <w:rsid w:val="003B5D40"/>
    <w:rsid w:val="003D4CEF"/>
    <w:rsid w:val="003E15A0"/>
    <w:rsid w:val="00437E27"/>
    <w:rsid w:val="00447FAF"/>
    <w:rsid w:val="004607A8"/>
    <w:rsid w:val="0046248D"/>
    <w:rsid w:val="004777CE"/>
    <w:rsid w:val="00485E99"/>
    <w:rsid w:val="004B2BE5"/>
    <w:rsid w:val="004B4DC1"/>
    <w:rsid w:val="004B79FD"/>
    <w:rsid w:val="004C6FD8"/>
    <w:rsid w:val="004E09F3"/>
    <w:rsid w:val="004E51B4"/>
    <w:rsid w:val="004E6075"/>
    <w:rsid w:val="004F46EC"/>
    <w:rsid w:val="00536070"/>
    <w:rsid w:val="005B4177"/>
    <w:rsid w:val="006161EF"/>
    <w:rsid w:val="00627CBC"/>
    <w:rsid w:val="00667C4B"/>
    <w:rsid w:val="00696C5E"/>
    <w:rsid w:val="006B7040"/>
    <w:rsid w:val="006C1BAB"/>
    <w:rsid w:val="006C428C"/>
    <w:rsid w:val="006F1FD9"/>
    <w:rsid w:val="0071790B"/>
    <w:rsid w:val="00735F7B"/>
    <w:rsid w:val="007610A6"/>
    <w:rsid w:val="00766032"/>
    <w:rsid w:val="00787AF2"/>
    <w:rsid w:val="00787C5D"/>
    <w:rsid w:val="008046EB"/>
    <w:rsid w:val="00812AE4"/>
    <w:rsid w:val="008143CB"/>
    <w:rsid w:val="00890077"/>
    <w:rsid w:val="00893A00"/>
    <w:rsid w:val="00895307"/>
    <w:rsid w:val="008C5084"/>
    <w:rsid w:val="008D4020"/>
    <w:rsid w:val="008F18EF"/>
    <w:rsid w:val="0091437C"/>
    <w:rsid w:val="00917BB5"/>
    <w:rsid w:val="00917CA2"/>
    <w:rsid w:val="0092593E"/>
    <w:rsid w:val="00967D50"/>
    <w:rsid w:val="009731C4"/>
    <w:rsid w:val="00973FA0"/>
    <w:rsid w:val="00980851"/>
    <w:rsid w:val="00982F84"/>
    <w:rsid w:val="009836A4"/>
    <w:rsid w:val="009852C7"/>
    <w:rsid w:val="00992628"/>
    <w:rsid w:val="00A15F96"/>
    <w:rsid w:val="00A53A87"/>
    <w:rsid w:val="00A70CB8"/>
    <w:rsid w:val="00A75EBB"/>
    <w:rsid w:val="00AA10B5"/>
    <w:rsid w:val="00AA2A2D"/>
    <w:rsid w:val="00AB3ABF"/>
    <w:rsid w:val="00AB43D9"/>
    <w:rsid w:val="00AB686E"/>
    <w:rsid w:val="00AF2364"/>
    <w:rsid w:val="00B04F86"/>
    <w:rsid w:val="00B16C5C"/>
    <w:rsid w:val="00B36BC4"/>
    <w:rsid w:val="00B37A82"/>
    <w:rsid w:val="00BE5B4B"/>
    <w:rsid w:val="00C046E8"/>
    <w:rsid w:val="00C70023"/>
    <w:rsid w:val="00C70D64"/>
    <w:rsid w:val="00C717A1"/>
    <w:rsid w:val="00CA1F88"/>
    <w:rsid w:val="00D1471E"/>
    <w:rsid w:val="00D14837"/>
    <w:rsid w:val="00D2285F"/>
    <w:rsid w:val="00D5527C"/>
    <w:rsid w:val="00D577BE"/>
    <w:rsid w:val="00D650DC"/>
    <w:rsid w:val="00D736F6"/>
    <w:rsid w:val="00D73D7E"/>
    <w:rsid w:val="00D90205"/>
    <w:rsid w:val="00DA2A6D"/>
    <w:rsid w:val="00DB3248"/>
    <w:rsid w:val="00E100C3"/>
    <w:rsid w:val="00E13D8B"/>
    <w:rsid w:val="00E43D98"/>
    <w:rsid w:val="00E84839"/>
    <w:rsid w:val="00E87DEE"/>
    <w:rsid w:val="00EA0AF4"/>
    <w:rsid w:val="00EA3933"/>
    <w:rsid w:val="00F128E8"/>
    <w:rsid w:val="00F176BB"/>
    <w:rsid w:val="00F3782E"/>
    <w:rsid w:val="00F40917"/>
    <w:rsid w:val="00F47DA3"/>
    <w:rsid w:val="00F749F5"/>
    <w:rsid w:val="00F84832"/>
    <w:rsid w:val="00FD02B5"/>
    <w:rsid w:val="00FD584F"/>
    <w:rsid w:val="08D418D3"/>
    <w:rsid w:val="200D3FBF"/>
    <w:rsid w:val="20527BD7"/>
    <w:rsid w:val="24F546D9"/>
    <w:rsid w:val="2FE767DC"/>
    <w:rsid w:val="3088575D"/>
    <w:rsid w:val="38A32080"/>
    <w:rsid w:val="3D266927"/>
    <w:rsid w:val="46B93A06"/>
    <w:rsid w:val="4DF624C1"/>
    <w:rsid w:val="526E598C"/>
    <w:rsid w:val="53633F48"/>
    <w:rsid w:val="59114FB0"/>
    <w:rsid w:val="6CEA603C"/>
    <w:rsid w:val="75E79028"/>
    <w:rsid w:val="76AA6D82"/>
    <w:rsid w:val="7AED57AC"/>
    <w:rsid w:val="7C2E2604"/>
    <w:rsid w:val="7E950A21"/>
    <w:rsid w:val="7FF318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2"/>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3"/>
    <w:unhideWhenUsed/>
    <w:qFormat/>
    <w:uiPriority w:val="99"/>
    <w:pPr>
      <w:jc w:val="left"/>
    </w:pPr>
  </w:style>
  <w:style w:type="paragraph" w:styleId="5">
    <w:name w:val="Balloon Text"/>
    <w:basedOn w:val="1"/>
    <w:link w:val="14"/>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kern w:val="0"/>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kern w:val="0"/>
      <w:sz w:val="18"/>
      <w:szCs w:val="18"/>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unhideWhenUsed/>
    <w:qFormat/>
    <w:uiPriority w:val="99"/>
    <w:rPr>
      <w:sz w:val="21"/>
      <w:szCs w:val="21"/>
    </w:rPr>
  </w:style>
  <w:style w:type="character" w:customStyle="1" w:styleId="12">
    <w:name w:val="标题 1 字符"/>
    <w:link w:val="2"/>
    <w:qFormat/>
    <w:uiPriority w:val="9"/>
    <w:rPr>
      <w:b/>
      <w:bCs/>
      <w:kern w:val="44"/>
      <w:sz w:val="44"/>
      <w:szCs w:val="44"/>
    </w:rPr>
  </w:style>
  <w:style w:type="character" w:customStyle="1" w:styleId="13">
    <w:name w:val="批注文字 字符"/>
    <w:link w:val="4"/>
    <w:semiHidden/>
    <w:qFormat/>
    <w:uiPriority w:val="99"/>
    <w:rPr>
      <w:kern w:val="2"/>
      <w:sz w:val="21"/>
      <w:szCs w:val="22"/>
    </w:rPr>
  </w:style>
  <w:style w:type="character" w:customStyle="1" w:styleId="14">
    <w:name w:val="批注框文本 字符"/>
    <w:link w:val="5"/>
    <w:semiHidden/>
    <w:qFormat/>
    <w:uiPriority w:val="99"/>
    <w:rPr>
      <w:kern w:val="2"/>
      <w:sz w:val="18"/>
      <w:szCs w:val="18"/>
    </w:rPr>
  </w:style>
  <w:style w:type="character" w:customStyle="1" w:styleId="15">
    <w:name w:val="页脚 字符"/>
    <w:link w:val="6"/>
    <w:qFormat/>
    <w:uiPriority w:val="99"/>
    <w:rPr>
      <w:sz w:val="18"/>
      <w:szCs w:val="18"/>
    </w:rPr>
  </w:style>
  <w:style w:type="character" w:customStyle="1" w:styleId="16">
    <w:name w:val="页眉 字符"/>
    <w:link w:val="7"/>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font31"/>
    <w:basedOn w:val="10"/>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Sky123.Org</Company>
  <Pages>4</Pages>
  <Words>2078</Words>
  <Characters>2463</Characters>
  <Lines>10</Lines>
  <Paragraphs>2</Paragraphs>
  <TotalTime>2</TotalTime>
  <ScaleCrop>false</ScaleCrop>
  <LinksUpToDate>false</LinksUpToDate>
  <CharactersWithSpaces>2478</CharactersWithSpaces>
  <Application>WPS Office WWO_dingtalk_20240221035043-c523bba0e7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2023-11-02T11:07:00Z</dcterms:created>
  <dc:creator>Sky123.Org</dc:creator>
  <cp:lastModifiedBy>WE</cp:lastModifiedBy>
  <cp:lastPrinted>2023-11-22T11:28:00Z</cp:lastPrinted>
  <dcterms:modified xsi:type="dcterms:W3CDTF">2024-07-09T17:51:37Z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35CE3CC2B4264F4ABBE3EE7A96645D8C_13</vt:lpwstr>
  </property>
</Properties>
</file>