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ascii="方正小标宋简体" w:eastAsia="方正小标宋简体"/>
        </w:rPr>
      </w:pPr>
      <w:r>
        <w:rPr>
          <w:rFonts w:hint="eastAsia" w:ascii="黑体" w:hAnsi="黑体" w:eastAsia="黑体" w:cs="黑体"/>
        </w:rPr>
        <w:t>深圳市儿童医院设备采购需求参数表</w:t>
      </w:r>
    </w:p>
    <w:tbl>
      <w:tblPr>
        <w:tblStyle w:val="8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300"/>
        <w:gridCol w:w="76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00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650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1</w:t>
            </w:r>
          </w:p>
        </w:tc>
        <w:tc>
          <w:tcPr>
            <w:tcW w:w="1300" w:type="dxa"/>
            <w:vMerge w:val="restart"/>
            <w:tcBorders>
              <w:top w:val="single" w:color="3F3F3F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声导抗测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听仪</w:t>
            </w:r>
          </w:p>
        </w:tc>
        <w:tc>
          <w:tcPr>
            <w:tcW w:w="7650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1.1、原装进口的中耳分析仪。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1.2、具备自动/手动鼓室压测量 (包括筛查、诊断)。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1.3、具备听反射阈和听反射衰减测试。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1.4、具备耳咽管功能测试(包括完整鼓膜、穿孔鼓膜，扩展ETF)。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1.5、可做Y.B.G声导纳、声纳、声导测量（226 Hz；678 Hz；1000 Hz）。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1.6、声压测量范围：正常：-400daPa ～+200daPa； 扩展：-600daPa ～+400daPa；极限：-800daPa～+600daPa。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1.7、强度范围：35至120 dB Hz。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0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50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1.8、听反射测试频率：250Hz、500Hz、1kHz、2 kHz、4 kHz、HBN，BBN、LBN、短声，外部输入，非声学。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0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50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1.9、可自动设置检测次序和镫骨反射阈值查寻。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0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1.10、外接打印输出。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0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1.11、一体化12英寸高清彩色触摸屏。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0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1.12、具备编程模式。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0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b/>
                <w:color w:val="000000" w:themeColor="text1"/>
                <w:sz w:val="22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2.1、探测音 226 Hz ( 85 dB SPL±1.5 dB 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320" w:firstLineChars="600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678 Hz ( 85 dB SPL ±3.0 dB 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320" w:firstLineChars="600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1000 Hz ( 75 dB SPL ±3.0 dB 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0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2.2、精度</w:t>
            </w:r>
            <w:r>
              <w:rPr>
                <w:rFonts w:hint="default"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: </w:t>
            </w: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 ±1%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0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2.3、谐波失真</w:t>
            </w:r>
            <w:r>
              <w:rPr>
                <w:rFonts w:hint="default"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: </w:t>
            </w: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&lt;1%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0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2.5、范围 </w:t>
            </w:r>
            <w:r>
              <w:rPr>
                <w:rFonts w:hint="default"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:  </w:t>
            </w: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226 Hz (-7.0至+7.0mmho )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right" w:pos="9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540" w:firstLineChars="700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678 Hz ( -21至+21mmho )</w:t>
            </w: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ab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540" w:firstLineChars="700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1000 Hz ( -32至32mmho 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0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2.6、敏感度量程 </w:t>
            </w:r>
            <w:r>
              <w:rPr>
                <w:rFonts w:hint="default" w:ascii="Times New Roman" w:hAnsi="Times New Roman" w:cs="Times New Roman"/>
                <w:b/>
                <w:color w:val="000000" w:themeColor="text1"/>
                <w:sz w:val="22"/>
                <w:szCs w:val="22"/>
              </w:rPr>
              <w:t>:</w:t>
            </w: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 自动量程至适宜范围 </w:t>
            </w:r>
            <w:r>
              <w:rPr>
                <w:rFonts w:hint="default"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: </w:t>
            </w: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226Hz ， 678 Hz，1000 Hz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0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2.7、精度( 226Hz ) </w:t>
            </w:r>
            <w:r>
              <w:rPr>
                <w:rFonts w:hint="default" w:ascii="Times New Roman" w:hAnsi="Times New Roman" w:cs="Times New Roman"/>
                <w:b/>
                <w:color w:val="000000" w:themeColor="text1"/>
                <w:sz w:val="22"/>
                <w:szCs w:val="22"/>
              </w:rPr>
              <w:t>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鼓室压测量模式 </w:t>
            </w:r>
            <w:r>
              <w:rPr>
                <w:rFonts w:hint="default" w:ascii="Times New Roman" w:hAnsi="Times New Roman" w:cs="Times New Roman"/>
                <w:b/>
                <w:color w:val="000000" w:themeColor="text1"/>
                <w:sz w:val="22"/>
                <w:szCs w:val="22"/>
              </w:rPr>
              <w:t>:</w:t>
            </w:r>
            <w:r>
              <w:rPr>
                <w:rFonts w:hint="eastAsia" w:ascii="Times New Roman" w:hAnsi="Times New Roman" w:cs="Times New Roman"/>
                <w:b/>
                <w:color w:val="000000" w:themeColor="text1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226Hz探测音： 0.1mmho或5% ，二者取大值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听反射测量模式 :</w:t>
            </w:r>
            <w:r>
              <w:rPr>
                <w:rFonts w:hint="eastAsia" w:ascii="Times New Roman" w:hAnsi="Times New Roman" w:cs="Times New Roman"/>
                <w:bCs/>
                <w:color w:val="000000" w:themeColor="text1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226Hz探测音：</w:t>
            </w:r>
            <w:r>
              <w:rPr>
                <w:rFonts w:hint="eastAsia" w:ascii="Times New Roman" w:hAnsi="Times New Roman" w:cs="Times New Roman"/>
                <w:bCs/>
                <w:color w:val="000000" w:themeColor="text1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0.2mmho或5% ，二者取大值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0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2.8、声压测量 ( 负荷容积 0.2至7.0 ml 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990" w:firstLineChars="450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范围 </w:t>
            </w:r>
            <w:r>
              <w:rPr>
                <w:rFonts w:hint="default"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: </w:t>
            </w: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正常范围= +200至-400 dapa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60" w:firstLineChars="300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          宽范围  = +400至-600 dapa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00" w:type="dxa"/>
            <w:vMerge w:val="continue"/>
            <w:tcBorders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2.9、精度 </w:t>
            </w:r>
            <w:r>
              <w:rPr>
                <w:rFonts w:hint="default" w:ascii="Times New Roman" w:hAnsi="Times New Roman" w:cs="Times New Roman"/>
                <w:b/>
                <w:color w:val="000000" w:themeColor="text1"/>
                <w:sz w:val="22"/>
                <w:szCs w:val="22"/>
              </w:rPr>
              <w:t>:</w:t>
            </w: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 读数的 ±10% 或 ±10dapa，二者取大值（从0.5cc至5.0cc）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00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2.10、扫描速率</w:t>
            </w:r>
            <w:r>
              <w:rPr>
                <w:rFonts w:hint="default"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:</w:t>
            </w: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 12.5，50.0和600/200 dapa /秒&gt;200dapa/秒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00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2.11、扫描精度 </w:t>
            </w:r>
            <w:r>
              <w:rPr>
                <w:rFonts w:hint="default" w:ascii="Times New Roman" w:hAnsi="Times New Roman" w:cs="Times New Roman"/>
                <w:b/>
                <w:color w:val="000000" w:themeColor="text1"/>
                <w:sz w:val="22"/>
                <w:szCs w:val="22"/>
              </w:rPr>
              <w:t>:</w:t>
            </w: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 正常速率的10%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最大极限 ( 0.5cc耦合腔 ) </w:t>
            </w:r>
            <w:r>
              <w:rPr>
                <w:rFonts w:hint="default" w:ascii="Times New Roman" w:hAnsi="Times New Roman" w:cs="Times New Roman"/>
                <w:b/>
                <w:color w:val="000000" w:themeColor="text1"/>
                <w:sz w:val="22"/>
                <w:szCs w:val="22"/>
              </w:rPr>
              <w:t>:</w:t>
            </w: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 -800 dapa和 +600 dapa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00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20" w:firstLineChars="100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2.13、测试信号</w:t>
            </w:r>
            <w:r>
              <w:rPr>
                <w:rFonts w:hint="default"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: </w:t>
            </w: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 &gt;250,500,1k,2k,4k, HBN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</w:rPr>
              <w:t>,</w:t>
            </w: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BBN,LBN,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090" w:firstLineChars="950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&gt;短声( 100毫秒脉冲 ),外部输入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00" w:type="dxa"/>
            <w:vMerge w:val="continue"/>
            <w:tcBorders>
              <w:top w:val="single" w:color="auto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50" w:type="dxa"/>
            <w:tcBorders>
              <w:top w:val="single" w:color="auto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20" w:firstLineChars="100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2.14、频率精度 </w:t>
            </w:r>
            <w:r>
              <w:rPr>
                <w:rFonts w:hint="default" w:ascii="Times New Roman" w:hAnsi="Times New Roman" w:cs="Times New Roman"/>
                <w:b/>
                <w:color w:val="000000" w:themeColor="text1"/>
                <w:sz w:val="22"/>
                <w:szCs w:val="22"/>
              </w:rPr>
              <w:t>:</w:t>
            </w:r>
            <w:r>
              <w:rPr>
                <w:rFonts w:hint="eastAsia" w:ascii="Times New Roman" w:hAnsi="Times New Roman" w:cs="Times New Roman"/>
                <w:b/>
                <w:color w:val="000000" w:themeColor="text1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:u w:val="single"/>
              </w:rPr>
              <w:t>+</w:t>
            </w: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0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20" w:firstLineChars="100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2.15、谐波失真( THD ) </w:t>
            </w:r>
            <w:r>
              <w:rPr>
                <w:rFonts w:hint="default"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: </w:t>
            </w: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&lt;5%(声学测量)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0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20" w:firstLineChars="100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2.16、噪声信号 </w:t>
            </w:r>
            <w:r>
              <w:rPr>
                <w:rFonts w:hint="default" w:ascii="Times New Roman" w:hAnsi="Times New Roman" w:cs="Times New Roman"/>
                <w:b/>
                <w:color w:val="000000" w:themeColor="text1"/>
                <w:sz w:val="22"/>
                <w:szCs w:val="22"/>
              </w:rPr>
              <w:t>:</w:t>
            </w: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 (3 dB带宽)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20" w:firstLineChars="100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低频带 </w:t>
            </w:r>
            <w:r>
              <w:rPr>
                <w:rFonts w:hint="default" w:ascii="Times New Roman" w:hAnsi="Times New Roman" w:cs="Times New Roman"/>
                <w:b/>
                <w:color w:val="000000" w:themeColor="text1"/>
                <w:sz w:val="22"/>
                <w:szCs w:val="22"/>
              </w:rPr>
              <w:t>:</w:t>
            </w:r>
            <w:r>
              <w:rPr>
                <w:rFonts w:hint="eastAsia" w:ascii="Times New Roman" w:hAnsi="Times New Roman" w:cs="Times New Roman"/>
                <w:b/>
                <w:color w:val="000000" w:themeColor="text1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400-1600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20" w:firstLineChars="100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高频带 </w:t>
            </w:r>
            <w:r>
              <w:rPr>
                <w:rFonts w:hint="default" w:ascii="Times New Roman" w:hAnsi="Times New Roman" w:cs="Times New Roman"/>
                <w:b/>
                <w:color w:val="000000" w:themeColor="text1"/>
                <w:sz w:val="22"/>
                <w:szCs w:val="22"/>
              </w:rPr>
              <w:t>:</w:t>
            </w:r>
            <w:r>
              <w:rPr>
                <w:rFonts w:hint="eastAsia" w:ascii="Times New Roman" w:hAnsi="Times New Roman" w:cs="Times New Roman"/>
                <w:b/>
                <w:color w:val="000000" w:themeColor="text1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1600-4000 Hz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20" w:firstLineChars="100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广域频带 </w:t>
            </w:r>
            <w:r>
              <w:rPr>
                <w:rFonts w:hint="default" w:ascii="Times New Roman" w:hAnsi="Times New Roman" w:cs="Times New Roman"/>
                <w:b/>
                <w:color w:val="000000" w:themeColor="text1"/>
                <w:sz w:val="22"/>
                <w:szCs w:val="22"/>
              </w:rPr>
              <w:t>:</w:t>
            </w:r>
            <w:r>
              <w:rPr>
                <w:rFonts w:hint="eastAsia" w:ascii="Times New Roman" w:hAnsi="Times New Roman" w:cs="Times New Roman"/>
                <w:b/>
                <w:color w:val="000000" w:themeColor="text1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400-4000Hz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0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2.17、强度范围 </w:t>
            </w:r>
            <w:r>
              <w:rPr>
                <w:rFonts w:hint="default" w:ascii="Times New Roman" w:hAnsi="Times New Roman" w:cs="Times New Roman"/>
                <w:b/>
                <w:color w:val="000000" w:themeColor="text1"/>
                <w:sz w:val="22"/>
                <w:szCs w:val="22"/>
              </w:rPr>
              <w:t>:</w:t>
            </w:r>
            <w:r>
              <w:rPr>
                <w:rFonts w:hint="eastAsia" w:ascii="Times New Roman" w:hAnsi="Times New Roman" w:cs="Times New Roman"/>
                <w:b/>
                <w:color w:val="000000" w:themeColor="text1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35至120 dB Hz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0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2.18、步长值 </w:t>
            </w:r>
            <w:r>
              <w:rPr>
                <w:rFonts w:hint="default" w:ascii="Times New Roman" w:hAnsi="Times New Roman" w:cs="Times New Roman"/>
                <w:b/>
                <w:color w:val="000000" w:themeColor="text1"/>
                <w:sz w:val="22"/>
                <w:szCs w:val="22"/>
              </w:rPr>
              <w:t>:</w:t>
            </w: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 5 dB， 1 dB和2 dB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0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2.19、校准精度 </w:t>
            </w:r>
            <w:r>
              <w:rPr>
                <w:rFonts w:hint="default" w:ascii="Times New Roman" w:hAnsi="Times New Roman" w:cs="Times New Roman"/>
                <w:b/>
                <w:color w:val="000000" w:themeColor="text1"/>
                <w:sz w:val="22"/>
                <w:szCs w:val="22"/>
              </w:rPr>
              <w:t>:</w:t>
            </w:r>
            <w:r>
              <w:rPr>
                <w:rFonts w:hint="eastAsia" w:ascii="Times New Roman" w:hAnsi="Times New Roman" w:cs="Times New Roman"/>
                <w:b/>
                <w:color w:val="000000" w:themeColor="text1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:u w:val="single"/>
              </w:rPr>
              <w:t>+</w:t>
            </w: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3 dB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0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 xml:space="preserve">2.20、步长精度 </w:t>
            </w:r>
            <w:r>
              <w:rPr>
                <w:rFonts w:hint="default" w:ascii="Times New Roman" w:hAnsi="Times New Roman" w:cs="Times New Roman"/>
                <w:b/>
                <w:color w:val="000000" w:themeColor="text1"/>
                <w:sz w:val="22"/>
                <w:szCs w:val="22"/>
              </w:rPr>
              <w:t>:</w:t>
            </w:r>
            <w:r>
              <w:rPr>
                <w:rFonts w:hint="eastAsia" w:ascii="Times New Roman" w:hAnsi="Times New Roman" w:cs="Times New Roman"/>
                <w:b/>
                <w:color w:val="000000" w:themeColor="text1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:u w:val="single"/>
              </w:rPr>
              <w:t>+</w:t>
            </w: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0.5 dB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0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2.21、开/关比率</w:t>
            </w:r>
            <w:r>
              <w:rPr>
                <w:rFonts w:hint="default"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:</w:t>
            </w:r>
            <w:r>
              <w:rPr>
                <w:rFonts w:hint="eastAsia" w:ascii="Times New Roman" w:hAnsi="Times New Roman" w:cs="Times New Roman"/>
                <w:b/>
                <w:color w:val="000000" w:themeColor="text1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最小70 dB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00" w:type="dxa"/>
            <w:vMerge w:val="continue"/>
            <w:tcBorders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</w:rPr>
              <w:t>2.22、中文联机软件：配有中文联机软件，可与旗下听筛，听力计共享同一平台，所以检查结果排版打印至同一张报告，报告为PDF格式。</w:t>
            </w:r>
          </w:p>
        </w:tc>
      </w:tr>
    </w:tbl>
    <w:p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eastAsia="zh-CN"/>
        </w:rPr>
        <w:t>☑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预算单价</w:t>
            </w: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  <w:t>元</w:t>
            </w: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</w:tr>
    </w:tbl>
    <w:p>
      <w:pPr>
        <w:jc w:val="center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xMjk0M2E4NWU2Y2Q5YjM1MmQzNDdjN2FlY2ZjNmIifQ=="/>
  </w:docVars>
  <w:rsids>
    <w:rsidRoot w:val="00180716"/>
    <w:rsid w:val="00031B84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45A64"/>
    <w:rsid w:val="002617DE"/>
    <w:rsid w:val="002738DB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3F7836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8516A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81007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C7869"/>
    <w:rsid w:val="00BE5B4B"/>
    <w:rsid w:val="00C02DE1"/>
    <w:rsid w:val="00C046E8"/>
    <w:rsid w:val="00C15A03"/>
    <w:rsid w:val="00C70023"/>
    <w:rsid w:val="00C70D64"/>
    <w:rsid w:val="00C717A1"/>
    <w:rsid w:val="00C720EF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08445B67"/>
    <w:rsid w:val="20527BD7"/>
    <w:rsid w:val="35EF4ABD"/>
    <w:rsid w:val="4CB13395"/>
    <w:rsid w:val="526B2229"/>
    <w:rsid w:val="559746A3"/>
    <w:rsid w:val="612401AC"/>
    <w:rsid w:val="7B597002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autoRedefine/>
    <w:unhideWhenUsed/>
    <w:qFormat/>
    <w:uiPriority w:val="99"/>
    <w:pPr>
      <w:jc w:val="left"/>
    </w:pPr>
  </w:style>
  <w:style w:type="paragraph" w:styleId="5">
    <w:name w:val="Balloon Text"/>
    <w:basedOn w:val="1"/>
    <w:link w:val="14"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annotation reference"/>
    <w:unhideWhenUsed/>
    <w:qFormat/>
    <w:uiPriority w:val="99"/>
    <w:rPr>
      <w:sz w:val="21"/>
      <w:szCs w:val="21"/>
    </w:rPr>
  </w:style>
  <w:style w:type="character" w:customStyle="1" w:styleId="12">
    <w:name w:val="标题 1 Char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Char"/>
    <w:link w:val="4"/>
    <w:semiHidden/>
    <w:uiPriority w:val="99"/>
    <w:rPr>
      <w:kern w:val="2"/>
      <w:sz w:val="21"/>
      <w:szCs w:val="22"/>
    </w:rPr>
  </w:style>
  <w:style w:type="character" w:customStyle="1" w:styleId="14">
    <w:name w:val="批注框文本 Char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5">
    <w:name w:val="页脚 Char"/>
    <w:link w:val="6"/>
    <w:autoRedefine/>
    <w:qFormat/>
    <w:uiPriority w:val="99"/>
    <w:rPr>
      <w:sz w:val="18"/>
      <w:szCs w:val="18"/>
    </w:rPr>
  </w:style>
  <w:style w:type="character" w:customStyle="1" w:styleId="16">
    <w:name w:val="页眉 Char"/>
    <w:link w:val="7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2637E71-40E6-4177-877D-F1AAFF4814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788</Words>
  <Characters>1236</Characters>
  <Lines>19</Lines>
  <Paragraphs>5</Paragraphs>
  <TotalTime>10</TotalTime>
  <ScaleCrop>false</ScaleCrop>
  <LinksUpToDate>false</LinksUpToDate>
  <CharactersWithSpaces>1406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WE</cp:lastModifiedBy>
  <cp:lastPrinted>2020-06-15T03:32:00Z</cp:lastPrinted>
  <dcterms:modified xsi:type="dcterms:W3CDTF">2024-07-08T06:52:26Z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5ECAB3CDAB1E4F2E9F0783FF98891651</vt:lpwstr>
  </property>
</Properties>
</file>