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98D89">
      <w:pPr>
        <w:rPr>
          <w:rFonts w:ascii="宋体" w:hAnsi="宋体"/>
          <w:sz w:val="24"/>
        </w:rPr>
      </w:pPr>
    </w:p>
    <w:tbl>
      <w:tblPr>
        <w:tblStyle w:val="6"/>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14:paraId="37E7F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14:paraId="01836438">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14:paraId="03702AB2">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14:paraId="3071FA77">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72" w:type="dxa"/>
            <w:shd w:val="clear" w:color="auto" w:fill="auto"/>
            <w:vAlign w:val="center"/>
          </w:tcPr>
          <w:p w14:paraId="62D8B368">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58" w:type="dxa"/>
            <w:shd w:val="clear" w:color="auto" w:fill="auto"/>
            <w:vAlign w:val="center"/>
          </w:tcPr>
          <w:p w14:paraId="084E62AE">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2B27A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14:paraId="5F586FF7">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14:paraId="30F3AD1D">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265B8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14:paraId="29D55875">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7C15C8E1">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7189F6AF">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14:paraId="2C7060A5">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14:paraId="087B0569">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14:paraId="0777923F">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0F94D1C7">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145D9777">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14:paraId="591A6CAF">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58" w:type="dxa"/>
            <w:shd w:val="clear" w:color="auto" w:fill="auto"/>
            <w:vAlign w:val="center"/>
          </w:tcPr>
          <w:p w14:paraId="5BAC4EC0">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14:paraId="69AA1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95" w:type="dxa"/>
            <w:shd w:val="clear" w:color="auto" w:fill="auto"/>
            <w:vAlign w:val="center"/>
          </w:tcPr>
          <w:p w14:paraId="3FAF414B">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64ED1E87">
            <w:pPr>
              <w:spacing w:line="300" w:lineRule="exact"/>
              <w:jc w:val="center"/>
              <w:rPr>
                <w:rFonts w:ascii="宋体" w:hAnsi="宋体" w:eastAsia="等线"/>
                <w:szCs w:val="21"/>
              </w:rPr>
            </w:pPr>
            <w:r>
              <w:rPr>
                <w:rFonts w:hint="eastAsia" w:ascii="宋体" w:hAnsi="宋体" w:eastAsia="等线"/>
                <w:szCs w:val="21"/>
              </w:rPr>
              <w:t>产品对比</w:t>
            </w:r>
          </w:p>
          <w:p w14:paraId="0FB52857">
            <w:pPr>
              <w:spacing w:line="300" w:lineRule="exact"/>
              <w:jc w:val="center"/>
              <w:rPr>
                <w:rFonts w:ascii="宋体" w:hAnsi="宋体" w:eastAsia="等线" w:cs="宋体"/>
                <w:szCs w:val="21"/>
              </w:rPr>
            </w:pPr>
            <w:r>
              <w:rPr>
                <w:rFonts w:ascii="宋体" w:hAnsi="宋体" w:eastAsia="等线"/>
                <w:szCs w:val="21"/>
              </w:rPr>
              <w:t>情况</w:t>
            </w:r>
          </w:p>
        </w:tc>
        <w:tc>
          <w:tcPr>
            <w:tcW w:w="6825" w:type="dxa"/>
            <w:shd w:val="clear" w:color="auto" w:fill="auto"/>
            <w:vAlign w:val="center"/>
          </w:tcPr>
          <w:p w14:paraId="49B26688">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14:paraId="7354E709">
            <w:pPr>
              <w:spacing w:line="300" w:lineRule="exact"/>
              <w:rPr>
                <w:rFonts w:ascii="宋体" w:hAnsi="宋体" w:eastAsia="等线"/>
                <w:szCs w:val="21"/>
              </w:rPr>
            </w:pPr>
            <w:r>
              <w:rPr>
                <w:rFonts w:hint="eastAsia" w:ascii="宋体" w:hAnsi="宋体" w:eastAsia="等线"/>
                <w:szCs w:val="21"/>
              </w:rPr>
              <w:t>依据：评审专家根据样品比对结果来评价。</w:t>
            </w:r>
          </w:p>
          <w:p w14:paraId="3D7828C9">
            <w:pPr>
              <w:spacing w:line="300" w:lineRule="exact"/>
              <w:rPr>
                <w:rFonts w:ascii="宋体" w:hAnsi="宋体" w:eastAsia="等线"/>
                <w:szCs w:val="21"/>
              </w:rPr>
            </w:pPr>
            <w:r>
              <w:rPr>
                <w:rFonts w:ascii="等线" w:hAnsi="等线" w:eastAsia="等线"/>
                <w:szCs w:val="21"/>
              </w:rPr>
              <w:t>A、好  ；得20分；</w:t>
            </w:r>
          </w:p>
          <w:p w14:paraId="594D5864">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16F7846F">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p>
        </w:tc>
        <w:tc>
          <w:tcPr>
            <w:tcW w:w="772" w:type="dxa"/>
            <w:shd w:val="clear" w:color="auto" w:fill="auto"/>
            <w:vAlign w:val="center"/>
          </w:tcPr>
          <w:p w14:paraId="60E8A1FB">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58" w:type="dxa"/>
            <w:shd w:val="clear" w:color="auto" w:fill="auto"/>
            <w:vAlign w:val="center"/>
          </w:tcPr>
          <w:p w14:paraId="6EC0D4BA">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2AFB7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14:paraId="430C9E3D">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536DF428">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3B236359">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14:paraId="7CC3946D">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14:paraId="49BB2D8A">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409BC71C">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6A6C78F4">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47B15BF9">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72" w:type="dxa"/>
            <w:shd w:val="clear" w:color="auto" w:fill="auto"/>
            <w:vAlign w:val="center"/>
          </w:tcPr>
          <w:p w14:paraId="06D31C23">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58" w:type="dxa"/>
            <w:shd w:val="clear" w:color="auto" w:fill="auto"/>
            <w:vAlign w:val="center"/>
          </w:tcPr>
          <w:p w14:paraId="1F6FF57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250A7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795" w:type="dxa"/>
            <w:shd w:val="clear" w:color="auto" w:fill="auto"/>
            <w:vAlign w:val="center"/>
          </w:tcPr>
          <w:p w14:paraId="4F88B733">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14:paraId="739E1575">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14:paraId="614C7089">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825" w:type="dxa"/>
            <w:shd w:val="clear" w:color="auto" w:fill="auto"/>
            <w:vAlign w:val="center"/>
          </w:tcPr>
          <w:p w14:paraId="47DCF7B0">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14:paraId="631E2A5F">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14:paraId="69379489">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14:paraId="26F776EC">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14:paraId="57732E66">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14:paraId="12F42223">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72" w:type="dxa"/>
            <w:shd w:val="clear" w:color="auto" w:fill="auto"/>
            <w:vAlign w:val="center"/>
          </w:tcPr>
          <w:p w14:paraId="77EC77C7">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58" w:type="dxa"/>
            <w:shd w:val="clear" w:color="auto" w:fill="auto"/>
            <w:vAlign w:val="center"/>
          </w:tcPr>
          <w:p w14:paraId="252756D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33277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4D549AEC">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14:paraId="08BDB856">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5AAFA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56F1BBF3">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3F02F439">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14:paraId="3B150D08">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69779023">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14:paraId="59260174">
            <w:pPr>
              <w:numPr>
                <w:ilvl w:val="0"/>
                <w:numId w:val="1"/>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14:paraId="3CD7B253">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0C8510E1">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24A3B04A">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72" w:type="dxa"/>
            <w:shd w:val="clear" w:color="auto" w:fill="auto"/>
            <w:vAlign w:val="center"/>
          </w:tcPr>
          <w:p w14:paraId="2A6CDB96">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1B15068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75E6E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14:paraId="3354E1DC">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608AC9AC">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14:paraId="7817B803">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0DD44F67">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781A986B">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34BB476B">
            <w:pPr>
              <w:spacing w:line="300" w:lineRule="exact"/>
              <w:jc w:val="left"/>
              <w:rPr>
                <w:rFonts w:ascii="宋体" w:hAnsi="宋体" w:eastAsia="等线"/>
                <w:szCs w:val="21"/>
              </w:rPr>
            </w:pPr>
            <w:r>
              <w:rPr>
                <w:rFonts w:ascii="宋体" w:hAnsi="宋体" w:eastAsia="等线"/>
                <w:szCs w:val="21"/>
              </w:rPr>
              <w:t xml:space="preserve">B、服务较好或两项承诺：4分； </w:t>
            </w:r>
          </w:p>
          <w:p w14:paraId="0FA89DE1">
            <w:pPr>
              <w:spacing w:line="300" w:lineRule="exact"/>
              <w:jc w:val="left"/>
              <w:rPr>
                <w:rFonts w:ascii="宋体" w:hAnsi="宋体" w:eastAsia="等线"/>
                <w:szCs w:val="21"/>
              </w:rPr>
            </w:pPr>
            <w:r>
              <w:rPr>
                <w:rFonts w:ascii="宋体" w:hAnsi="宋体" w:eastAsia="等线"/>
                <w:szCs w:val="21"/>
              </w:rPr>
              <w:t xml:space="preserve">C、服务一般或一项承诺：2分； </w:t>
            </w:r>
          </w:p>
          <w:p w14:paraId="6DDF0B17">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24361FBC">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72" w:type="dxa"/>
            <w:shd w:val="clear" w:color="auto" w:fill="auto"/>
            <w:vAlign w:val="center"/>
          </w:tcPr>
          <w:p w14:paraId="35558550">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6B3C285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2C53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14:paraId="50C56D6D">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14:paraId="39531A12">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14:paraId="2813D429">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14:paraId="01897B4D">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43253DC5">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0A5A5B5D">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7EE28F31">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33FA8C9E">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146B30DA">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14:paraId="32202242">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58" w:type="dxa"/>
            <w:shd w:val="clear" w:color="auto" w:fill="auto"/>
            <w:vAlign w:val="center"/>
          </w:tcPr>
          <w:p w14:paraId="137F8DE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6072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14:paraId="74853D7B">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14:paraId="07C622D9">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76BDA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14:paraId="4F815054">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68CE24D5">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14:paraId="560334D7">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14:paraId="2FC93DDC">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1）投标人不存在不诚信情况且按照要求提供承诺函的，得4分。</w:t>
            </w:r>
          </w:p>
          <w:p w14:paraId="69EAC7A6">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72" w:type="dxa"/>
            <w:shd w:val="clear" w:color="auto" w:fill="auto"/>
            <w:vAlign w:val="center"/>
          </w:tcPr>
          <w:p w14:paraId="6E6BA28F">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2995CA1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46152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14:paraId="324F10C4">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14:paraId="0E431E4D">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14:paraId="0DFAC536">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14:paraId="20309D05">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14:paraId="1CA01C0C">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14:paraId="0457505F">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承诺函并在我院有配送的供货商履约评价良好以下：2分</w:t>
            </w:r>
            <w:r>
              <w:rPr>
                <w:rFonts w:ascii="宋体" w:hAnsi="宋体" w:eastAsia="等线"/>
                <w:szCs w:val="21"/>
              </w:rPr>
              <w:t>；</w:t>
            </w:r>
          </w:p>
          <w:p w14:paraId="3E576C5F">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72" w:type="dxa"/>
            <w:shd w:val="clear" w:color="auto" w:fill="auto"/>
            <w:vAlign w:val="center"/>
          </w:tcPr>
          <w:p w14:paraId="339C113A">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5DBE764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4E165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795" w:type="dxa"/>
            <w:shd w:val="clear" w:color="auto" w:fill="auto"/>
            <w:vAlign w:val="center"/>
          </w:tcPr>
          <w:p w14:paraId="55EAE9B2">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24540168">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商品质量</w:t>
            </w:r>
          </w:p>
          <w:p w14:paraId="2FE1EC68">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保障可靠性</w:t>
            </w:r>
          </w:p>
        </w:tc>
        <w:tc>
          <w:tcPr>
            <w:tcW w:w="6825" w:type="dxa"/>
            <w:shd w:val="clear" w:color="auto" w:fill="auto"/>
            <w:vAlign w:val="center"/>
          </w:tcPr>
          <w:p w14:paraId="20C32CFA">
            <w:pPr>
              <w:spacing w:line="300" w:lineRule="exact"/>
              <w:ind w:left="-63" w:leftChars="-30" w:right="-88" w:rightChars="-42"/>
              <w:jc w:val="left"/>
              <w:rPr>
                <w:rFonts w:ascii="宋体" w:hAnsi="宋体" w:eastAsia="等线"/>
                <w:szCs w:val="21"/>
              </w:rPr>
            </w:pPr>
            <w:r>
              <w:rPr>
                <w:rFonts w:hint="eastAsia" w:ascii="宋体" w:hAnsi="宋体" w:eastAsia="等线"/>
                <w:szCs w:val="21"/>
              </w:rPr>
              <w:t>商品质量保障可靠性。</w:t>
            </w:r>
          </w:p>
          <w:p w14:paraId="607FF3F5">
            <w:pPr>
              <w:spacing w:line="300" w:lineRule="exact"/>
              <w:ind w:left="-63" w:leftChars="-30" w:right="-88" w:rightChars="-42"/>
              <w:jc w:val="left"/>
              <w:rPr>
                <w:rFonts w:ascii="宋体" w:hAnsi="宋体" w:eastAsia="等线"/>
                <w:szCs w:val="21"/>
              </w:rPr>
            </w:pPr>
            <w:r>
              <w:rPr>
                <w:rFonts w:hint="eastAsia" w:ascii="宋体" w:hAnsi="宋体" w:eastAsia="等线"/>
                <w:szCs w:val="21"/>
              </w:rPr>
              <w:t>依据：以参加申报的产品近期在本院申报不良事件记录为依据。</w:t>
            </w:r>
          </w:p>
          <w:p w14:paraId="1D685A32">
            <w:pPr>
              <w:spacing w:line="300" w:lineRule="exact"/>
              <w:ind w:left="-63" w:leftChars="-30" w:right="-88" w:rightChars="-42"/>
              <w:jc w:val="left"/>
              <w:rPr>
                <w:rFonts w:ascii="宋体" w:hAnsi="宋体" w:eastAsia="等线"/>
                <w:szCs w:val="21"/>
              </w:rPr>
            </w:pPr>
            <w:r>
              <w:rPr>
                <w:rFonts w:hint="eastAsia" w:ascii="宋体" w:hAnsi="宋体" w:eastAsia="等线"/>
                <w:szCs w:val="21"/>
              </w:rPr>
              <w:t>A、无不良商品记录：2分；</w:t>
            </w:r>
          </w:p>
          <w:p w14:paraId="57CE75A1">
            <w:pPr>
              <w:spacing w:line="300" w:lineRule="exact"/>
              <w:ind w:left="-63" w:leftChars="-30" w:right="-88" w:rightChars="-42"/>
              <w:jc w:val="left"/>
              <w:rPr>
                <w:rFonts w:ascii="宋体" w:hAnsi="宋体" w:eastAsia="等线"/>
                <w:szCs w:val="21"/>
              </w:rPr>
            </w:pPr>
            <w:r>
              <w:rPr>
                <w:rFonts w:hint="eastAsia" w:ascii="宋体" w:hAnsi="宋体" w:eastAsia="等线"/>
                <w:szCs w:val="21"/>
              </w:rPr>
              <w:t>B、有不良商品记录：0分；</w:t>
            </w:r>
          </w:p>
          <w:p w14:paraId="1C7701E1">
            <w:pPr>
              <w:spacing w:line="300" w:lineRule="exact"/>
              <w:ind w:left="-63" w:leftChars="-30" w:right="-88" w:rightChars="-42"/>
              <w:jc w:val="left"/>
              <w:rPr>
                <w:rFonts w:ascii="等线" w:hAnsi="等线" w:eastAsia="等线" w:cs="等线"/>
                <w:szCs w:val="21"/>
              </w:rPr>
            </w:pPr>
            <w:r>
              <w:rPr>
                <w:rFonts w:hint="eastAsia" w:ascii="等线" w:hAnsi="等线" w:eastAsia="等线" w:cs="等线"/>
                <w:szCs w:val="21"/>
              </w:rPr>
              <w:t>满足</w:t>
            </w:r>
            <w:r>
              <w:rPr>
                <w:rFonts w:ascii="等线" w:hAnsi="等线" w:eastAsia="等线" w:cs="等线"/>
                <w:szCs w:val="21"/>
              </w:rPr>
              <w:t>要求得</w:t>
            </w:r>
            <w:r>
              <w:rPr>
                <w:rFonts w:hint="eastAsia" w:ascii="等线" w:hAnsi="等线" w:eastAsia="等线" w:cs="等线"/>
                <w:szCs w:val="21"/>
              </w:rPr>
              <w:t>3分</w:t>
            </w:r>
            <w:r>
              <w:rPr>
                <w:rFonts w:ascii="等线" w:hAnsi="等线" w:eastAsia="等线" w:cs="等线"/>
                <w:szCs w:val="21"/>
              </w:rPr>
              <w:t>，其他情况不得分。</w:t>
            </w:r>
          </w:p>
        </w:tc>
        <w:tc>
          <w:tcPr>
            <w:tcW w:w="772" w:type="dxa"/>
            <w:shd w:val="clear" w:color="auto" w:fill="auto"/>
            <w:vAlign w:val="center"/>
          </w:tcPr>
          <w:p w14:paraId="3947E17A">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58" w:type="dxa"/>
            <w:shd w:val="clear" w:color="auto" w:fill="auto"/>
            <w:vAlign w:val="center"/>
          </w:tcPr>
          <w:p w14:paraId="5EEEBC2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14:paraId="5B70E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14:paraId="752FE4F5">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14:paraId="04D3227C">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2F652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6B0D35DA">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67C0920E">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14:paraId="44E18E6C">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3C1C8685">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6F53E46A">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0A0C6745">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14:paraId="3F5057B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58" w:type="dxa"/>
            <w:shd w:val="clear" w:color="auto" w:fill="auto"/>
            <w:vAlign w:val="center"/>
          </w:tcPr>
          <w:p w14:paraId="20FFECAA">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2EB4F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14:paraId="7DE5BD2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14:paraId="6C220C5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58" w:type="dxa"/>
            <w:shd w:val="clear" w:color="auto" w:fill="auto"/>
            <w:vAlign w:val="center"/>
          </w:tcPr>
          <w:p w14:paraId="628B342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697C19FA">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6C30ABD3">
      <w:pPr>
        <w:snapToGrid w:val="0"/>
        <w:rPr>
          <w:rFonts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14:paraId="073B1617">
      <w:pPr>
        <w:widowControl/>
        <w:spacing w:before="100" w:beforeAutospacing="1" w:after="100" w:afterAutospacing="1"/>
        <w:jc w:val="center"/>
        <w:rPr>
          <w:rFonts w:hint="eastAsia" w:ascii="宋体" w:hAnsi="宋体"/>
          <w:b/>
          <w:bCs/>
          <w:sz w:val="28"/>
        </w:rPr>
      </w:pPr>
    </w:p>
    <w:p w14:paraId="5A536FD1">
      <w:pPr>
        <w:widowControl/>
        <w:spacing w:before="100" w:beforeAutospacing="1" w:after="100" w:afterAutospacing="1"/>
        <w:jc w:val="center"/>
        <w:rPr>
          <w:rFonts w:hint="eastAsia" w:ascii="宋体" w:hAnsi="宋体"/>
          <w:b/>
          <w:bCs/>
          <w:sz w:val="28"/>
        </w:rPr>
      </w:pPr>
    </w:p>
    <w:p w14:paraId="001129DF">
      <w:pPr>
        <w:widowControl/>
        <w:spacing w:before="100" w:beforeAutospacing="1" w:after="100" w:afterAutospacing="1"/>
        <w:jc w:val="center"/>
        <w:rPr>
          <w:rFonts w:hint="eastAsia" w:ascii="宋体" w:hAnsi="宋体"/>
          <w:b/>
          <w:bCs/>
          <w:sz w:val="28"/>
        </w:rPr>
      </w:pPr>
    </w:p>
    <w:p w14:paraId="0E6FFD06">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tLeast"/>
        <w:jc w:val="center"/>
        <w:textAlignment w:val="auto"/>
        <w:rPr>
          <w:rFonts w:ascii="宋体" w:hAnsi="宋体"/>
          <w:b/>
          <w:bCs/>
          <w:sz w:val="28"/>
        </w:rPr>
      </w:pPr>
      <w:r>
        <w:rPr>
          <w:rFonts w:hint="eastAsia" w:ascii="宋体" w:hAnsi="宋体"/>
          <w:b/>
          <w:bCs/>
          <w:sz w:val="28"/>
        </w:rPr>
        <w:t>二、耗材采购需求：</w:t>
      </w:r>
    </w:p>
    <w:tbl>
      <w:tblPr>
        <w:tblStyle w:val="6"/>
        <w:tblpPr w:leftFromText="180" w:rightFromText="180" w:vertAnchor="text" w:horzAnchor="page" w:tblpX="555" w:tblpY="642"/>
        <w:tblOverlap w:val="never"/>
        <w:tblW w:w="10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217"/>
        <w:gridCol w:w="1329"/>
        <w:gridCol w:w="6038"/>
      </w:tblGrid>
      <w:tr w14:paraId="4AE12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40" w:type="dxa"/>
            <w:tcBorders>
              <w:top w:val="single" w:color="auto" w:sz="4" w:space="0"/>
              <w:left w:val="single" w:color="auto" w:sz="4" w:space="0"/>
              <w:bottom w:val="single" w:color="auto" w:sz="4" w:space="0"/>
              <w:right w:val="single" w:color="auto" w:sz="4" w:space="0"/>
            </w:tcBorders>
            <w:vAlign w:val="center"/>
          </w:tcPr>
          <w:p w14:paraId="7397AF8A">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2217" w:type="dxa"/>
            <w:tcBorders>
              <w:top w:val="single" w:color="auto" w:sz="4" w:space="0"/>
              <w:left w:val="single" w:color="auto" w:sz="4" w:space="0"/>
              <w:bottom w:val="single" w:color="auto" w:sz="4" w:space="0"/>
              <w:right w:val="single" w:color="auto" w:sz="4" w:space="0"/>
            </w:tcBorders>
            <w:vAlign w:val="center"/>
          </w:tcPr>
          <w:p w14:paraId="7ACE3BAB">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名称</w:t>
            </w:r>
          </w:p>
        </w:tc>
        <w:tc>
          <w:tcPr>
            <w:tcW w:w="1329" w:type="dxa"/>
            <w:tcBorders>
              <w:top w:val="single" w:color="auto" w:sz="4" w:space="0"/>
              <w:left w:val="single" w:color="auto" w:sz="4" w:space="0"/>
              <w:bottom w:val="single" w:color="auto" w:sz="4" w:space="0"/>
              <w:right w:val="single" w:color="auto" w:sz="4" w:space="0"/>
            </w:tcBorders>
            <w:vAlign w:val="center"/>
          </w:tcPr>
          <w:p w14:paraId="315660BC">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规格型号</w:t>
            </w:r>
          </w:p>
        </w:tc>
        <w:tc>
          <w:tcPr>
            <w:tcW w:w="6038" w:type="dxa"/>
            <w:tcBorders>
              <w:top w:val="single" w:color="auto" w:sz="4" w:space="0"/>
              <w:left w:val="single" w:color="auto" w:sz="4" w:space="0"/>
              <w:bottom w:val="single" w:color="auto" w:sz="4" w:space="0"/>
              <w:right w:val="single" w:color="auto" w:sz="4" w:space="0"/>
            </w:tcBorders>
            <w:vAlign w:val="center"/>
          </w:tcPr>
          <w:p w14:paraId="7DAFC11F">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具体参数需求</w:t>
            </w:r>
          </w:p>
        </w:tc>
      </w:tr>
      <w:tr w14:paraId="2B9C7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7" w:hRule="exact"/>
        </w:trPr>
        <w:tc>
          <w:tcPr>
            <w:tcW w:w="740" w:type="dxa"/>
            <w:tcBorders>
              <w:top w:val="single" w:color="auto" w:sz="4" w:space="0"/>
              <w:left w:val="single" w:color="auto" w:sz="4" w:space="0"/>
              <w:bottom w:val="single" w:color="auto" w:sz="4" w:space="0"/>
              <w:right w:val="single" w:color="auto" w:sz="4" w:space="0"/>
            </w:tcBorders>
            <w:vAlign w:val="center"/>
          </w:tcPr>
          <w:p w14:paraId="3DCA3BFB">
            <w:pPr>
              <w:widowControl/>
              <w:spacing w:before="100" w:beforeAutospacing="1" w:after="100" w:afterAutospacing="1"/>
              <w:jc w:val="both"/>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1</w:t>
            </w:r>
          </w:p>
        </w:tc>
        <w:tc>
          <w:tcPr>
            <w:tcW w:w="2217" w:type="dxa"/>
            <w:tcBorders>
              <w:top w:val="single" w:color="auto" w:sz="4" w:space="0"/>
              <w:left w:val="single" w:color="auto" w:sz="4" w:space="0"/>
              <w:bottom w:val="single" w:color="auto" w:sz="4" w:space="0"/>
              <w:right w:val="single" w:color="auto" w:sz="4" w:space="0"/>
            </w:tcBorders>
            <w:vAlign w:val="center"/>
          </w:tcPr>
          <w:p w14:paraId="73111A62">
            <w:pPr>
              <w:widowControl/>
              <w:spacing w:before="100" w:beforeAutospacing="1" w:after="100" w:afterAutospacing="1"/>
              <w:jc w:val="both"/>
              <w:rPr>
                <w:rFonts w:hint="default" w:cs="宋体" w:asciiTheme="minorEastAsia" w:hAnsiTheme="minorEastAsia" w:eastAsiaTheme="minorEastAsia"/>
                <w:kern w:val="0"/>
                <w:sz w:val="24"/>
                <w:lang w:val="en-US" w:eastAsia="zh-CN"/>
              </w:rPr>
            </w:pPr>
            <w:bookmarkStart w:id="0" w:name="_GoBack"/>
            <w:r>
              <w:rPr>
                <w:rFonts w:hint="default" w:cs="宋体" w:asciiTheme="minorEastAsia" w:hAnsiTheme="minorEastAsia" w:eastAsiaTheme="minorEastAsia"/>
                <w:kern w:val="0"/>
                <w:sz w:val="24"/>
                <w:lang w:val="en-US" w:eastAsia="zh-CN"/>
              </w:rPr>
              <w:t>一次性使用吻合器</w:t>
            </w:r>
            <w:bookmarkEnd w:id="0"/>
            <w:r>
              <w:rPr>
                <w:rFonts w:hint="default" w:cs="宋体" w:asciiTheme="minorEastAsia" w:hAnsiTheme="minorEastAsia" w:eastAsiaTheme="minorEastAsia"/>
                <w:kern w:val="0"/>
                <w:sz w:val="24"/>
                <w:lang w:val="en-US" w:eastAsia="zh-CN"/>
              </w:rPr>
              <w:t>相关耗材一批（管型、直线切割）</w:t>
            </w:r>
          </w:p>
        </w:tc>
        <w:tc>
          <w:tcPr>
            <w:tcW w:w="1329" w:type="dxa"/>
            <w:tcBorders>
              <w:top w:val="single" w:color="auto" w:sz="4" w:space="0"/>
              <w:left w:val="single" w:color="auto" w:sz="4" w:space="0"/>
              <w:bottom w:val="single" w:color="auto" w:sz="4" w:space="0"/>
              <w:right w:val="single" w:color="auto" w:sz="4" w:space="0"/>
            </w:tcBorders>
            <w:vAlign w:val="center"/>
          </w:tcPr>
          <w:p w14:paraId="2F74E202">
            <w:pPr>
              <w:widowControl/>
              <w:spacing w:before="100" w:beforeAutospacing="1" w:after="100" w:afterAutospacing="1"/>
              <w:jc w:val="both"/>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WHY系列、QHD系列</w:t>
            </w:r>
          </w:p>
        </w:tc>
        <w:tc>
          <w:tcPr>
            <w:tcW w:w="6038" w:type="dxa"/>
            <w:tcBorders>
              <w:top w:val="single" w:color="auto" w:sz="4" w:space="0"/>
              <w:left w:val="single" w:color="auto" w:sz="4" w:space="0"/>
              <w:bottom w:val="single" w:color="auto" w:sz="4" w:space="0"/>
              <w:right w:val="single" w:color="auto" w:sz="4" w:space="0"/>
            </w:tcBorders>
            <w:vAlign w:val="center"/>
          </w:tcPr>
          <w:p w14:paraId="5B57DDCF">
            <w:pPr>
              <w:widowControl/>
              <w:spacing w:before="100" w:beforeAutospacing="1" w:after="100" w:afterAutospacing="1"/>
              <w:jc w:val="both"/>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rPr>
              <w:t>一次性使用</w:t>
            </w:r>
            <w:r>
              <w:rPr>
                <w:rFonts w:hint="eastAsia" w:cs="宋体" w:asciiTheme="minorEastAsia" w:hAnsiTheme="minorEastAsia" w:eastAsiaTheme="minorEastAsia"/>
                <w:kern w:val="0"/>
                <w:sz w:val="24"/>
                <w:lang w:val="en-US" w:eastAsia="zh-CN"/>
              </w:rPr>
              <w:t>管形吻合器:</w:t>
            </w:r>
          </w:p>
          <w:p w14:paraId="2691E958">
            <w:pPr>
              <w:widowControl/>
              <w:numPr>
                <w:ilvl w:val="0"/>
                <w:numId w:val="0"/>
              </w:numPr>
              <w:spacing w:before="100" w:beforeAutospacing="1" w:after="100" w:afterAutospacing="1"/>
              <w:jc w:val="both"/>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1、适用于消化道系统组织的端端、端侧及侧侧机械吻合</w:t>
            </w:r>
          </w:p>
          <w:p w14:paraId="437692F4">
            <w:pPr>
              <w:widowControl/>
              <w:numPr>
                <w:ilvl w:val="0"/>
                <w:numId w:val="0"/>
              </w:numPr>
              <w:spacing w:before="100" w:beforeAutospacing="1" w:after="100" w:afterAutospacing="1"/>
              <w:ind w:leftChars="0"/>
              <w:jc w:val="both"/>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2、切割直径大，获得更大的吻合口内径，防止吻合口狭窄</w:t>
            </w:r>
          </w:p>
          <w:p w14:paraId="35F93D0F">
            <w:pPr>
              <w:widowControl/>
              <w:numPr>
                <w:ilvl w:val="0"/>
                <w:numId w:val="0"/>
              </w:numPr>
              <w:spacing w:before="100" w:beforeAutospacing="1" w:after="100" w:afterAutospacing="1"/>
              <w:ind w:leftChars="0"/>
              <w:jc w:val="both"/>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3、组织厚度可调节，满足各种厚度组织精确成钉</w:t>
            </w:r>
          </w:p>
          <w:p w14:paraId="22D008A3">
            <w:pPr>
              <w:widowControl/>
              <w:numPr>
                <w:ilvl w:val="0"/>
                <w:numId w:val="0"/>
              </w:numPr>
              <w:spacing w:before="100" w:beforeAutospacing="1" w:after="100" w:afterAutospacing="1"/>
              <w:ind w:leftChars="0"/>
              <w:jc w:val="both"/>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4、两种开闭速度，适应操作需要，提高手术效率</w:t>
            </w:r>
          </w:p>
          <w:p w14:paraId="4404A4F3">
            <w:pPr>
              <w:widowControl/>
              <w:numPr>
                <w:ilvl w:val="0"/>
                <w:numId w:val="0"/>
              </w:numPr>
              <w:spacing w:before="100" w:beforeAutospacing="1" w:after="100" w:afterAutospacing="1"/>
              <w:ind w:leftChars="0"/>
              <w:jc w:val="both"/>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5、无唇边抵钉座，方便器械击发完毕后安全退出</w:t>
            </w:r>
          </w:p>
          <w:p w14:paraId="6F32FC0F">
            <w:pPr>
              <w:widowControl/>
              <w:numPr>
                <w:ilvl w:val="0"/>
                <w:numId w:val="0"/>
              </w:numPr>
              <w:spacing w:before="100" w:beforeAutospacing="1" w:after="100" w:afterAutospacing="1"/>
              <w:jc w:val="both"/>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一次性使用直线切割吻合器及钉仓组件：</w:t>
            </w:r>
          </w:p>
          <w:p w14:paraId="7D1CC9D0">
            <w:pPr>
              <w:widowControl/>
              <w:numPr>
                <w:ilvl w:val="0"/>
                <w:numId w:val="0"/>
              </w:numPr>
              <w:spacing w:before="100" w:beforeAutospacing="1" w:after="100" w:afterAutospacing="1"/>
              <w:jc w:val="both"/>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1、适用于胃、肠等消化通道组织的离断、切除和缝合</w:t>
            </w:r>
          </w:p>
          <w:p w14:paraId="7E65FAC1">
            <w:pPr>
              <w:widowControl/>
              <w:numPr>
                <w:ilvl w:val="0"/>
                <w:numId w:val="0"/>
              </w:numPr>
              <w:spacing w:before="100" w:beforeAutospacing="1" w:after="100" w:afterAutospacing="1"/>
              <w:jc w:val="both"/>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2、切割长度可自由选择，满足各种厚度组织精确成钉</w:t>
            </w:r>
          </w:p>
          <w:p w14:paraId="7B0FBF88">
            <w:pPr>
              <w:widowControl/>
              <w:numPr>
                <w:ilvl w:val="0"/>
                <w:numId w:val="0"/>
              </w:numPr>
              <w:spacing w:before="100" w:beforeAutospacing="1" w:after="100" w:afterAutospacing="1"/>
              <w:ind w:leftChars="0"/>
              <w:jc w:val="both"/>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3、采用壁虎爪式钉仓更好的咬合组织，减少术中渗血</w:t>
            </w:r>
          </w:p>
        </w:tc>
      </w:tr>
    </w:tbl>
    <w:p w14:paraId="31F3894C">
      <w:pPr>
        <w:widowControl/>
        <w:spacing w:before="100" w:beforeAutospacing="1" w:after="100" w:afterAutospacing="1"/>
        <w:jc w:val="left"/>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 xml:space="preserve">  </w:t>
      </w:r>
    </w:p>
    <w:p w14:paraId="5F6A5B65">
      <w:pPr>
        <w:spacing w:line="540" w:lineRule="exact"/>
        <w:rPr>
          <w:rFonts w:ascii="宋体" w:hAnsi="宋体"/>
          <w:bCs/>
          <w:sz w:val="24"/>
        </w:rPr>
      </w:pPr>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herit">
    <w:altName w:val="Segoe Print"/>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sdtPr>
    <w:sdtContent>
      <w:p w14:paraId="426B8749">
        <w:pPr>
          <w:pStyle w:val="4"/>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0B6BF7C2">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jNzU1YTMyNDA5NmJiMDFkMzE1NjkzODhhMjJjYjAifQ=="/>
  </w:docVars>
  <w:rsids>
    <w:rsidRoot w:val="00917972"/>
    <w:rsid w:val="0001717B"/>
    <w:rsid w:val="000346EE"/>
    <w:rsid w:val="000865FB"/>
    <w:rsid w:val="000A2D9F"/>
    <w:rsid w:val="000B2248"/>
    <w:rsid w:val="000C46CA"/>
    <w:rsid w:val="000D196D"/>
    <w:rsid w:val="00125B20"/>
    <w:rsid w:val="001C020B"/>
    <w:rsid w:val="001D4F49"/>
    <w:rsid w:val="001F3EC2"/>
    <w:rsid w:val="00203F52"/>
    <w:rsid w:val="00214288"/>
    <w:rsid w:val="00285C2B"/>
    <w:rsid w:val="002B4449"/>
    <w:rsid w:val="002D4BC7"/>
    <w:rsid w:val="003113BF"/>
    <w:rsid w:val="00316A24"/>
    <w:rsid w:val="00332B5E"/>
    <w:rsid w:val="00347C2E"/>
    <w:rsid w:val="00354914"/>
    <w:rsid w:val="00364C3B"/>
    <w:rsid w:val="00375B7E"/>
    <w:rsid w:val="003772F4"/>
    <w:rsid w:val="003F071A"/>
    <w:rsid w:val="00425B19"/>
    <w:rsid w:val="00480440"/>
    <w:rsid w:val="004F336A"/>
    <w:rsid w:val="00515A8F"/>
    <w:rsid w:val="00546B4C"/>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4503A"/>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E52E1"/>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63C618E"/>
    <w:rsid w:val="09317280"/>
    <w:rsid w:val="0A4F320E"/>
    <w:rsid w:val="0AC171C3"/>
    <w:rsid w:val="0BA13F3D"/>
    <w:rsid w:val="0C8A2C23"/>
    <w:rsid w:val="135E0534"/>
    <w:rsid w:val="1A2C7DEE"/>
    <w:rsid w:val="20A46F2A"/>
    <w:rsid w:val="26435EC5"/>
    <w:rsid w:val="269C2E17"/>
    <w:rsid w:val="26EE059E"/>
    <w:rsid w:val="288B5A00"/>
    <w:rsid w:val="455C06D7"/>
    <w:rsid w:val="47164442"/>
    <w:rsid w:val="48AE321A"/>
    <w:rsid w:val="48F8086D"/>
    <w:rsid w:val="54D57D13"/>
    <w:rsid w:val="58E81FA7"/>
    <w:rsid w:val="59983A19"/>
    <w:rsid w:val="5A761F7B"/>
    <w:rsid w:val="5F9E0C2A"/>
    <w:rsid w:val="5FF2755C"/>
    <w:rsid w:val="60B540C1"/>
    <w:rsid w:val="60EE1FAE"/>
    <w:rsid w:val="690507DD"/>
    <w:rsid w:val="6BC26511"/>
    <w:rsid w:val="6CA36342"/>
    <w:rsid w:val="704B11CB"/>
    <w:rsid w:val="714543C0"/>
    <w:rsid w:val="7787608D"/>
    <w:rsid w:val="799D7E4B"/>
    <w:rsid w:val="7AEA60C9"/>
    <w:rsid w:val="7E552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autoRedefine/>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3"/>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basedOn w:val="8"/>
    <w:link w:val="2"/>
    <w:autoRedefine/>
    <w:qFormat/>
    <w:uiPriority w:val="0"/>
    <w:rPr>
      <w:rFonts w:ascii="Times New Roman" w:hAnsi="Times New Roman" w:eastAsia="宋体" w:cs="Times New Roman"/>
      <w:b/>
      <w:bCs/>
      <w:kern w:val="44"/>
      <w:sz w:val="44"/>
      <w:szCs w:val="44"/>
    </w:rPr>
  </w:style>
  <w:style w:type="character" w:customStyle="1" w:styleId="10">
    <w:name w:val="页眉 字符"/>
    <w:basedOn w:val="8"/>
    <w:link w:val="5"/>
    <w:autoRedefine/>
    <w:qFormat/>
    <w:uiPriority w:val="99"/>
    <w:rPr>
      <w:rFonts w:ascii="Calibri" w:hAnsi="Calibri" w:eastAsia="宋体" w:cs="Times New Roman"/>
      <w:sz w:val="18"/>
      <w:szCs w:val="18"/>
    </w:rPr>
  </w:style>
  <w:style w:type="character" w:customStyle="1" w:styleId="11">
    <w:name w:val="页脚 字符"/>
    <w:basedOn w:val="8"/>
    <w:link w:val="4"/>
    <w:autoRedefine/>
    <w:qFormat/>
    <w:uiPriority w:val="99"/>
    <w:rPr>
      <w:rFonts w:ascii="Calibri" w:hAnsi="Calibri" w:eastAsia="宋体" w:cs="Times New Roman"/>
      <w:sz w:val="18"/>
      <w:szCs w:val="18"/>
    </w:rPr>
  </w:style>
  <w:style w:type="paragraph" w:styleId="12">
    <w:name w:val="List Paragraph"/>
    <w:basedOn w:val="1"/>
    <w:autoRedefine/>
    <w:qFormat/>
    <w:uiPriority w:val="34"/>
    <w:pPr>
      <w:ind w:firstLine="420" w:firstLineChars="200"/>
    </w:pPr>
  </w:style>
  <w:style w:type="character" w:customStyle="1" w:styleId="13">
    <w:name w:val="批注框文本 字符"/>
    <w:basedOn w:val="8"/>
    <w:link w:val="3"/>
    <w:autoRedefine/>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1961</Words>
  <Characters>2010</Characters>
  <Lines>19</Lines>
  <Paragraphs>5</Paragraphs>
  <TotalTime>24</TotalTime>
  <ScaleCrop>false</ScaleCrop>
  <LinksUpToDate>false</LinksUpToDate>
  <CharactersWithSpaces>2686</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2023-05-04T09:04:00Z</dcterms:created>
  <dc:creator>Windows 用户</dc:creator>
  <cp:lastModifiedBy>dz</cp:lastModifiedBy>
  <cp:lastPrinted>2022-11-03T06:35:00Z</cp:lastPrinted>
  <dcterms:modified xsi:type="dcterms:W3CDTF">2024-07-04T03:23:39Z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C3FE65F3DA8746689D8079BA8CC25624_13</vt:lpwstr>
  </property>
</Properties>
</file>