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sz w:val="24"/>
        </w:rPr>
      </w:pPr>
    </w:p>
    <w:tbl>
      <w:tblPr>
        <w:tblStyle w:val="8"/>
        <w:tblW w:w="1045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1301"/>
        <w:gridCol w:w="6825"/>
        <w:gridCol w:w="772"/>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795"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序号</w:t>
            </w:r>
          </w:p>
        </w:tc>
        <w:tc>
          <w:tcPr>
            <w:tcW w:w="1301"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评审因素</w:t>
            </w:r>
          </w:p>
        </w:tc>
        <w:tc>
          <w:tcPr>
            <w:tcW w:w="6825"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lang w:val="en-US" w:eastAsia="zh-CN"/>
              </w:rPr>
              <w:t>后勤物资</w:t>
            </w:r>
            <w:r>
              <w:rPr>
                <w:rFonts w:hint="eastAsia" w:ascii="宋体" w:hAnsi="宋体" w:eastAsia="等线" w:cs="宋体"/>
                <w:b/>
                <w:sz w:val="28"/>
                <w:szCs w:val="21"/>
              </w:rPr>
              <w:t>评分细则</w:t>
            </w:r>
          </w:p>
        </w:tc>
        <w:tc>
          <w:tcPr>
            <w:tcW w:w="772"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权重</w:t>
            </w:r>
          </w:p>
        </w:tc>
        <w:tc>
          <w:tcPr>
            <w:tcW w:w="760"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95" w:type="dxa"/>
            <w:shd w:val="clear" w:color="auto" w:fill="auto"/>
            <w:vAlign w:val="center"/>
          </w:tcPr>
          <w:p>
            <w:pPr>
              <w:spacing w:line="300" w:lineRule="exact"/>
              <w:jc w:val="center"/>
              <w:rPr>
                <w:rFonts w:ascii="等线" w:hAnsi="等线" w:eastAsia="等线"/>
                <w:sz w:val="24"/>
              </w:rPr>
            </w:pPr>
            <w:r>
              <w:rPr>
                <w:rFonts w:hint="eastAsia" w:ascii="宋体" w:hAnsi="宋体" w:eastAsia="等线" w:cs="宋体"/>
                <w:b/>
                <w:sz w:val="28"/>
                <w:szCs w:val="21"/>
              </w:rPr>
              <w:t>一</w:t>
            </w:r>
          </w:p>
        </w:tc>
        <w:tc>
          <w:tcPr>
            <w:tcW w:w="9658" w:type="dxa"/>
            <w:gridSpan w:val="4"/>
            <w:shd w:val="clear" w:color="auto" w:fill="auto"/>
            <w:vAlign w:val="center"/>
          </w:tcPr>
          <w:p>
            <w:pPr>
              <w:spacing w:line="300" w:lineRule="exact"/>
              <w:jc w:val="center"/>
              <w:rPr>
                <w:rFonts w:ascii="等线" w:hAnsi="等线" w:eastAsia="等线"/>
                <w:sz w:val="24"/>
              </w:rPr>
            </w:pPr>
            <w:r>
              <w:rPr>
                <w:rFonts w:hint="eastAsia" w:ascii="宋体" w:hAnsi="宋体" w:eastAsia="等线" w:cs="宋体"/>
                <w:b/>
                <w:sz w:val="28"/>
                <w:szCs w:val="21"/>
              </w:rPr>
              <w:t>质量部分</w:t>
            </w:r>
            <w:r>
              <w:rPr>
                <w:rFonts w:ascii="宋体" w:hAnsi="宋体" w:eastAsia="等线" w:cs="宋体"/>
                <w:b/>
                <w:sz w:val="28"/>
                <w:szCs w:val="21"/>
              </w:rPr>
              <w:t>（</w:t>
            </w:r>
            <w:r>
              <w:rPr>
                <w:rFonts w:hint="eastAsia" w:ascii="宋体" w:hAnsi="宋体" w:eastAsia="等线" w:cs="宋体"/>
                <w:b/>
                <w:sz w:val="28"/>
                <w:szCs w:val="21"/>
              </w:rPr>
              <w:t>45分</w:t>
            </w:r>
            <w:r>
              <w:rPr>
                <w:rFonts w:ascii="宋体" w:hAnsi="宋体" w:eastAsia="等线" w:cs="宋体"/>
                <w:b/>
                <w:sz w:val="28"/>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795"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产品设计</w:t>
            </w:r>
          </w:p>
          <w:p>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合理性</w:t>
            </w:r>
          </w:p>
        </w:tc>
        <w:tc>
          <w:tcPr>
            <w:tcW w:w="6825" w:type="dxa"/>
            <w:shd w:val="clear" w:color="auto" w:fill="auto"/>
            <w:vAlign w:val="center"/>
          </w:tcPr>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评审委员会根据产品设计的合理性情况进行打分。</w:t>
            </w:r>
          </w:p>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依据：评审专家以临床使用经验为依据。</w:t>
            </w:r>
          </w:p>
          <w:p>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A、</w:t>
            </w:r>
            <w:r>
              <w:rPr>
                <w:rFonts w:ascii="等线" w:hAnsi="等线" w:eastAsia="等线" w:cs="等线"/>
                <w:szCs w:val="21"/>
              </w:rPr>
              <w:t>好</w:t>
            </w:r>
            <w:r>
              <w:rPr>
                <w:rFonts w:hint="eastAsia" w:ascii="等线" w:hAnsi="等线" w:eastAsia="等线" w:cs="等线"/>
                <w:szCs w:val="21"/>
              </w:rPr>
              <w:t xml:space="preserve">  ；得</w:t>
            </w:r>
            <w:r>
              <w:rPr>
                <w:rFonts w:ascii="等线" w:hAnsi="等线" w:eastAsia="等线" w:cs="等线"/>
                <w:szCs w:val="21"/>
              </w:rPr>
              <w:t>9</w:t>
            </w:r>
            <w:r>
              <w:rPr>
                <w:rFonts w:hint="eastAsia" w:ascii="等线" w:hAnsi="等线" w:eastAsia="等线" w:cs="等线"/>
                <w:szCs w:val="21"/>
              </w:rPr>
              <w:t>分；</w:t>
            </w:r>
          </w:p>
          <w:p>
            <w:pPr>
              <w:spacing w:line="300" w:lineRule="exact"/>
              <w:ind w:left="-78" w:leftChars="-37" w:right="-73" w:rightChars="-35" w:firstLine="105" w:firstLineChars="50"/>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好</w:t>
            </w:r>
            <w:r>
              <w:rPr>
                <w:rFonts w:hint="eastAsia" w:ascii="等线" w:hAnsi="等线" w:eastAsia="等线" w:cs="等线"/>
                <w:szCs w:val="21"/>
              </w:rPr>
              <w:t>；得6分；</w:t>
            </w:r>
          </w:p>
          <w:p>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C、一般；得</w:t>
            </w:r>
            <w:r>
              <w:rPr>
                <w:rFonts w:ascii="等线" w:hAnsi="等线" w:eastAsia="等线" w:cs="等线"/>
                <w:szCs w:val="21"/>
              </w:rPr>
              <w:t>2</w:t>
            </w:r>
            <w:r>
              <w:rPr>
                <w:rFonts w:hint="eastAsia" w:ascii="等线" w:hAnsi="等线" w:eastAsia="等线" w:cs="等线"/>
                <w:szCs w:val="21"/>
              </w:rPr>
              <w:t>分；</w:t>
            </w:r>
          </w:p>
        </w:tc>
        <w:tc>
          <w:tcPr>
            <w:tcW w:w="772"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ascii="宋体" w:hAnsi="宋体" w:eastAsia="等线" w:cs="宋体"/>
                <w:szCs w:val="21"/>
              </w:rPr>
              <w:t>9</w:t>
            </w:r>
            <w:r>
              <w:rPr>
                <w:rFonts w:hint="eastAsia" w:ascii="宋体" w:hAnsi="宋体" w:eastAsia="等线" w:cs="宋体"/>
                <w:szCs w:val="21"/>
              </w:rPr>
              <w:t>%</w:t>
            </w:r>
          </w:p>
        </w:tc>
        <w:tc>
          <w:tcPr>
            <w:tcW w:w="760"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ascii="宋体" w:hAnsi="宋体" w:eastAsia="等线" w:cs="宋体"/>
                <w:szCs w:val="21"/>
              </w:rPr>
              <w:t>9</w:t>
            </w:r>
            <w:r>
              <w:rPr>
                <w:rFonts w:hint="eastAsia" w:ascii="宋体" w:hAnsi="宋体" w:eastAsia="等线"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trPr>
        <w:tc>
          <w:tcPr>
            <w:tcW w:w="795"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2</w:t>
            </w:r>
          </w:p>
        </w:tc>
        <w:tc>
          <w:tcPr>
            <w:tcW w:w="1301"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产品对比</w:t>
            </w:r>
          </w:p>
          <w:p>
            <w:pPr>
              <w:spacing w:line="300" w:lineRule="exact"/>
              <w:jc w:val="center"/>
              <w:rPr>
                <w:rFonts w:ascii="宋体" w:hAnsi="宋体" w:eastAsia="等线" w:cs="宋体"/>
                <w:szCs w:val="21"/>
              </w:rPr>
            </w:pPr>
            <w:r>
              <w:rPr>
                <w:rFonts w:ascii="宋体" w:hAnsi="宋体" w:eastAsia="等线"/>
                <w:szCs w:val="21"/>
              </w:rPr>
              <w:t>情况</w:t>
            </w:r>
          </w:p>
        </w:tc>
        <w:tc>
          <w:tcPr>
            <w:tcW w:w="6825" w:type="dxa"/>
            <w:shd w:val="clear" w:color="auto" w:fill="auto"/>
            <w:vAlign w:val="center"/>
          </w:tcPr>
          <w:p>
            <w:pPr>
              <w:spacing w:line="300" w:lineRule="exact"/>
              <w:rPr>
                <w:rFonts w:ascii="宋体" w:hAnsi="宋体" w:eastAsia="等线"/>
                <w:szCs w:val="21"/>
              </w:rPr>
            </w:pPr>
            <w:r>
              <w:rPr>
                <w:rFonts w:hint="eastAsia" w:ascii="宋体" w:hAnsi="宋体" w:eastAsia="等线"/>
                <w:szCs w:val="21"/>
              </w:rPr>
              <w:t>产品性能、材质及质量、临床经验及比对结果情况。</w:t>
            </w:r>
          </w:p>
          <w:p>
            <w:pPr>
              <w:spacing w:line="300" w:lineRule="exact"/>
              <w:rPr>
                <w:rFonts w:ascii="宋体" w:hAnsi="宋体" w:eastAsia="等线"/>
                <w:szCs w:val="21"/>
              </w:rPr>
            </w:pPr>
            <w:r>
              <w:rPr>
                <w:rFonts w:hint="eastAsia" w:ascii="宋体" w:hAnsi="宋体" w:eastAsia="等线"/>
                <w:szCs w:val="21"/>
              </w:rPr>
              <w:t>依据：评审专家根据样品比对结果来评价。</w:t>
            </w:r>
          </w:p>
          <w:p>
            <w:pPr>
              <w:spacing w:line="300" w:lineRule="exact"/>
              <w:rPr>
                <w:rFonts w:ascii="宋体" w:hAnsi="宋体" w:eastAsia="等线"/>
                <w:szCs w:val="21"/>
              </w:rPr>
            </w:pPr>
            <w:r>
              <w:rPr>
                <w:rFonts w:ascii="等线" w:hAnsi="等线" w:eastAsia="等线"/>
                <w:szCs w:val="21"/>
              </w:rPr>
              <w:t>A、好  ；得20分；</w:t>
            </w:r>
          </w:p>
          <w:p>
            <w:pPr>
              <w:spacing w:line="300" w:lineRule="exact"/>
              <w:rPr>
                <w:rFonts w:ascii="等线" w:hAnsi="等线" w:eastAsia="等线"/>
                <w:szCs w:val="21"/>
              </w:rPr>
            </w:pPr>
            <w:r>
              <w:rPr>
                <w:rFonts w:ascii="等线" w:hAnsi="等线" w:eastAsia="等线"/>
                <w:szCs w:val="21"/>
              </w:rPr>
              <w:t>B、较好；得13分；</w:t>
            </w:r>
            <w:r>
              <w:rPr>
                <w:rFonts w:hint="eastAsia" w:ascii="等线" w:hAnsi="等线" w:eastAsia="等线"/>
                <w:szCs w:val="21"/>
              </w:rPr>
              <w:t xml:space="preserve">                                                                                                                                                                                                                                                                                                                                                                                                                                                                                                                                                                                                         </w:t>
            </w:r>
          </w:p>
          <w:p>
            <w:pPr>
              <w:spacing w:line="300" w:lineRule="exact"/>
              <w:ind w:left="-78" w:leftChars="-37" w:right="-73" w:rightChars="-35" w:firstLine="105" w:firstLineChars="50"/>
              <w:jc w:val="left"/>
              <w:rPr>
                <w:rFonts w:ascii="等线" w:hAnsi="等线" w:eastAsia="等线"/>
                <w:szCs w:val="21"/>
              </w:rPr>
            </w:pPr>
            <w:r>
              <w:rPr>
                <w:rFonts w:ascii="等线" w:hAnsi="等线" w:eastAsia="等线"/>
                <w:szCs w:val="21"/>
              </w:rPr>
              <w:t>C、一般；得5分；</w:t>
            </w:r>
          </w:p>
        </w:tc>
        <w:tc>
          <w:tcPr>
            <w:tcW w:w="772"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ascii="宋体" w:hAnsi="宋体" w:eastAsia="等线" w:cs="宋体"/>
                <w:szCs w:val="21"/>
              </w:rPr>
              <w:t>20</w:t>
            </w:r>
            <w:r>
              <w:rPr>
                <w:rFonts w:hint="eastAsia" w:ascii="宋体" w:hAnsi="宋体" w:eastAsia="等线" w:cs="宋体"/>
                <w:szCs w:val="21"/>
              </w:rPr>
              <w:t>%</w:t>
            </w:r>
          </w:p>
        </w:tc>
        <w:tc>
          <w:tcPr>
            <w:tcW w:w="760"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795"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3</w:t>
            </w:r>
          </w:p>
        </w:tc>
        <w:tc>
          <w:tcPr>
            <w:tcW w:w="1301" w:type="dxa"/>
            <w:shd w:val="clear" w:color="auto" w:fill="auto"/>
            <w:vAlign w:val="center"/>
          </w:tcPr>
          <w:p>
            <w:pPr>
              <w:spacing w:line="300" w:lineRule="exact"/>
              <w:jc w:val="center"/>
              <w:rPr>
                <w:rFonts w:ascii="宋体" w:hAnsi="宋体" w:eastAsia="等线" w:cs="宋体"/>
                <w:kern w:val="0"/>
                <w:szCs w:val="21"/>
              </w:rPr>
            </w:pPr>
            <w:r>
              <w:rPr>
                <w:rFonts w:hint="eastAsia" w:ascii="宋体" w:hAnsi="宋体" w:eastAsia="等线" w:cs="宋体"/>
                <w:kern w:val="0"/>
                <w:szCs w:val="21"/>
              </w:rPr>
              <w:t>产品规格</w:t>
            </w:r>
          </w:p>
          <w:p>
            <w:pPr>
              <w:spacing w:line="300" w:lineRule="exact"/>
              <w:jc w:val="center"/>
              <w:rPr>
                <w:rFonts w:ascii="宋体" w:hAnsi="宋体" w:eastAsia="等线" w:cs="宋体"/>
                <w:szCs w:val="21"/>
              </w:rPr>
            </w:pPr>
            <w:r>
              <w:rPr>
                <w:rFonts w:hint="eastAsia" w:ascii="宋体" w:hAnsi="宋体" w:eastAsia="等线" w:cs="宋体"/>
                <w:kern w:val="0"/>
                <w:szCs w:val="21"/>
              </w:rPr>
              <w:t>情况</w:t>
            </w:r>
          </w:p>
        </w:tc>
        <w:tc>
          <w:tcPr>
            <w:tcW w:w="6825" w:type="dxa"/>
            <w:shd w:val="clear" w:color="auto" w:fill="auto"/>
            <w:vAlign w:val="center"/>
          </w:tcPr>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申报产品的规格齐全情况。</w:t>
            </w:r>
          </w:p>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依据：以采购人提供的使用规格和评审专家以临床使用经验为依据。</w:t>
            </w:r>
          </w:p>
          <w:p>
            <w:pPr>
              <w:spacing w:line="300" w:lineRule="exact"/>
              <w:ind w:left="-78" w:leftChars="-37" w:right="-73" w:rightChars="-35"/>
              <w:jc w:val="left"/>
              <w:rPr>
                <w:rFonts w:ascii="等线" w:hAnsi="等线" w:eastAsia="等线" w:cs="等线"/>
                <w:szCs w:val="21"/>
              </w:rPr>
            </w:pPr>
            <w:r>
              <w:rPr>
                <w:rFonts w:ascii="等线" w:hAnsi="等线" w:eastAsia="等线" w:cs="等线"/>
                <w:szCs w:val="21"/>
              </w:rPr>
              <w:t>A、</w:t>
            </w:r>
            <w:r>
              <w:rPr>
                <w:rFonts w:hint="eastAsia" w:ascii="等线" w:hAnsi="等线" w:eastAsia="等线" w:cs="等线"/>
                <w:szCs w:val="21"/>
              </w:rPr>
              <w:t>齐全</w:t>
            </w:r>
            <w:r>
              <w:rPr>
                <w:rFonts w:ascii="等线" w:hAnsi="等线" w:eastAsia="等线" w:cs="等线"/>
                <w:szCs w:val="21"/>
              </w:rPr>
              <w:t xml:space="preserve">  ；得8分；</w:t>
            </w:r>
          </w:p>
          <w:p>
            <w:pPr>
              <w:spacing w:line="300" w:lineRule="exact"/>
              <w:ind w:left="-78" w:leftChars="-37" w:right="-73" w:rightChars="-35"/>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齐全；得5分；</w:t>
            </w:r>
          </w:p>
          <w:p>
            <w:pPr>
              <w:spacing w:line="300" w:lineRule="exact"/>
              <w:ind w:left="-78" w:leftChars="-37" w:right="-73" w:rightChars="-35"/>
              <w:jc w:val="left"/>
              <w:rPr>
                <w:rFonts w:ascii="等线" w:hAnsi="等线" w:eastAsia="等线" w:cs="等线"/>
                <w:szCs w:val="21"/>
              </w:rPr>
            </w:pPr>
            <w:r>
              <w:rPr>
                <w:rFonts w:ascii="等线" w:hAnsi="等线" w:eastAsia="等线" w:cs="等线"/>
                <w:szCs w:val="21"/>
              </w:rPr>
              <w:t>C、</w:t>
            </w:r>
            <w:r>
              <w:rPr>
                <w:rFonts w:hint="eastAsia" w:ascii="等线" w:hAnsi="等线" w:eastAsia="等线" w:cs="等线"/>
                <w:szCs w:val="21"/>
              </w:rPr>
              <w:t>不齐全</w:t>
            </w:r>
            <w:r>
              <w:rPr>
                <w:rFonts w:ascii="等线" w:hAnsi="等线" w:eastAsia="等线" w:cs="等线"/>
                <w:szCs w:val="21"/>
              </w:rPr>
              <w:t>；得2分；</w:t>
            </w:r>
          </w:p>
        </w:tc>
        <w:tc>
          <w:tcPr>
            <w:tcW w:w="772"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ascii="宋体" w:hAnsi="宋体" w:eastAsia="等线" w:cs="宋体"/>
                <w:szCs w:val="21"/>
              </w:rPr>
              <w:t>8</w:t>
            </w:r>
            <w:r>
              <w:rPr>
                <w:rFonts w:hint="eastAsia" w:ascii="宋体" w:hAnsi="宋体" w:eastAsia="等线" w:cs="宋体"/>
                <w:szCs w:val="21"/>
              </w:rPr>
              <w:t>%</w:t>
            </w:r>
          </w:p>
        </w:tc>
        <w:tc>
          <w:tcPr>
            <w:tcW w:w="760"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95"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4</w:t>
            </w:r>
          </w:p>
        </w:tc>
        <w:tc>
          <w:tcPr>
            <w:tcW w:w="1301" w:type="dxa"/>
            <w:shd w:val="clear" w:color="auto" w:fill="auto"/>
            <w:vAlign w:val="center"/>
          </w:tcPr>
          <w:p>
            <w:pPr>
              <w:spacing w:line="300" w:lineRule="exact"/>
              <w:jc w:val="center"/>
              <w:rPr>
                <w:rFonts w:hint="default" w:ascii="宋体" w:hAnsi="宋体" w:eastAsia="等线"/>
                <w:szCs w:val="21"/>
                <w:lang w:val="en-US" w:eastAsia="zh-CN"/>
              </w:rPr>
            </w:pPr>
            <w:r>
              <w:rPr>
                <w:rFonts w:hint="eastAsia" w:ascii="宋体" w:hAnsi="宋体" w:eastAsia="等线" w:cs="宋体"/>
                <w:kern w:val="0"/>
                <w:szCs w:val="21"/>
              </w:rPr>
              <w:t>产品</w:t>
            </w:r>
            <w:r>
              <w:rPr>
                <w:rFonts w:hint="eastAsia" w:ascii="宋体" w:hAnsi="宋体" w:eastAsia="等线" w:cs="宋体"/>
                <w:kern w:val="0"/>
                <w:szCs w:val="21"/>
                <w:lang w:val="en-US" w:eastAsia="zh-CN"/>
              </w:rPr>
              <w:t>可靠性保障</w:t>
            </w:r>
          </w:p>
        </w:tc>
        <w:tc>
          <w:tcPr>
            <w:tcW w:w="6825" w:type="dxa"/>
            <w:shd w:val="clear" w:color="auto" w:fill="auto"/>
            <w:vAlign w:val="center"/>
          </w:tcPr>
          <w:p>
            <w:pPr>
              <w:spacing w:line="300" w:lineRule="exact"/>
              <w:ind w:left="-78" w:leftChars="-37" w:right="-73" w:rightChars="-35"/>
              <w:jc w:val="left"/>
              <w:rPr>
                <w:rFonts w:hint="default" w:ascii="等线" w:hAnsi="等线" w:eastAsia="等线" w:cs="等线"/>
                <w:szCs w:val="21"/>
                <w:lang w:val="en-US" w:eastAsia="zh-CN"/>
              </w:rPr>
            </w:pPr>
            <w:r>
              <w:rPr>
                <w:rFonts w:hint="eastAsia" w:ascii="等线" w:hAnsi="等线" w:eastAsia="等线" w:cs="等线"/>
                <w:szCs w:val="21"/>
                <w:lang w:val="en-US" w:eastAsia="zh-CN"/>
              </w:rPr>
              <w:t>产品</w:t>
            </w:r>
            <w:r>
              <w:rPr>
                <w:rFonts w:hint="eastAsia" w:ascii="等线" w:hAnsi="等线" w:eastAsia="等线" w:cs="等线"/>
                <w:szCs w:val="21"/>
              </w:rPr>
              <w:t>的来源、包装、保存、运输各环节的</w:t>
            </w:r>
            <w:r>
              <w:rPr>
                <w:rFonts w:hint="eastAsia" w:ascii="等线" w:hAnsi="等线" w:eastAsia="等线" w:cs="等线"/>
                <w:szCs w:val="21"/>
                <w:lang w:val="en-US" w:eastAsia="zh-CN"/>
              </w:rPr>
              <w:t>可靠性评估。</w:t>
            </w:r>
          </w:p>
          <w:p>
            <w:pPr>
              <w:spacing w:line="300" w:lineRule="exact"/>
              <w:ind w:left="-78" w:leftChars="-37" w:right="-73" w:rightChars="-35"/>
              <w:jc w:val="left"/>
              <w:rPr>
                <w:rFonts w:hint="eastAsia" w:ascii="等线" w:hAnsi="等线" w:eastAsia="等线" w:cs="等线"/>
                <w:szCs w:val="21"/>
                <w:lang w:eastAsia="zh-CN"/>
              </w:rPr>
            </w:pPr>
            <w:r>
              <w:rPr>
                <w:rFonts w:hint="eastAsia" w:ascii="等线" w:hAnsi="等线" w:eastAsia="等线" w:cs="等线"/>
                <w:szCs w:val="21"/>
                <w:lang w:val="en-US" w:eastAsia="zh-CN"/>
              </w:rPr>
              <w:t>依据：根据投标人对四个环节的</w:t>
            </w:r>
            <w:r>
              <w:rPr>
                <w:rFonts w:hint="eastAsia" w:ascii="等线" w:hAnsi="等线" w:eastAsia="等线" w:cs="等线"/>
                <w:szCs w:val="21"/>
              </w:rPr>
              <w:t>质量保证措施及方案完善程度进行评价</w:t>
            </w:r>
            <w:r>
              <w:rPr>
                <w:rFonts w:hint="eastAsia" w:ascii="等线" w:hAnsi="等线" w:eastAsia="等线" w:cs="等线"/>
                <w:szCs w:val="21"/>
                <w:lang w:eastAsia="zh-CN"/>
              </w:rPr>
              <w:t>。</w:t>
            </w:r>
          </w:p>
          <w:p>
            <w:pPr>
              <w:spacing w:line="300" w:lineRule="exact"/>
              <w:ind w:left="-78" w:leftChars="-37" w:right="-73" w:rightChars="-35"/>
              <w:jc w:val="left"/>
              <w:rPr>
                <w:rFonts w:ascii="等线" w:hAnsi="等线" w:eastAsia="等线" w:cs="等线"/>
                <w:szCs w:val="21"/>
              </w:rPr>
            </w:pPr>
            <w:r>
              <w:rPr>
                <w:rFonts w:ascii="等线" w:hAnsi="等线" w:eastAsia="等线" w:cs="等线"/>
                <w:szCs w:val="21"/>
              </w:rPr>
              <w:t>A、</w:t>
            </w:r>
            <w:r>
              <w:rPr>
                <w:rFonts w:hint="eastAsia" w:ascii="等线" w:hAnsi="等线" w:eastAsia="等线" w:cs="等线"/>
                <w:szCs w:val="21"/>
                <w:lang w:val="en-US" w:eastAsia="zh-CN"/>
              </w:rPr>
              <w:t>满足各环节</w:t>
            </w:r>
            <w:r>
              <w:rPr>
                <w:rFonts w:ascii="等线" w:hAnsi="等线" w:eastAsia="等线" w:cs="等线"/>
                <w:szCs w:val="21"/>
              </w:rPr>
              <w:t>；得8分；</w:t>
            </w:r>
          </w:p>
          <w:p>
            <w:pPr>
              <w:spacing w:line="300" w:lineRule="exact"/>
              <w:ind w:left="-78" w:leftChars="-37" w:right="-73" w:rightChars="-35"/>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lang w:val="en-US" w:eastAsia="zh-CN"/>
              </w:rPr>
              <w:t>满足三个环节</w:t>
            </w:r>
            <w:r>
              <w:rPr>
                <w:rFonts w:ascii="等线" w:hAnsi="等线" w:eastAsia="等线" w:cs="等线"/>
                <w:szCs w:val="21"/>
              </w:rPr>
              <w:t>；得</w:t>
            </w:r>
            <w:r>
              <w:rPr>
                <w:rFonts w:hint="eastAsia" w:ascii="等线" w:hAnsi="等线" w:eastAsia="等线" w:cs="等线"/>
                <w:szCs w:val="21"/>
                <w:lang w:val="en-US" w:eastAsia="zh-CN"/>
              </w:rPr>
              <w:t>6</w:t>
            </w:r>
            <w:r>
              <w:rPr>
                <w:rFonts w:ascii="等线" w:hAnsi="等线" w:eastAsia="等线" w:cs="等线"/>
                <w:szCs w:val="21"/>
              </w:rPr>
              <w:t>分；</w:t>
            </w:r>
          </w:p>
          <w:p>
            <w:pPr>
              <w:spacing w:line="300" w:lineRule="exact"/>
              <w:ind w:right="-73" w:rightChars="-35"/>
              <w:jc w:val="left"/>
              <w:rPr>
                <w:rFonts w:ascii="等线" w:hAnsi="等线" w:eastAsia="等线" w:cs="等线"/>
                <w:szCs w:val="21"/>
              </w:rPr>
            </w:pPr>
            <w:r>
              <w:rPr>
                <w:rFonts w:ascii="等线" w:hAnsi="等线" w:eastAsia="等线" w:cs="等线"/>
                <w:szCs w:val="21"/>
              </w:rPr>
              <w:t>C、</w:t>
            </w:r>
            <w:r>
              <w:rPr>
                <w:rFonts w:hint="eastAsia" w:ascii="等线" w:hAnsi="等线" w:eastAsia="等线" w:cs="等线"/>
                <w:szCs w:val="21"/>
                <w:lang w:val="en-US" w:eastAsia="zh-CN"/>
              </w:rPr>
              <w:t>满足两个环节</w:t>
            </w:r>
            <w:r>
              <w:rPr>
                <w:rFonts w:ascii="等线" w:hAnsi="等线" w:eastAsia="等线" w:cs="等线"/>
                <w:szCs w:val="21"/>
              </w:rPr>
              <w:t>；得</w:t>
            </w:r>
            <w:r>
              <w:rPr>
                <w:rFonts w:hint="eastAsia" w:ascii="等线" w:hAnsi="等线" w:eastAsia="等线" w:cs="等线"/>
                <w:szCs w:val="21"/>
                <w:lang w:val="en-US" w:eastAsia="zh-CN"/>
              </w:rPr>
              <w:t>4</w:t>
            </w:r>
            <w:r>
              <w:rPr>
                <w:rFonts w:ascii="等线" w:hAnsi="等线" w:eastAsia="等线" w:cs="等线"/>
                <w:szCs w:val="21"/>
              </w:rPr>
              <w:t>分；</w:t>
            </w:r>
          </w:p>
          <w:p>
            <w:pPr>
              <w:spacing w:line="300" w:lineRule="exact"/>
              <w:ind w:right="-73" w:rightChars="-35"/>
              <w:jc w:val="left"/>
              <w:rPr>
                <w:rFonts w:hint="eastAsia"/>
                <w:lang w:val="en-US" w:eastAsia="zh-CN"/>
              </w:rPr>
            </w:pPr>
            <w:r>
              <w:rPr>
                <w:rFonts w:hint="eastAsia" w:ascii="等线" w:hAnsi="等线" w:eastAsia="等线" w:cs="等线"/>
                <w:szCs w:val="21"/>
                <w:lang w:val="en-US" w:eastAsia="zh-CN"/>
              </w:rPr>
              <w:t>D</w:t>
            </w:r>
            <w:r>
              <w:rPr>
                <w:rFonts w:ascii="等线" w:hAnsi="等线" w:eastAsia="等线" w:cs="等线"/>
                <w:szCs w:val="21"/>
              </w:rPr>
              <w:t>、</w:t>
            </w:r>
            <w:r>
              <w:rPr>
                <w:rFonts w:hint="eastAsia" w:ascii="等线" w:hAnsi="等线" w:eastAsia="等线" w:cs="等线"/>
                <w:szCs w:val="21"/>
                <w:lang w:val="en-US" w:eastAsia="zh-CN"/>
              </w:rPr>
              <w:t>满足一个环节</w:t>
            </w:r>
            <w:r>
              <w:rPr>
                <w:rFonts w:ascii="等线" w:hAnsi="等线" w:eastAsia="等线" w:cs="等线"/>
                <w:szCs w:val="21"/>
              </w:rPr>
              <w:t>；得2分；</w:t>
            </w:r>
          </w:p>
        </w:tc>
        <w:tc>
          <w:tcPr>
            <w:tcW w:w="772"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w:t>
            </w:r>
          </w:p>
        </w:tc>
        <w:tc>
          <w:tcPr>
            <w:tcW w:w="760"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shd w:val="clear" w:color="auto" w:fill="auto"/>
            <w:vAlign w:val="center"/>
          </w:tcPr>
          <w:p>
            <w:pPr>
              <w:spacing w:line="300" w:lineRule="exact"/>
              <w:jc w:val="center"/>
              <w:rPr>
                <w:rFonts w:ascii="等线" w:hAnsi="等线" w:eastAsia="等线"/>
                <w:sz w:val="28"/>
              </w:rPr>
            </w:pPr>
            <w:r>
              <w:rPr>
                <w:rFonts w:hint="eastAsia" w:ascii="宋体" w:hAnsi="宋体" w:eastAsia="等线" w:cs="宋体"/>
                <w:b/>
                <w:sz w:val="28"/>
                <w:szCs w:val="21"/>
              </w:rPr>
              <w:t>二</w:t>
            </w:r>
          </w:p>
        </w:tc>
        <w:tc>
          <w:tcPr>
            <w:tcW w:w="9658" w:type="dxa"/>
            <w:gridSpan w:val="4"/>
            <w:shd w:val="clear" w:color="auto" w:fill="auto"/>
            <w:vAlign w:val="center"/>
          </w:tcPr>
          <w:p>
            <w:pPr>
              <w:spacing w:line="300" w:lineRule="exact"/>
              <w:ind w:left="-78" w:leftChars="-37" w:right="-73" w:rightChars="-35"/>
              <w:jc w:val="center"/>
              <w:rPr>
                <w:rFonts w:ascii="宋体" w:hAnsi="宋体" w:eastAsia="等线" w:cs="宋体"/>
                <w:sz w:val="28"/>
                <w:szCs w:val="21"/>
              </w:rPr>
            </w:pPr>
            <w:r>
              <w:rPr>
                <w:rFonts w:hint="eastAsia" w:ascii="宋体" w:hAnsi="宋体" w:eastAsia="等线" w:cs="宋体"/>
                <w:b/>
                <w:sz w:val="28"/>
                <w:szCs w:val="21"/>
              </w:rPr>
              <w:t>服务部分</w:t>
            </w:r>
            <w:r>
              <w:rPr>
                <w:rFonts w:hint="eastAsia" w:ascii="宋体" w:hAnsi="宋体" w:eastAsia="等线"/>
                <w:b/>
                <w:sz w:val="28"/>
                <w:szCs w:val="21"/>
              </w:rPr>
              <w:t>（1</w:t>
            </w:r>
            <w:r>
              <w:rPr>
                <w:rFonts w:ascii="宋体" w:hAnsi="宋体" w:eastAsia="等线"/>
                <w:b/>
                <w:sz w:val="28"/>
                <w:szCs w:val="21"/>
              </w:rPr>
              <w:t>5</w:t>
            </w:r>
            <w:r>
              <w:rPr>
                <w:rFonts w:hint="eastAsia" w:ascii="宋体" w:hAnsi="宋体" w:eastAsia="等线"/>
                <w:b/>
                <w:sz w:val="28"/>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5"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配送服务能力</w:t>
            </w:r>
          </w:p>
        </w:tc>
        <w:tc>
          <w:tcPr>
            <w:tcW w:w="6825" w:type="dxa"/>
            <w:shd w:val="clear" w:color="auto" w:fill="auto"/>
            <w:vAlign w:val="center"/>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对以往配送服务能力及伴随服务评价。</w:t>
            </w:r>
          </w:p>
          <w:p>
            <w:pPr>
              <w:spacing w:line="300" w:lineRule="exact"/>
              <w:ind w:left="-63" w:leftChars="-30" w:right="-88" w:rightChars="-42"/>
              <w:jc w:val="left"/>
              <w:rPr>
                <w:rFonts w:ascii="宋体" w:hAnsi="宋体" w:eastAsia="等线"/>
                <w:szCs w:val="21"/>
                <w:highlight w:val="none"/>
              </w:rPr>
            </w:pPr>
            <w:r>
              <w:rPr>
                <w:rFonts w:hint="eastAsia" w:ascii="宋体" w:hAnsi="宋体" w:eastAsia="等线"/>
                <w:szCs w:val="21"/>
              </w:rPr>
              <w:t>依据</w:t>
            </w:r>
            <w:r>
              <w:rPr>
                <w:rFonts w:ascii="宋体" w:hAnsi="宋体" w:eastAsia="等线"/>
                <w:szCs w:val="21"/>
              </w:rPr>
              <w:t>：</w:t>
            </w:r>
            <w:r>
              <w:rPr>
                <w:rFonts w:hint="eastAsia" w:ascii="宋体" w:hAnsi="宋体" w:eastAsia="等线"/>
                <w:szCs w:val="21"/>
              </w:rPr>
              <w:t>以医院供应商评价结果、近效期产品退换</w:t>
            </w:r>
            <w:r>
              <w:rPr>
                <w:rFonts w:hint="eastAsia" w:ascii="宋体" w:hAnsi="宋体" w:eastAsia="等线"/>
                <w:szCs w:val="21"/>
                <w:lang w:eastAsia="zh-CN"/>
              </w:rPr>
              <w:t>、</w:t>
            </w:r>
            <w:r>
              <w:rPr>
                <w:rFonts w:hint="eastAsia" w:ascii="宋体" w:hAnsi="宋体" w:eastAsia="等线"/>
                <w:szCs w:val="21"/>
              </w:rPr>
              <w:t>配送服务保障措施</w:t>
            </w:r>
            <w:r>
              <w:rPr>
                <w:rFonts w:hint="eastAsia" w:ascii="宋体" w:hAnsi="宋体" w:eastAsia="等线"/>
                <w:szCs w:val="21"/>
                <w:lang w:val="en-US" w:eastAsia="zh-CN"/>
              </w:rPr>
              <w:t>与应急措施</w:t>
            </w:r>
            <w:r>
              <w:rPr>
                <w:rFonts w:hint="eastAsia" w:ascii="宋体" w:hAnsi="宋体" w:eastAsia="等线"/>
                <w:szCs w:val="21"/>
              </w:rPr>
              <w:t>等伴随服务项目的情况为依据进行评价</w:t>
            </w:r>
            <w:r>
              <w:rPr>
                <w:rFonts w:hint="eastAsia" w:ascii="宋体" w:hAnsi="宋体" w:eastAsia="等线"/>
                <w:szCs w:val="21"/>
                <w:highlight w:val="none"/>
              </w:rPr>
              <w:t>（没有配送过的以承诺书为准</w:t>
            </w:r>
            <w:r>
              <w:rPr>
                <w:rFonts w:ascii="宋体" w:hAnsi="宋体" w:eastAsia="等线"/>
                <w:szCs w:val="21"/>
                <w:highlight w:val="none"/>
              </w:rPr>
              <w:t>）</w:t>
            </w:r>
            <w:r>
              <w:rPr>
                <w:rFonts w:hint="eastAsia" w:ascii="宋体" w:hAnsi="宋体" w:eastAsia="等线"/>
                <w:szCs w:val="21"/>
                <w:highlight w:val="none"/>
              </w:rPr>
              <w:t>。</w:t>
            </w:r>
          </w:p>
          <w:p>
            <w:pPr>
              <w:numPr>
                <w:ilvl w:val="0"/>
                <w:numId w:val="1"/>
              </w:numPr>
              <w:spacing w:line="300" w:lineRule="exact"/>
              <w:ind w:right="-73" w:rightChars="-35"/>
              <w:jc w:val="left"/>
              <w:rPr>
                <w:rFonts w:ascii="宋体" w:hAnsi="宋体" w:eastAsia="等线"/>
                <w:szCs w:val="21"/>
              </w:rPr>
            </w:pPr>
            <w:r>
              <w:rPr>
                <w:rFonts w:ascii="宋体" w:hAnsi="宋体" w:eastAsia="等线"/>
                <w:szCs w:val="21"/>
              </w:rPr>
              <w:t>好：</w:t>
            </w:r>
            <w:r>
              <w:rPr>
                <w:rFonts w:hint="eastAsia" w:ascii="宋体" w:hAnsi="宋体" w:eastAsia="等线"/>
                <w:szCs w:val="21"/>
              </w:rPr>
              <w:t xml:space="preserve"> </w:t>
            </w:r>
            <w:r>
              <w:rPr>
                <w:rFonts w:hint="eastAsia" w:ascii="宋体" w:hAnsi="宋体" w:eastAsia="等线"/>
                <w:szCs w:val="21"/>
                <w:lang w:val="en-US" w:eastAsia="zh-CN"/>
              </w:rPr>
              <w:t xml:space="preserve"> </w:t>
            </w:r>
            <w:r>
              <w:rPr>
                <w:rFonts w:hint="eastAsia" w:ascii="宋体" w:hAnsi="宋体" w:eastAsia="等线"/>
                <w:szCs w:val="21"/>
              </w:rPr>
              <w:t>6分</w:t>
            </w:r>
          </w:p>
          <w:p>
            <w:pPr>
              <w:numPr>
                <w:ilvl w:val="0"/>
                <w:numId w:val="1"/>
              </w:numPr>
              <w:spacing w:line="300" w:lineRule="exact"/>
              <w:ind w:right="-73" w:rightChars="-35"/>
              <w:jc w:val="left"/>
              <w:rPr>
                <w:rFonts w:ascii="宋体" w:hAnsi="宋体" w:eastAsia="等线"/>
                <w:szCs w:val="21"/>
              </w:rPr>
            </w:pPr>
            <w:r>
              <w:rPr>
                <w:rFonts w:hint="eastAsia" w:ascii="宋体" w:hAnsi="宋体" w:eastAsia="等线"/>
                <w:szCs w:val="21"/>
              </w:rPr>
              <w:t>较好</w:t>
            </w:r>
            <w:r>
              <w:rPr>
                <w:rFonts w:ascii="宋体" w:hAnsi="宋体" w:eastAsia="等线"/>
                <w:szCs w:val="21"/>
              </w:rPr>
              <w:t>：</w:t>
            </w:r>
            <w:r>
              <w:rPr>
                <w:rFonts w:hint="eastAsia" w:ascii="宋体" w:hAnsi="宋体" w:eastAsia="等线"/>
                <w:szCs w:val="21"/>
              </w:rPr>
              <w:t>4分</w:t>
            </w:r>
          </w:p>
          <w:p>
            <w:pPr>
              <w:numPr>
                <w:ilvl w:val="0"/>
                <w:numId w:val="1"/>
              </w:numPr>
              <w:spacing w:line="300" w:lineRule="exact"/>
              <w:ind w:right="-73" w:rightChars="-35"/>
              <w:jc w:val="left"/>
              <w:rPr>
                <w:rFonts w:ascii="宋体" w:hAnsi="宋体" w:eastAsia="等线"/>
                <w:szCs w:val="21"/>
              </w:rPr>
            </w:pPr>
            <w:r>
              <w:rPr>
                <w:rFonts w:hint="eastAsia" w:ascii="宋体" w:hAnsi="宋体" w:eastAsia="等线"/>
                <w:szCs w:val="21"/>
              </w:rPr>
              <w:t>一般</w:t>
            </w:r>
            <w:r>
              <w:rPr>
                <w:rFonts w:ascii="宋体" w:hAnsi="宋体" w:eastAsia="等线"/>
                <w:szCs w:val="21"/>
              </w:rPr>
              <w:t>：</w:t>
            </w:r>
            <w:r>
              <w:rPr>
                <w:rFonts w:hint="eastAsia" w:ascii="宋体" w:hAnsi="宋体" w:eastAsia="等线"/>
                <w:szCs w:val="21"/>
              </w:rPr>
              <w:t>2分</w:t>
            </w:r>
          </w:p>
          <w:p>
            <w:pPr>
              <w:spacing w:line="300" w:lineRule="exact"/>
              <w:ind w:left="-63" w:leftChars="-30" w:right="-88" w:rightChars="-42"/>
              <w:jc w:val="left"/>
              <w:rPr>
                <w:rFonts w:ascii="宋体" w:hAnsi="宋体" w:eastAsia="等线"/>
                <w:szCs w:val="21"/>
              </w:rPr>
            </w:pPr>
            <w:r>
              <w:rPr>
                <w:rFonts w:hint="eastAsia" w:ascii="宋体" w:hAnsi="宋体" w:eastAsia="等线"/>
                <w:szCs w:val="21"/>
                <w:highlight w:val="none"/>
              </w:rPr>
              <w:t>没有配送过的以承诺书为准。有承诺的得6分，无承诺的得2分</w:t>
            </w:r>
          </w:p>
        </w:tc>
        <w:tc>
          <w:tcPr>
            <w:tcW w:w="772" w:type="dxa"/>
            <w:shd w:val="clear" w:color="auto" w:fill="auto"/>
            <w:vAlign w:val="center"/>
          </w:tcPr>
          <w:p>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60"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795"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2</w:t>
            </w:r>
          </w:p>
        </w:tc>
        <w:tc>
          <w:tcPr>
            <w:tcW w:w="1301"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服务承诺</w:t>
            </w:r>
          </w:p>
        </w:tc>
        <w:tc>
          <w:tcPr>
            <w:tcW w:w="6825" w:type="dxa"/>
            <w:shd w:val="clear" w:color="auto" w:fill="auto"/>
            <w:vAlign w:val="center"/>
          </w:tcPr>
          <w:p>
            <w:pPr>
              <w:spacing w:line="300" w:lineRule="exact"/>
              <w:jc w:val="left"/>
              <w:rPr>
                <w:rFonts w:ascii="宋体" w:hAnsi="宋体" w:eastAsia="等线"/>
                <w:szCs w:val="21"/>
              </w:rPr>
            </w:pPr>
            <w:r>
              <w:rPr>
                <w:rFonts w:hint="eastAsia" w:ascii="宋体" w:hAnsi="宋体" w:eastAsia="等线"/>
                <w:szCs w:val="21"/>
              </w:rPr>
              <w:t>投标、供货、质量保证及伴随服务承诺。</w:t>
            </w:r>
          </w:p>
          <w:p>
            <w:pPr>
              <w:spacing w:line="300" w:lineRule="exact"/>
              <w:jc w:val="left"/>
              <w:rPr>
                <w:rFonts w:ascii="宋体" w:hAnsi="宋体" w:eastAsia="等线"/>
                <w:szCs w:val="21"/>
              </w:rPr>
            </w:pPr>
            <w:r>
              <w:rPr>
                <w:rFonts w:hint="eastAsia" w:ascii="宋体" w:hAnsi="宋体" w:eastAsia="等线"/>
                <w:szCs w:val="21"/>
              </w:rPr>
              <w:t>（包括定期随访承诺、破损退换、近效期退换、发票提供及时等）</w:t>
            </w:r>
          </w:p>
          <w:p>
            <w:pPr>
              <w:spacing w:line="300" w:lineRule="exact"/>
              <w:jc w:val="left"/>
              <w:rPr>
                <w:rFonts w:ascii="宋体" w:hAnsi="宋体" w:eastAsia="等线"/>
                <w:szCs w:val="21"/>
              </w:rPr>
            </w:pPr>
            <w:r>
              <w:rPr>
                <w:rFonts w:ascii="宋体" w:hAnsi="宋体" w:eastAsia="等线"/>
                <w:szCs w:val="21"/>
              </w:rPr>
              <w:t>A、服务好或三项承诺：</w:t>
            </w:r>
            <w:r>
              <w:rPr>
                <w:rFonts w:hint="eastAsia" w:ascii="宋体" w:hAnsi="宋体" w:eastAsia="等线"/>
                <w:szCs w:val="21"/>
              </w:rPr>
              <w:t xml:space="preserve">  </w:t>
            </w:r>
            <w:r>
              <w:rPr>
                <w:rFonts w:ascii="宋体" w:hAnsi="宋体" w:eastAsia="等线"/>
                <w:szCs w:val="21"/>
              </w:rPr>
              <w:t xml:space="preserve">6分； </w:t>
            </w:r>
          </w:p>
          <w:p>
            <w:pPr>
              <w:spacing w:line="300" w:lineRule="exact"/>
              <w:jc w:val="left"/>
              <w:rPr>
                <w:rFonts w:ascii="宋体" w:hAnsi="宋体" w:eastAsia="等线"/>
                <w:szCs w:val="21"/>
              </w:rPr>
            </w:pPr>
            <w:r>
              <w:rPr>
                <w:rFonts w:ascii="宋体" w:hAnsi="宋体" w:eastAsia="等线"/>
                <w:szCs w:val="21"/>
              </w:rPr>
              <w:t xml:space="preserve">B、服务较好或两项承诺：4分； </w:t>
            </w:r>
          </w:p>
          <w:p>
            <w:pPr>
              <w:spacing w:line="300" w:lineRule="exact"/>
              <w:jc w:val="left"/>
              <w:rPr>
                <w:rFonts w:ascii="宋体" w:hAnsi="宋体" w:eastAsia="等线"/>
                <w:szCs w:val="21"/>
              </w:rPr>
            </w:pPr>
            <w:r>
              <w:rPr>
                <w:rFonts w:ascii="宋体" w:hAnsi="宋体" w:eastAsia="等线"/>
                <w:szCs w:val="21"/>
              </w:rPr>
              <w:t xml:space="preserve">C、服务一般或一项承诺：2分； </w:t>
            </w:r>
          </w:p>
          <w:p>
            <w:pPr>
              <w:spacing w:line="300" w:lineRule="exact"/>
              <w:jc w:val="left"/>
              <w:rPr>
                <w:rFonts w:ascii="宋体" w:hAnsi="宋体" w:eastAsia="等线"/>
                <w:szCs w:val="21"/>
              </w:rPr>
            </w:pPr>
            <w:r>
              <w:rPr>
                <w:rFonts w:ascii="宋体" w:hAnsi="宋体" w:eastAsia="等线"/>
                <w:szCs w:val="21"/>
              </w:rPr>
              <w:t>D、服务差或无承诺：</w:t>
            </w:r>
            <w:r>
              <w:rPr>
                <w:rFonts w:hint="eastAsia" w:ascii="宋体" w:hAnsi="宋体" w:eastAsia="等线"/>
                <w:szCs w:val="21"/>
              </w:rPr>
              <w:t xml:space="preserve">    </w:t>
            </w:r>
            <w:r>
              <w:rPr>
                <w:rFonts w:ascii="宋体" w:hAnsi="宋体" w:eastAsia="等线"/>
                <w:szCs w:val="21"/>
              </w:rPr>
              <w:t>0分</w:t>
            </w:r>
          </w:p>
          <w:p>
            <w:pPr>
              <w:spacing w:line="300" w:lineRule="exact"/>
              <w:ind w:left="-63" w:leftChars="-30" w:right="-88" w:rightChars="-42"/>
              <w:jc w:val="left"/>
              <w:rPr>
                <w:rFonts w:ascii="宋体" w:hAnsi="宋体" w:eastAsia="等线"/>
                <w:szCs w:val="21"/>
              </w:rPr>
            </w:pPr>
            <w:r>
              <w:rPr>
                <w:rFonts w:hint="eastAsia" w:ascii="宋体" w:hAnsi="宋体" w:eastAsia="等线"/>
                <w:szCs w:val="21"/>
                <w:highlight w:val="none"/>
              </w:rPr>
              <w:t>没有配送过的以供应商递交的申报承诺函为依据。（每项承诺为</w:t>
            </w:r>
            <w:r>
              <w:rPr>
                <w:rFonts w:ascii="宋体" w:hAnsi="宋体" w:eastAsia="等线"/>
                <w:szCs w:val="21"/>
                <w:highlight w:val="none"/>
              </w:rPr>
              <w:t>2分，最高6分，最低0分）</w:t>
            </w:r>
          </w:p>
        </w:tc>
        <w:tc>
          <w:tcPr>
            <w:tcW w:w="772" w:type="dxa"/>
            <w:shd w:val="clear" w:color="auto" w:fill="auto"/>
            <w:vAlign w:val="center"/>
          </w:tcPr>
          <w:p>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60"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795" w:type="dxa"/>
            <w:shd w:val="clear" w:color="auto" w:fill="auto"/>
            <w:vAlign w:val="center"/>
          </w:tcPr>
          <w:p>
            <w:pPr>
              <w:spacing w:line="300" w:lineRule="exact"/>
              <w:jc w:val="center"/>
              <w:rPr>
                <w:rFonts w:ascii="宋体" w:hAnsi="宋体" w:eastAsia="等线"/>
                <w:szCs w:val="21"/>
              </w:rPr>
            </w:pPr>
            <w:r>
              <w:rPr>
                <w:rFonts w:ascii="宋体" w:hAnsi="宋体" w:eastAsia="等线"/>
                <w:szCs w:val="21"/>
              </w:rPr>
              <w:t>3</w:t>
            </w:r>
          </w:p>
        </w:tc>
        <w:tc>
          <w:tcPr>
            <w:tcW w:w="1301" w:type="dxa"/>
            <w:shd w:val="clear" w:color="auto" w:fill="auto"/>
            <w:vAlign w:val="center"/>
          </w:tcPr>
          <w:p>
            <w:pPr>
              <w:spacing w:line="300" w:lineRule="exact"/>
              <w:ind w:left="-63" w:leftChars="-30" w:right="-88" w:rightChars="-42"/>
              <w:jc w:val="center"/>
            </w:pPr>
            <w:r>
              <w:rPr>
                <w:rFonts w:hint="eastAsia" w:ascii="宋体" w:hAnsi="宋体" w:eastAsia="等线" w:cs="宋体"/>
                <w:szCs w:val="21"/>
              </w:rPr>
              <w:t>服务方案</w:t>
            </w:r>
          </w:p>
        </w:tc>
        <w:tc>
          <w:tcPr>
            <w:tcW w:w="6825" w:type="dxa"/>
            <w:shd w:val="clear" w:color="auto" w:fill="auto"/>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针对本项目的需求制定服务方案</w:t>
            </w:r>
            <w:r>
              <w:rPr>
                <w:rFonts w:hint="eastAsia" w:ascii="宋体" w:hAnsi="宋体" w:eastAsia="等线"/>
                <w:szCs w:val="21"/>
                <w:lang w:eastAsia="zh-CN"/>
              </w:rPr>
              <w:t>（</w:t>
            </w:r>
            <w:r>
              <w:rPr>
                <w:rFonts w:hint="eastAsia" w:ascii="宋体" w:hAnsi="宋体" w:eastAsia="等线"/>
                <w:szCs w:val="21"/>
                <w:lang w:val="en-US" w:eastAsia="zh-CN"/>
              </w:rPr>
              <w:t>包括配送服务与售后服务等</w:t>
            </w:r>
            <w:r>
              <w:rPr>
                <w:rFonts w:hint="eastAsia" w:ascii="宋体" w:hAnsi="宋体" w:eastAsia="等线"/>
                <w:szCs w:val="21"/>
                <w:lang w:eastAsia="zh-CN"/>
              </w:rPr>
              <w:t>）</w:t>
            </w:r>
            <w:r>
              <w:rPr>
                <w:rFonts w:hint="eastAsia" w:ascii="宋体" w:hAnsi="宋体" w:eastAsia="等线"/>
                <w:szCs w:val="21"/>
              </w:rPr>
              <w:t>。</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评分标准：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（1）服务方案内容全面；</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（2）服务方案内容具体，表达清晰、完整、严谨；</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（3）服务方案内容针对性强；</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（4）服务方案内容先进，科学合理；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满足以上四项要求得3分，满足以上三项要求得2分，满足以上两项要求得1分，满足以上一项要求得0.5分，其它情况不得分。</w:t>
            </w:r>
          </w:p>
        </w:tc>
        <w:tc>
          <w:tcPr>
            <w:tcW w:w="772" w:type="dxa"/>
            <w:shd w:val="clear" w:color="auto" w:fill="auto"/>
            <w:vAlign w:val="center"/>
          </w:tcPr>
          <w:p>
            <w:pPr>
              <w:spacing w:line="300" w:lineRule="exact"/>
              <w:ind w:left="-78" w:leftChars="-37" w:right="-73" w:rightChars="-35"/>
              <w:jc w:val="center"/>
              <w:rPr>
                <w:rFonts w:ascii="宋体" w:hAnsi="宋体" w:eastAsia="等线"/>
                <w:szCs w:val="21"/>
              </w:rPr>
            </w:pPr>
            <w:r>
              <w:rPr>
                <w:rFonts w:hint="eastAsia" w:ascii="宋体" w:hAnsi="宋体" w:eastAsia="等线"/>
                <w:szCs w:val="21"/>
              </w:rPr>
              <w:t>3</w:t>
            </w:r>
            <w:r>
              <w:rPr>
                <w:rFonts w:ascii="宋体" w:hAnsi="宋体" w:eastAsia="等线"/>
                <w:szCs w:val="21"/>
              </w:rPr>
              <w:t>%</w:t>
            </w:r>
          </w:p>
        </w:tc>
        <w:tc>
          <w:tcPr>
            <w:tcW w:w="760"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95" w:type="dxa"/>
            <w:shd w:val="clear" w:color="auto" w:fill="auto"/>
            <w:vAlign w:val="center"/>
          </w:tcPr>
          <w:p>
            <w:pPr>
              <w:spacing w:line="300" w:lineRule="exact"/>
              <w:jc w:val="center"/>
              <w:rPr>
                <w:rFonts w:ascii="宋体" w:hAnsi="宋体" w:eastAsia="等线"/>
                <w:szCs w:val="21"/>
              </w:rPr>
            </w:pPr>
            <w:r>
              <w:rPr>
                <w:rFonts w:hint="eastAsia" w:ascii="宋体" w:hAnsi="宋体" w:eastAsia="等线" w:cs="宋体"/>
                <w:b/>
                <w:sz w:val="28"/>
                <w:szCs w:val="21"/>
              </w:rPr>
              <w:t>三</w:t>
            </w:r>
          </w:p>
        </w:tc>
        <w:tc>
          <w:tcPr>
            <w:tcW w:w="9658" w:type="dxa"/>
            <w:gridSpan w:val="4"/>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b/>
                <w:sz w:val="28"/>
                <w:szCs w:val="21"/>
              </w:rPr>
              <w:t>信誉部分（10分）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795"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等线" w:hAnsi="等线" w:eastAsia="等线"/>
                <w:szCs w:val="21"/>
              </w:rPr>
              <w:t>诚信情况</w:t>
            </w:r>
          </w:p>
        </w:tc>
        <w:tc>
          <w:tcPr>
            <w:tcW w:w="6825" w:type="dxa"/>
            <w:shd w:val="clear" w:color="auto" w:fill="auto"/>
            <w:vAlign w:val="center"/>
          </w:tcPr>
          <w:p>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 xml:space="preserve">评审标准： </w:t>
            </w:r>
          </w:p>
          <w:p>
            <w:pPr>
              <w:spacing w:line="300" w:lineRule="exact"/>
              <w:ind w:left="-63" w:leftChars="-30" w:right="-88" w:rightChars="-42"/>
              <w:jc w:val="left"/>
              <w:rPr>
                <w:rFonts w:hint="eastAsia" w:ascii="宋体" w:hAnsi="宋体" w:eastAsia="等线"/>
                <w:szCs w:val="21"/>
                <w:lang w:val="en-US" w:eastAsia="zh-CN"/>
              </w:rPr>
            </w:pPr>
            <w:r>
              <w:rPr>
                <w:rFonts w:hint="eastAsia" w:ascii="宋体" w:hAnsi="宋体" w:eastAsia="等线"/>
                <w:szCs w:val="21"/>
              </w:rPr>
              <w:t>投标人在参与政府采购活动中存在《深圳市财政局政府采购供应商信用信息管理办法》第十一条诚信相关问题且在主管部门相关处理措施实施期限内的，本项不得分，否则得满分。</w:t>
            </w:r>
            <w:r>
              <w:rPr>
                <w:rFonts w:hint="eastAsia" w:ascii="宋体" w:hAnsi="宋体" w:eastAsia="等线"/>
                <w:szCs w:val="21"/>
                <w:lang w:eastAsia="zh-CN"/>
              </w:rPr>
              <w:t>（</w:t>
            </w:r>
            <w:r>
              <w:rPr>
                <w:rFonts w:hint="eastAsia" w:ascii="宋体" w:hAnsi="宋体" w:eastAsia="等线"/>
                <w:szCs w:val="21"/>
              </w:rPr>
              <w:t>投标人无需提供任何证明材料，由工作人员查询后向评审委员会提供相关信息。</w:t>
            </w:r>
            <w:r>
              <w:rPr>
                <w:rFonts w:hint="eastAsia" w:ascii="宋体" w:hAnsi="宋体" w:eastAsia="等线"/>
                <w:szCs w:val="21"/>
                <w:lang w:val="en-US" w:eastAsia="zh-CN"/>
              </w:rPr>
              <w:t>)</w:t>
            </w:r>
          </w:p>
        </w:tc>
        <w:tc>
          <w:tcPr>
            <w:tcW w:w="772" w:type="dxa"/>
            <w:shd w:val="clear" w:color="auto" w:fill="auto"/>
            <w:vAlign w:val="center"/>
          </w:tcPr>
          <w:p>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60"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795"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2</w:t>
            </w:r>
            <w:r>
              <w:rPr>
                <w:rFonts w:ascii="宋体" w:hAnsi="宋体" w:eastAsia="等线"/>
                <w:szCs w:val="21"/>
              </w:rPr>
              <w:t>.</w:t>
            </w:r>
          </w:p>
        </w:tc>
        <w:tc>
          <w:tcPr>
            <w:tcW w:w="1301"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ascii="宋体" w:hAnsi="宋体" w:eastAsia="等线" w:cs="宋体"/>
                <w:szCs w:val="21"/>
              </w:rPr>
              <w:t>履约</w:t>
            </w:r>
            <w:r>
              <w:rPr>
                <w:rFonts w:hint="eastAsia" w:ascii="宋体" w:hAnsi="宋体" w:eastAsia="等线" w:cs="宋体"/>
                <w:szCs w:val="21"/>
              </w:rPr>
              <w:t>承诺</w:t>
            </w:r>
          </w:p>
        </w:tc>
        <w:tc>
          <w:tcPr>
            <w:tcW w:w="6825" w:type="dxa"/>
            <w:shd w:val="clear" w:color="auto" w:fill="auto"/>
            <w:vAlign w:val="center"/>
          </w:tcPr>
          <w:p>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 xml:space="preserve">（1）评审标准： </w:t>
            </w:r>
          </w:p>
          <w:p>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提供2020年1月1日至本项目投标截止之日由服务单位出具的经考核评价为优或其他最高级别评价的证明，每提供一份证明得1分，最高得</w:t>
            </w:r>
            <w:r>
              <w:rPr>
                <w:rFonts w:hint="eastAsia" w:ascii="宋体" w:hAnsi="宋体" w:eastAsia="等线"/>
                <w:szCs w:val="21"/>
                <w:lang w:val="en-US" w:eastAsia="zh-CN"/>
              </w:rPr>
              <w:t>4</w:t>
            </w:r>
            <w:r>
              <w:rPr>
                <w:rFonts w:hint="eastAsia" w:ascii="宋体" w:hAnsi="宋体" w:eastAsia="等线"/>
                <w:szCs w:val="21"/>
              </w:rPr>
              <w:t xml:space="preserve">分。同一单位出具多份评价证明的不可重复得分。 </w:t>
            </w:r>
          </w:p>
          <w:p>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 xml:space="preserve">（2）证明文件： </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提供服务单位评价证明文件（加盖服务单位公章或业务章）复印件。未按要求提供有效证明材料或提供不清晰导致评委无法识别的不计得分。</w:t>
            </w:r>
          </w:p>
        </w:tc>
        <w:tc>
          <w:tcPr>
            <w:tcW w:w="772" w:type="dxa"/>
            <w:shd w:val="clear" w:color="auto" w:fill="auto"/>
            <w:vAlign w:val="center"/>
          </w:tcPr>
          <w:p>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60"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trPr>
        <w:tc>
          <w:tcPr>
            <w:tcW w:w="795"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3.</w:t>
            </w:r>
          </w:p>
        </w:tc>
        <w:tc>
          <w:tcPr>
            <w:tcW w:w="1301"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同类项目业绩情况</w:t>
            </w:r>
          </w:p>
        </w:tc>
        <w:tc>
          <w:tcPr>
            <w:tcW w:w="6825" w:type="dxa"/>
            <w:shd w:val="clear" w:color="auto" w:fill="auto"/>
            <w:vAlign w:val="center"/>
          </w:tcPr>
          <w:p>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（1）评审标准：</w:t>
            </w:r>
          </w:p>
          <w:p>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投标人自2020年1月1日至本项目投标截止时间（以合同签订日期为准），每提供一项</w:t>
            </w:r>
            <w:r>
              <w:rPr>
                <w:rFonts w:hint="eastAsia" w:ascii="宋体" w:hAnsi="宋体" w:eastAsia="等线"/>
                <w:szCs w:val="21"/>
                <w:lang w:val="en-US" w:eastAsia="zh-CN"/>
              </w:rPr>
              <w:t>该业务</w:t>
            </w:r>
            <w:r>
              <w:rPr>
                <w:rFonts w:hint="eastAsia" w:ascii="宋体" w:hAnsi="宋体" w:eastAsia="等线"/>
                <w:szCs w:val="21"/>
              </w:rPr>
              <w:t>的业绩得</w:t>
            </w:r>
            <w:r>
              <w:rPr>
                <w:rFonts w:hint="eastAsia" w:ascii="宋体" w:hAnsi="宋体" w:eastAsia="等线"/>
                <w:szCs w:val="21"/>
                <w:lang w:val="en-US" w:eastAsia="zh-CN"/>
              </w:rPr>
              <w:t>1</w:t>
            </w:r>
            <w:r>
              <w:rPr>
                <w:rFonts w:hint="eastAsia" w:ascii="宋体" w:hAnsi="宋体" w:eastAsia="等线"/>
                <w:szCs w:val="21"/>
              </w:rPr>
              <w:t>分，最高得</w:t>
            </w:r>
            <w:r>
              <w:rPr>
                <w:rFonts w:hint="eastAsia" w:ascii="宋体" w:hAnsi="宋体" w:eastAsia="等线"/>
                <w:szCs w:val="21"/>
                <w:lang w:val="en-US" w:eastAsia="zh-CN"/>
              </w:rPr>
              <w:t>2</w:t>
            </w:r>
            <w:r>
              <w:rPr>
                <w:rFonts w:hint="eastAsia" w:ascii="宋体" w:hAnsi="宋体" w:eastAsia="等线"/>
                <w:szCs w:val="21"/>
              </w:rPr>
              <w:t>分。</w:t>
            </w:r>
          </w:p>
          <w:p>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（2）证明文件：</w:t>
            </w:r>
          </w:p>
          <w:p>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1.要求提供合同关键页（含签订合同双方的单位名称、合同项目名称、签订合同双方的落款盖章、签订日期的关键页）作为得分依据。</w:t>
            </w:r>
          </w:p>
          <w:p>
            <w:pPr>
              <w:spacing w:line="300" w:lineRule="exact"/>
              <w:ind w:left="-63" w:leftChars="-30" w:right="-88" w:rightChars="-42"/>
              <w:jc w:val="left"/>
              <w:rPr>
                <w:rFonts w:ascii="等线" w:hAnsi="等线" w:eastAsia="等线" w:cs="等线"/>
                <w:szCs w:val="21"/>
              </w:rPr>
            </w:pPr>
          </w:p>
        </w:tc>
        <w:tc>
          <w:tcPr>
            <w:tcW w:w="772" w:type="dxa"/>
            <w:shd w:val="clear" w:color="auto" w:fill="auto"/>
            <w:vAlign w:val="center"/>
          </w:tcPr>
          <w:p>
            <w:pPr>
              <w:spacing w:line="300" w:lineRule="exact"/>
              <w:ind w:left="-78" w:leftChars="-37" w:right="-73" w:rightChars="-35"/>
              <w:jc w:val="center"/>
              <w:rPr>
                <w:rFonts w:ascii="宋体" w:hAnsi="宋体" w:eastAsia="等线"/>
                <w:szCs w:val="21"/>
              </w:rPr>
            </w:pPr>
            <w:r>
              <w:rPr>
                <w:rFonts w:hint="eastAsia" w:ascii="宋体" w:hAnsi="宋体" w:eastAsia="等线"/>
                <w:szCs w:val="21"/>
              </w:rPr>
              <w:t>2%</w:t>
            </w:r>
          </w:p>
        </w:tc>
        <w:tc>
          <w:tcPr>
            <w:tcW w:w="760"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95" w:type="dxa"/>
            <w:shd w:val="clear" w:color="auto" w:fill="auto"/>
            <w:vAlign w:val="center"/>
          </w:tcPr>
          <w:p>
            <w:pPr>
              <w:spacing w:line="300" w:lineRule="exact"/>
              <w:jc w:val="center"/>
              <w:rPr>
                <w:rFonts w:ascii="等线" w:hAnsi="等线" w:eastAsia="等线"/>
                <w:sz w:val="28"/>
              </w:rPr>
            </w:pPr>
            <w:r>
              <w:rPr>
                <w:rFonts w:hint="eastAsia" w:ascii="宋体" w:hAnsi="宋体" w:eastAsia="等线" w:cs="宋体"/>
                <w:b/>
                <w:sz w:val="28"/>
                <w:szCs w:val="21"/>
              </w:rPr>
              <w:t>四</w:t>
            </w:r>
          </w:p>
        </w:tc>
        <w:tc>
          <w:tcPr>
            <w:tcW w:w="9658" w:type="dxa"/>
            <w:gridSpan w:val="4"/>
            <w:shd w:val="clear" w:color="auto" w:fill="auto"/>
            <w:vAlign w:val="center"/>
          </w:tcPr>
          <w:p>
            <w:pPr>
              <w:spacing w:line="300" w:lineRule="exact"/>
              <w:ind w:left="-78" w:leftChars="-37" w:right="-73" w:rightChars="-35"/>
              <w:jc w:val="center"/>
              <w:rPr>
                <w:rFonts w:ascii="宋体" w:hAnsi="宋体" w:eastAsia="等线" w:cs="宋体"/>
                <w:sz w:val="28"/>
                <w:szCs w:val="21"/>
              </w:rPr>
            </w:pPr>
            <w:r>
              <w:rPr>
                <w:rFonts w:hint="eastAsia" w:ascii="宋体" w:hAnsi="宋体" w:eastAsia="等线"/>
                <w:b/>
                <w:sz w:val="28"/>
                <w:szCs w:val="21"/>
              </w:rPr>
              <w:t>价格部分（30分）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5"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投标报价</w:t>
            </w:r>
          </w:p>
        </w:tc>
        <w:tc>
          <w:tcPr>
            <w:tcW w:w="6825" w:type="dxa"/>
            <w:shd w:val="clear" w:color="auto" w:fill="auto"/>
            <w:vAlign w:val="center"/>
          </w:tcPr>
          <w:p>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满足招标文件要求且投标价格最低的投标报价为评标基准价，其价格分为满分。其他投标人的价格分统一按照下列公式计算：</w:t>
            </w:r>
          </w:p>
          <w:p>
            <w:pPr>
              <w:widowControl/>
              <w:spacing w:line="300" w:lineRule="exact"/>
              <w:jc w:val="left"/>
              <w:rPr>
                <w:rFonts w:ascii="宋体" w:hAnsi="宋体" w:eastAsia="等线" w:cs="宋体"/>
                <w:color w:val="FF0000"/>
                <w:kern w:val="0"/>
                <w:szCs w:val="21"/>
              </w:rPr>
            </w:pPr>
            <w:r>
              <w:rPr>
                <w:rFonts w:hint="eastAsia" w:ascii="宋体" w:hAnsi="宋体" w:eastAsia="等线" w:cs="宋体"/>
                <w:color w:val="FF0000"/>
                <w:kern w:val="0"/>
                <w:szCs w:val="21"/>
              </w:rPr>
              <w:t>投标报价得分=(评标基准价／投标报价)×权重</w:t>
            </w:r>
          </w:p>
          <w:p>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bCs/>
                <w:szCs w:val="22"/>
              </w:rPr>
              <w:t>备</w:t>
            </w:r>
            <w:r>
              <w:rPr>
                <w:rFonts w:hint="eastAsia" w:ascii="宋体" w:hAnsi="宋体" w:eastAsia="等线" w:cs="宋体"/>
                <w:kern w:val="0"/>
                <w:szCs w:val="21"/>
              </w:rPr>
              <w:t>注：1、评审专家组根据入围企业的报价采用综合评审的办法确定成交候选产品，评审专家组专家以记名的方式打分，依据得分高低确定成交候选产品和候选供应商。</w:t>
            </w:r>
          </w:p>
          <w:p>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加权平均数：（数量1*单价1+数量2*单价2+数量3*单价3+数量n*单价n)/(数量1+数量2+数量3+数量n)</w:t>
            </w:r>
          </w:p>
        </w:tc>
        <w:tc>
          <w:tcPr>
            <w:tcW w:w="772"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30%</w:t>
            </w:r>
          </w:p>
        </w:tc>
        <w:tc>
          <w:tcPr>
            <w:tcW w:w="760"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921" w:type="dxa"/>
            <w:gridSpan w:val="3"/>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合计</w:t>
            </w:r>
          </w:p>
        </w:tc>
        <w:tc>
          <w:tcPr>
            <w:tcW w:w="772"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w:t>
            </w:r>
          </w:p>
        </w:tc>
        <w:tc>
          <w:tcPr>
            <w:tcW w:w="760"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100分</w:t>
            </w:r>
          </w:p>
        </w:tc>
      </w:tr>
    </w:tbl>
    <w:p>
      <w:pPr>
        <w:snapToGrid w:val="0"/>
        <w:ind w:left="-2" w:leftChars="-605" w:hanging="1268" w:hangingChars="453"/>
        <w:rPr>
          <w:rFonts w:ascii="宋体" w:hAnsi="等线" w:eastAsia="等线" w:cs="宋体"/>
          <w:snapToGrid w:val="0"/>
          <w:kern w:val="0"/>
          <w:szCs w:val="22"/>
        </w:rPr>
      </w:pPr>
      <w:r>
        <w:rPr>
          <w:rFonts w:hint="eastAsia" w:ascii="宋体" w:hAnsi="宋体"/>
          <w:color w:val="FF0000"/>
          <w:sz w:val="28"/>
          <w:szCs w:val="28"/>
        </w:rPr>
        <w:t xml:space="preserve"> </w:t>
      </w:r>
      <w:r>
        <w:rPr>
          <w:rFonts w:ascii="宋体" w:hAnsi="宋体"/>
          <w:color w:val="FF0000"/>
          <w:sz w:val="28"/>
          <w:szCs w:val="28"/>
        </w:rPr>
        <w:t xml:space="preserve">        </w:t>
      </w:r>
      <w:r>
        <w:rPr>
          <w:rFonts w:hint="eastAsia" w:ascii="宋体" w:hAnsi="宋体"/>
          <w:color w:val="FF0000"/>
          <w:sz w:val="28"/>
          <w:szCs w:val="28"/>
        </w:rPr>
        <w:t>(</w:t>
      </w:r>
      <w:r>
        <w:rPr>
          <w:rFonts w:hint="eastAsia" w:ascii="inherit" w:hAnsi="inherit" w:eastAsia="仿宋" w:cs="宋体"/>
          <w:color w:val="FF0000"/>
          <w:kern w:val="0"/>
          <w:sz w:val="28"/>
          <w:szCs w:val="28"/>
        </w:rPr>
        <w:t>投标人的报价明显低于其他投标人的报价，有可能影响产品质量或者不能诚信履约的，应在评标现场提供书面说明和相关证明材料；不能证明其报价合理性的，将其作为无效投标处理。）</w:t>
      </w:r>
    </w:p>
    <w:p>
      <w:pPr>
        <w:snapToGrid w:val="0"/>
        <w:rPr>
          <w:rFonts w:ascii="仿宋" w:hAnsi="仿宋" w:eastAsia="仿宋" w:cs="宋体"/>
          <w:sz w:val="28"/>
          <w:szCs w:val="28"/>
        </w:rPr>
      </w:pPr>
      <w:r>
        <w:rPr>
          <w:rFonts w:hint="eastAsia" w:ascii="仿宋" w:hAnsi="仿宋" w:eastAsia="仿宋" w:cs="宋体"/>
          <w:snapToGrid w:val="0"/>
          <w:kern w:val="0"/>
          <w:sz w:val="28"/>
          <w:szCs w:val="28"/>
        </w:rPr>
        <w:t>备注：</w:t>
      </w:r>
      <w:r>
        <w:rPr>
          <w:rFonts w:hint="eastAsia" w:ascii="仿宋" w:hAnsi="仿宋" w:eastAsia="仿宋"/>
          <w:bCs/>
          <w:sz w:val="28"/>
          <w:szCs w:val="28"/>
        </w:rPr>
        <w:t>招标文件要求提交的与评价指标体系相关的各类有效资料，投标人如未按要求提交的，该项评分为零分。</w:t>
      </w:r>
    </w:p>
    <w:p>
      <w:pPr>
        <w:widowControl/>
        <w:spacing w:before="100" w:beforeAutospacing="1" w:after="100" w:afterAutospacing="1"/>
        <w:jc w:val="both"/>
        <w:rPr>
          <w:rFonts w:hint="eastAsia" w:ascii="宋体" w:hAnsi="宋体"/>
          <w:b/>
          <w:bCs/>
          <w:sz w:val="28"/>
        </w:rPr>
      </w:pPr>
    </w:p>
    <w:p>
      <w:pPr>
        <w:widowControl/>
        <w:spacing w:before="100" w:beforeAutospacing="1" w:after="100" w:afterAutospacing="1"/>
        <w:jc w:val="center"/>
        <w:rPr>
          <w:rFonts w:ascii="宋体" w:hAnsi="宋体"/>
          <w:b/>
          <w:bCs/>
          <w:sz w:val="28"/>
        </w:rPr>
      </w:pPr>
      <w:r>
        <w:rPr>
          <w:rFonts w:hint="eastAsia" w:ascii="宋体" w:hAnsi="宋体"/>
          <w:b/>
          <w:bCs/>
          <w:sz w:val="28"/>
        </w:rPr>
        <w:t>二、后勤</w:t>
      </w:r>
      <w:r>
        <w:rPr>
          <w:rFonts w:ascii="宋体" w:hAnsi="宋体"/>
          <w:b/>
          <w:bCs/>
          <w:sz w:val="28"/>
        </w:rPr>
        <w:t>物资</w:t>
      </w:r>
      <w:r>
        <w:rPr>
          <w:rFonts w:hint="eastAsia" w:ascii="宋体" w:hAnsi="宋体"/>
          <w:b/>
          <w:bCs/>
          <w:sz w:val="28"/>
        </w:rPr>
        <w:t>采购需求：</w:t>
      </w:r>
    </w:p>
    <w:tbl>
      <w:tblPr>
        <w:tblStyle w:val="8"/>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384"/>
        <w:gridCol w:w="1350"/>
        <w:gridCol w:w="2578"/>
        <w:gridCol w:w="3040"/>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70" w:type="pct"/>
            <w:vAlign w:val="center"/>
          </w:tcPr>
          <w:p>
            <w:pPr>
              <w:widowControl/>
              <w:adjustRightInd w:val="0"/>
              <w:snapToGrid w:val="0"/>
              <w:spacing w:before="100" w:beforeAutospacing="1" w:after="100" w:afterAutospacing="1"/>
              <w:jc w:val="center"/>
              <w:rPr>
                <w:rFonts w:ascii="宋体" w:hAnsi="宋体" w:cs="宋体"/>
                <w:kern w:val="0"/>
                <w:szCs w:val="21"/>
              </w:rPr>
            </w:pPr>
            <w:r>
              <w:rPr>
                <w:rFonts w:hint="eastAsia" w:ascii="宋体" w:hAnsi="宋体" w:cs="宋体"/>
                <w:kern w:val="0"/>
                <w:szCs w:val="21"/>
              </w:rPr>
              <w:t>序号</w:t>
            </w:r>
          </w:p>
        </w:tc>
        <w:tc>
          <w:tcPr>
            <w:tcW w:w="685" w:type="pct"/>
            <w:vAlign w:val="center"/>
          </w:tcPr>
          <w:p>
            <w:pPr>
              <w:widowControl/>
              <w:adjustRightInd w:val="0"/>
              <w:snapToGrid w:val="0"/>
              <w:spacing w:before="100" w:beforeAutospacing="1" w:after="100" w:afterAutospacing="1"/>
              <w:jc w:val="center"/>
              <w:rPr>
                <w:rFonts w:ascii="宋体" w:hAnsi="宋体" w:cs="宋体"/>
                <w:kern w:val="0"/>
                <w:szCs w:val="21"/>
              </w:rPr>
            </w:pPr>
            <w:r>
              <w:rPr>
                <w:rFonts w:hint="eastAsia" w:ascii="宋体" w:hAnsi="宋体" w:cs="宋体"/>
                <w:kern w:val="0"/>
                <w:szCs w:val="21"/>
              </w:rPr>
              <w:t>名称</w:t>
            </w:r>
          </w:p>
        </w:tc>
        <w:tc>
          <w:tcPr>
            <w:tcW w:w="668" w:type="pct"/>
            <w:vAlign w:val="center"/>
          </w:tcPr>
          <w:p>
            <w:pPr>
              <w:widowControl/>
              <w:adjustRightInd w:val="0"/>
              <w:snapToGrid w:val="0"/>
              <w:spacing w:before="100" w:beforeAutospacing="1" w:after="100" w:afterAutospacing="1"/>
              <w:jc w:val="center"/>
              <w:rPr>
                <w:rFonts w:ascii="宋体" w:hAnsi="宋体" w:cs="宋体"/>
                <w:kern w:val="0"/>
                <w:szCs w:val="21"/>
              </w:rPr>
            </w:pPr>
            <w:r>
              <w:rPr>
                <w:rFonts w:hint="eastAsia" w:ascii="宋体" w:hAnsi="宋体" w:cs="宋体"/>
                <w:kern w:val="0"/>
                <w:szCs w:val="21"/>
              </w:rPr>
              <w:t>规格型号</w:t>
            </w:r>
          </w:p>
        </w:tc>
        <w:tc>
          <w:tcPr>
            <w:tcW w:w="1276" w:type="pct"/>
            <w:vAlign w:val="center"/>
          </w:tcPr>
          <w:p>
            <w:pPr>
              <w:widowControl/>
              <w:adjustRightInd w:val="0"/>
              <w:snapToGrid w:val="0"/>
              <w:spacing w:before="100" w:beforeAutospacing="1" w:after="100" w:afterAutospacing="1"/>
              <w:jc w:val="center"/>
              <w:rPr>
                <w:rFonts w:ascii="宋体" w:hAnsi="宋体" w:cs="宋体"/>
                <w:kern w:val="0"/>
                <w:szCs w:val="21"/>
              </w:rPr>
            </w:pPr>
            <w:r>
              <w:rPr>
                <w:rFonts w:hint="eastAsia" w:ascii="宋体" w:hAnsi="宋体" w:cs="宋体"/>
                <w:kern w:val="0"/>
                <w:szCs w:val="21"/>
              </w:rPr>
              <w:t>材质要求</w:t>
            </w:r>
          </w:p>
        </w:tc>
        <w:tc>
          <w:tcPr>
            <w:tcW w:w="1505" w:type="pct"/>
            <w:vAlign w:val="center"/>
          </w:tcPr>
          <w:p>
            <w:pPr>
              <w:widowControl/>
              <w:adjustRightInd w:val="0"/>
              <w:snapToGrid w:val="0"/>
              <w:spacing w:before="100" w:beforeAutospacing="1" w:after="100" w:afterAutospacing="1"/>
              <w:jc w:val="center"/>
              <w:rPr>
                <w:rFonts w:ascii="宋体" w:hAnsi="宋体" w:cs="宋体"/>
                <w:kern w:val="0"/>
                <w:szCs w:val="21"/>
              </w:rPr>
            </w:pPr>
            <w:r>
              <w:rPr>
                <w:rFonts w:hint="eastAsia" w:ascii="宋体" w:hAnsi="宋体" w:cs="宋体"/>
                <w:kern w:val="0"/>
                <w:szCs w:val="21"/>
              </w:rPr>
              <w:t>具体参数需求</w:t>
            </w:r>
          </w:p>
        </w:tc>
        <w:tc>
          <w:tcPr>
            <w:tcW w:w="594" w:type="pct"/>
            <w:vAlign w:val="center"/>
          </w:tcPr>
          <w:p>
            <w:pPr>
              <w:widowControl/>
              <w:adjustRightInd w:val="0"/>
              <w:snapToGrid w:val="0"/>
              <w:spacing w:before="100" w:beforeAutospacing="1" w:after="100" w:afterAutospacing="1"/>
              <w:jc w:val="center"/>
              <w:rPr>
                <w:rFonts w:ascii="宋体" w:hAnsi="宋体" w:cs="宋体"/>
                <w:kern w:val="0"/>
                <w:szCs w:val="21"/>
              </w:rPr>
            </w:pPr>
            <w:r>
              <w:rPr>
                <w:rFonts w:hint="eastAsia" w:cs="宋体" w:asciiTheme="minorEastAsia" w:hAnsiTheme="minorEastAsia" w:eastAsiaTheme="minorEastAsia"/>
                <w:szCs w:val="21"/>
              </w:rPr>
              <w:t>最高单价限价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70" w:type="pct"/>
            <w:vAlign w:val="center"/>
          </w:tcPr>
          <w:p>
            <w:pPr>
              <w:widowControl/>
              <w:adjustRightInd w:val="0"/>
              <w:snapToGrid w:val="0"/>
              <w:spacing w:before="100" w:beforeAutospacing="1" w:after="100" w:afterAutospacing="1"/>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p>
        </w:tc>
        <w:tc>
          <w:tcPr>
            <w:tcW w:w="685" w:type="pct"/>
            <w:vAlign w:val="center"/>
          </w:tcPr>
          <w:p>
            <w:pPr>
              <w:spacing w:line="360" w:lineRule="auto"/>
              <w:rPr>
                <w:rFonts w:hint="eastAsia"/>
                <w:sz w:val="22"/>
                <w:szCs w:val="28"/>
              </w:rPr>
            </w:pPr>
            <w:r>
              <w:rPr>
                <w:rFonts w:hint="eastAsia"/>
                <w:sz w:val="22"/>
                <w:szCs w:val="28"/>
              </w:rPr>
              <w:t>超高频柔性抗金属标签(RFID 标签)</w:t>
            </w:r>
          </w:p>
        </w:tc>
        <w:tc>
          <w:tcPr>
            <w:tcW w:w="668" w:type="pct"/>
            <w:vAlign w:val="center"/>
          </w:tcPr>
          <w:p>
            <w:pPr>
              <w:spacing w:line="360" w:lineRule="auto"/>
              <w:jc w:val="center"/>
              <w:rPr>
                <w:rFonts w:hint="eastAsia"/>
                <w:sz w:val="22"/>
                <w:szCs w:val="28"/>
                <w:lang w:val="en-US" w:eastAsia="zh-CN"/>
              </w:rPr>
            </w:pPr>
            <w:r>
              <w:rPr>
                <w:rFonts w:hint="eastAsia"/>
                <w:sz w:val="22"/>
                <w:szCs w:val="28"/>
                <w:lang w:val="en-US" w:eastAsia="zh-CN"/>
              </w:rPr>
              <w:t>65x35x1.25</w:t>
            </w:r>
          </w:p>
          <w:p>
            <w:pPr>
              <w:spacing w:line="360" w:lineRule="auto"/>
              <w:jc w:val="center"/>
              <w:rPr>
                <w:rFonts w:hint="eastAsia"/>
                <w:sz w:val="22"/>
                <w:szCs w:val="28"/>
                <w:lang w:val="en-US" w:eastAsia="zh-CN"/>
              </w:rPr>
            </w:pPr>
            <w:r>
              <w:rPr>
                <w:rFonts w:hint="eastAsia"/>
                <w:sz w:val="22"/>
                <w:szCs w:val="28"/>
                <w:lang w:val="en-US" w:eastAsia="zh-CN"/>
              </w:rPr>
              <w:t>(mm)</w:t>
            </w:r>
          </w:p>
        </w:tc>
        <w:tc>
          <w:tcPr>
            <w:tcW w:w="1276" w:type="pct"/>
            <w:vAlign w:val="center"/>
          </w:tcPr>
          <w:p>
            <w:pPr>
              <w:spacing w:line="480" w:lineRule="auto"/>
              <w:rPr>
                <w:rFonts w:hint="eastAsia"/>
                <w:sz w:val="22"/>
                <w:szCs w:val="28"/>
                <w:lang w:val="en-US" w:eastAsia="zh-CN"/>
              </w:rPr>
            </w:pPr>
            <w:r>
              <w:rPr>
                <w:rFonts w:hint="eastAsia"/>
                <w:sz w:val="22"/>
                <w:szCs w:val="28"/>
                <w:lang w:val="en-US" w:eastAsia="zh-CN"/>
              </w:rPr>
              <w:t>封装材料:</w:t>
            </w:r>
          </w:p>
          <w:p>
            <w:pPr>
              <w:spacing w:line="480" w:lineRule="auto"/>
              <w:rPr>
                <w:rFonts w:hint="eastAsia"/>
                <w:sz w:val="22"/>
                <w:szCs w:val="28"/>
                <w:lang w:val="en-US" w:eastAsia="zh-CN"/>
              </w:rPr>
            </w:pPr>
            <w:r>
              <w:rPr>
                <w:rFonts w:hint="eastAsia"/>
                <w:sz w:val="22"/>
                <w:szCs w:val="28"/>
                <w:lang w:val="en-US" w:eastAsia="zh-CN"/>
              </w:rPr>
              <w:t>特殊电子材料+AL</w:t>
            </w:r>
          </w:p>
          <w:p>
            <w:pPr>
              <w:spacing w:line="480" w:lineRule="auto"/>
              <w:rPr>
                <w:rFonts w:hint="eastAsia"/>
                <w:sz w:val="22"/>
                <w:szCs w:val="28"/>
                <w:lang w:val="en-US" w:eastAsia="zh-CN"/>
              </w:rPr>
            </w:pPr>
            <w:r>
              <w:rPr>
                <w:rFonts w:hint="eastAsia"/>
                <w:sz w:val="22"/>
                <w:szCs w:val="28"/>
                <w:lang w:val="en-US" w:eastAsia="zh-CN"/>
              </w:rPr>
              <w:t>适用温度：-20℃~+75℃</w:t>
            </w:r>
          </w:p>
        </w:tc>
        <w:tc>
          <w:tcPr>
            <w:tcW w:w="1505" w:type="pct"/>
            <w:vAlign w:val="center"/>
          </w:tcPr>
          <w:p>
            <w:pPr>
              <w:spacing w:line="480" w:lineRule="auto"/>
              <w:rPr>
                <w:rFonts w:hint="eastAsia"/>
                <w:sz w:val="22"/>
                <w:szCs w:val="28"/>
                <w:lang w:val="en-US" w:eastAsia="zh-CN"/>
              </w:rPr>
            </w:pPr>
            <w:r>
              <w:rPr>
                <w:rFonts w:hint="eastAsia"/>
                <w:sz w:val="22"/>
                <w:szCs w:val="28"/>
                <w:lang w:val="en-US" w:eastAsia="zh-CN"/>
              </w:rPr>
              <w:t>性能参数：</w:t>
            </w:r>
          </w:p>
          <w:p>
            <w:pPr>
              <w:spacing w:line="480" w:lineRule="auto"/>
              <w:rPr>
                <w:rFonts w:hint="eastAsia"/>
                <w:sz w:val="22"/>
                <w:szCs w:val="28"/>
                <w:lang w:val="en-US" w:eastAsia="zh-CN"/>
              </w:rPr>
            </w:pPr>
            <w:r>
              <w:rPr>
                <w:rFonts w:hint="eastAsia"/>
                <w:sz w:val="22"/>
                <w:szCs w:val="28"/>
                <w:lang w:val="en-US" w:eastAsia="zh-CN"/>
              </w:rPr>
              <w:t>协议：EPC C1G2（ISO18000-6C）</w:t>
            </w:r>
          </w:p>
          <w:p>
            <w:pPr>
              <w:spacing w:line="480" w:lineRule="auto"/>
              <w:rPr>
                <w:rFonts w:hint="eastAsia"/>
                <w:sz w:val="22"/>
                <w:szCs w:val="28"/>
                <w:lang w:val="en-US" w:eastAsia="zh-CN"/>
              </w:rPr>
            </w:pPr>
            <w:r>
              <w:rPr>
                <w:rFonts w:hint="eastAsia"/>
                <w:sz w:val="22"/>
                <w:szCs w:val="28"/>
                <w:lang w:val="en-US" w:eastAsia="zh-CN"/>
              </w:rPr>
              <w:t>工作频率：860-960MHz</w:t>
            </w:r>
          </w:p>
          <w:p>
            <w:pPr>
              <w:spacing w:line="480" w:lineRule="auto"/>
              <w:rPr>
                <w:rFonts w:hint="eastAsia"/>
                <w:sz w:val="22"/>
                <w:szCs w:val="28"/>
                <w:lang w:val="en-US" w:eastAsia="zh-CN"/>
              </w:rPr>
            </w:pPr>
            <w:r>
              <w:rPr>
                <w:rFonts w:hint="eastAsia"/>
                <w:sz w:val="22"/>
                <w:szCs w:val="28"/>
                <w:lang w:val="en-US" w:eastAsia="zh-CN"/>
              </w:rPr>
              <w:t>集成芯片：Impinj Monza R6-P</w:t>
            </w:r>
          </w:p>
          <w:p>
            <w:pPr>
              <w:spacing w:line="480" w:lineRule="auto"/>
              <w:rPr>
                <w:rFonts w:hint="eastAsia"/>
                <w:sz w:val="22"/>
                <w:szCs w:val="28"/>
                <w:lang w:val="en-US" w:eastAsia="zh-CN"/>
              </w:rPr>
            </w:pPr>
            <w:r>
              <w:rPr>
                <w:rFonts w:hint="eastAsia"/>
                <w:sz w:val="22"/>
                <w:szCs w:val="28"/>
                <w:lang w:val="en-US" w:eastAsia="zh-CN"/>
              </w:rPr>
              <w:t>EPC存储空间：128（96）位</w:t>
            </w:r>
          </w:p>
          <w:p>
            <w:pPr>
              <w:spacing w:line="480" w:lineRule="auto"/>
              <w:rPr>
                <w:rFonts w:hint="eastAsia"/>
                <w:sz w:val="22"/>
                <w:szCs w:val="28"/>
                <w:lang w:val="en-US" w:eastAsia="zh-CN"/>
              </w:rPr>
            </w:pPr>
            <w:r>
              <w:rPr>
                <w:rFonts w:hint="eastAsia"/>
                <w:sz w:val="22"/>
                <w:szCs w:val="28"/>
                <w:lang w:val="en-US" w:eastAsia="zh-CN"/>
              </w:rPr>
              <w:t>用户存储空间：32（64）位</w:t>
            </w:r>
          </w:p>
          <w:p>
            <w:pPr>
              <w:spacing w:line="480" w:lineRule="auto"/>
              <w:rPr>
                <w:rFonts w:hint="eastAsia"/>
                <w:sz w:val="22"/>
                <w:szCs w:val="28"/>
                <w:lang w:val="en-US" w:eastAsia="zh-CN"/>
              </w:rPr>
            </w:pPr>
            <w:r>
              <w:rPr>
                <w:rFonts w:hint="eastAsia"/>
                <w:sz w:val="22"/>
                <w:szCs w:val="28"/>
                <w:lang w:val="en-US" w:eastAsia="zh-CN"/>
              </w:rPr>
              <w:t>在金属上识别距离：6-10m</w:t>
            </w:r>
          </w:p>
          <w:p>
            <w:pPr>
              <w:spacing w:line="480" w:lineRule="auto"/>
              <w:rPr>
                <w:rFonts w:hint="eastAsia"/>
                <w:sz w:val="22"/>
                <w:szCs w:val="28"/>
                <w:lang w:val="en-US" w:eastAsia="zh-CN"/>
              </w:rPr>
            </w:pPr>
            <w:r>
              <w:rPr>
                <w:rFonts w:hint="eastAsia"/>
                <w:sz w:val="22"/>
                <w:szCs w:val="28"/>
                <w:lang w:val="en-US" w:eastAsia="zh-CN"/>
              </w:rPr>
              <w:t>在非金属上识别距离：3-4m</w:t>
            </w:r>
          </w:p>
          <w:p>
            <w:pPr>
              <w:spacing w:line="360" w:lineRule="auto"/>
              <w:rPr>
                <w:rFonts w:hint="eastAsia"/>
                <w:sz w:val="22"/>
                <w:szCs w:val="28"/>
                <w:lang w:val="en-US" w:eastAsia="zh-CN"/>
              </w:rPr>
            </w:pPr>
          </w:p>
        </w:tc>
        <w:tc>
          <w:tcPr>
            <w:tcW w:w="594" w:type="pct"/>
            <w:vAlign w:val="center"/>
          </w:tcPr>
          <w:p>
            <w:pPr>
              <w:spacing w:line="360" w:lineRule="auto"/>
              <w:rPr>
                <w:rFonts w:hint="eastAsia"/>
                <w:sz w:val="22"/>
                <w:szCs w:val="28"/>
                <w:lang w:val="en-US" w:eastAsia="zh-CN"/>
              </w:rPr>
            </w:pPr>
            <w:r>
              <w:rPr>
                <w:rFonts w:hint="eastAsia"/>
                <w:sz w:val="22"/>
                <w:szCs w:val="28"/>
                <w:lang w:val="en-US" w:eastAsia="zh-CN"/>
              </w:rPr>
              <w:t>5.5元/张</w:t>
            </w:r>
          </w:p>
        </w:tc>
      </w:tr>
    </w:tbl>
    <w:p>
      <w:pPr>
        <w:spacing w:line="540" w:lineRule="exact"/>
        <w:rPr>
          <w:rFonts w:ascii="宋体" w:hAnsi="宋体"/>
          <w:bCs/>
          <w:sz w:val="24"/>
        </w:rPr>
      </w:pPr>
      <w:bookmarkStart w:id="0" w:name="_GoBack"/>
      <w:bookmarkEnd w:id="0"/>
    </w:p>
    <w:sectPr>
      <w:footerReference r:id="rId3" w:type="default"/>
      <w:pgSz w:w="11907" w:h="16840"/>
      <w:pgMar w:top="1134" w:right="1304" w:bottom="1134" w:left="709" w:header="567" w:footer="567"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inherit">
    <w:altName w:val="微软雅黑"/>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2670850"/>
      <w:docPartObj>
        <w:docPartGallery w:val="autotext"/>
      </w:docPartObj>
    </w:sdtPr>
    <w:sdtContent>
      <w:p>
        <w:pPr>
          <w:pStyle w:val="6"/>
          <w:jc w:val="center"/>
        </w:pPr>
        <w:r>
          <w:fldChar w:fldCharType="begin"/>
        </w:r>
        <w:r>
          <w:instrText xml:space="preserve">PAGE   \* MERGEFORMAT</w:instrText>
        </w:r>
        <w:r>
          <w:fldChar w:fldCharType="separate"/>
        </w:r>
        <w:r>
          <w:rPr>
            <w:lang w:val="zh-CN"/>
          </w:rPr>
          <w:t>-</w:t>
        </w:r>
        <w:r>
          <w:t xml:space="preserve"> 4 -</w:t>
        </w:r>
        <w: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9A67B3"/>
    <w:multiLevelType w:val="multilevel"/>
    <w:tmpl w:val="279A67B3"/>
    <w:lvl w:ilvl="0" w:tentative="0">
      <w:start w:val="1"/>
      <w:numFmt w:val="upperLetter"/>
      <w:lvlText w:val="%1、"/>
      <w:lvlJc w:val="left"/>
      <w:pPr>
        <w:ind w:left="282" w:hanging="360"/>
      </w:pPr>
      <w:rPr>
        <w:rFonts w:hint="default"/>
      </w:rPr>
    </w:lvl>
    <w:lvl w:ilvl="1" w:tentative="0">
      <w:start w:val="1"/>
      <w:numFmt w:val="lowerLetter"/>
      <w:lvlText w:val="%2)"/>
      <w:lvlJc w:val="left"/>
      <w:pPr>
        <w:ind w:left="762" w:hanging="420"/>
      </w:pPr>
    </w:lvl>
    <w:lvl w:ilvl="2" w:tentative="0">
      <w:start w:val="1"/>
      <w:numFmt w:val="lowerRoman"/>
      <w:lvlText w:val="%3."/>
      <w:lvlJc w:val="right"/>
      <w:pPr>
        <w:ind w:left="1182" w:hanging="420"/>
      </w:pPr>
    </w:lvl>
    <w:lvl w:ilvl="3" w:tentative="0">
      <w:start w:val="1"/>
      <w:numFmt w:val="decimal"/>
      <w:lvlText w:val="%4."/>
      <w:lvlJc w:val="left"/>
      <w:pPr>
        <w:ind w:left="1602" w:hanging="420"/>
      </w:pPr>
    </w:lvl>
    <w:lvl w:ilvl="4" w:tentative="0">
      <w:start w:val="1"/>
      <w:numFmt w:val="lowerLetter"/>
      <w:lvlText w:val="%5)"/>
      <w:lvlJc w:val="left"/>
      <w:pPr>
        <w:ind w:left="2022" w:hanging="420"/>
      </w:pPr>
    </w:lvl>
    <w:lvl w:ilvl="5" w:tentative="0">
      <w:start w:val="1"/>
      <w:numFmt w:val="lowerRoman"/>
      <w:lvlText w:val="%6."/>
      <w:lvlJc w:val="right"/>
      <w:pPr>
        <w:ind w:left="2442" w:hanging="420"/>
      </w:pPr>
    </w:lvl>
    <w:lvl w:ilvl="6" w:tentative="0">
      <w:start w:val="1"/>
      <w:numFmt w:val="decimal"/>
      <w:lvlText w:val="%7."/>
      <w:lvlJc w:val="left"/>
      <w:pPr>
        <w:ind w:left="2862" w:hanging="420"/>
      </w:pPr>
    </w:lvl>
    <w:lvl w:ilvl="7" w:tentative="0">
      <w:start w:val="1"/>
      <w:numFmt w:val="lowerLetter"/>
      <w:lvlText w:val="%8)"/>
      <w:lvlJc w:val="left"/>
      <w:pPr>
        <w:ind w:left="3282" w:hanging="420"/>
      </w:pPr>
    </w:lvl>
    <w:lvl w:ilvl="8" w:tentative="0">
      <w:start w:val="1"/>
      <w:numFmt w:val="lowerRoman"/>
      <w:lvlText w:val="%9."/>
      <w:lvlJc w:val="right"/>
      <w:pPr>
        <w:ind w:left="37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hjNzU1YTMyNDA5NmJiMDFkMzE1NjkzODhhMjJjYjAifQ=="/>
  </w:docVars>
  <w:rsids>
    <w:rsidRoot w:val="00917972"/>
    <w:rsid w:val="0001717B"/>
    <w:rsid w:val="000346EE"/>
    <w:rsid w:val="000865FB"/>
    <w:rsid w:val="000A2D9F"/>
    <w:rsid w:val="000B2248"/>
    <w:rsid w:val="000C46CA"/>
    <w:rsid w:val="000D196D"/>
    <w:rsid w:val="00125B20"/>
    <w:rsid w:val="001C020B"/>
    <w:rsid w:val="001D4F49"/>
    <w:rsid w:val="001F3EC2"/>
    <w:rsid w:val="00203F52"/>
    <w:rsid w:val="00214288"/>
    <w:rsid w:val="00285C2B"/>
    <w:rsid w:val="002B4449"/>
    <w:rsid w:val="002D4BC7"/>
    <w:rsid w:val="003113BF"/>
    <w:rsid w:val="00316A24"/>
    <w:rsid w:val="00332B5E"/>
    <w:rsid w:val="00347C2E"/>
    <w:rsid w:val="00364C3B"/>
    <w:rsid w:val="00375B7E"/>
    <w:rsid w:val="003772F4"/>
    <w:rsid w:val="003F071A"/>
    <w:rsid w:val="00425B19"/>
    <w:rsid w:val="00480440"/>
    <w:rsid w:val="004F336A"/>
    <w:rsid w:val="00515A8F"/>
    <w:rsid w:val="00546B4C"/>
    <w:rsid w:val="005708F0"/>
    <w:rsid w:val="00584E0A"/>
    <w:rsid w:val="005B3A63"/>
    <w:rsid w:val="005D0EE1"/>
    <w:rsid w:val="005D33F2"/>
    <w:rsid w:val="005E1470"/>
    <w:rsid w:val="005E3E42"/>
    <w:rsid w:val="005F6C47"/>
    <w:rsid w:val="0063213A"/>
    <w:rsid w:val="006764B5"/>
    <w:rsid w:val="00683257"/>
    <w:rsid w:val="006B695C"/>
    <w:rsid w:val="00710A02"/>
    <w:rsid w:val="00725450"/>
    <w:rsid w:val="007360B6"/>
    <w:rsid w:val="00741854"/>
    <w:rsid w:val="007503CE"/>
    <w:rsid w:val="0076482E"/>
    <w:rsid w:val="00773844"/>
    <w:rsid w:val="007750A0"/>
    <w:rsid w:val="00786036"/>
    <w:rsid w:val="007C5B24"/>
    <w:rsid w:val="007D647F"/>
    <w:rsid w:val="007E071A"/>
    <w:rsid w:val="00816F83"/>
    <w:rsid w:val="008412B4"/>
    <w:rsid w:val="00841B8B"/>
    <w:rsid w:val="00882101"/>
    <w:rsid w:val="0089445E"/>
    <w:rsid w:val="008B02C3"/>
    <w:rsid w:val="008C7BB8"/>
    <w:rsid w:val="008E7D14"/>
    <w:rsid w:val="008F6EB2"/>
    <w:rsid w:val="00912FAE"/>
    <w:rsid w:val="00917972"/>
    <w:rsid w:val="00945B6D"/>
    <w:rsid w:val="00977F0E"/>
    <w:rsid w:val="009A1255"/>
    <w:rsid w:val="009A39E2"/>
    <w:rsid w:val="009B58B3"/>
    <w:rsid w:val="009B7588"/>
    <w:rsid w:val="009C0000"/>
    <w:rsid w:val="009F6854"/>
    <w:rsid w:val="00A1531D"/>
    <w:rsid w:val="00A361EA"/>
    <w:rsid w:val="00A83E68"/>
    <w:rsid w:val="00AA301D"/>
    <w:rsid w:val="00AA52CD"/>
    <w:rsid w:val="00AE7DB5"/>
    <w:rsid w:val="00AF2A2C"/>
    <w:rsid w:val="00AF35E9"/>
    <w:rsid w:val="00B1082A"/>
    <w:rsid w:val="00B16D72"/>
    <w:rsid w:val="00B202D7"/>
    <w:rsid w:val="00B34EC8"/>
    <w:rsid w:val="00B3529C"/>
    <w:rsid w:val="00B55854"/>
    <w:rsid w:val="00B703C8"/>
    <w:rsid w:val="00B96861"/>
    <w:rsid w:val="00BA20BA"/>
    <w:rsid w:val="00BB1A91"/>
    <w:rsid w:val="00BD4E35"/>
    <w:rsid w:val="00BE07A0"/>
    <w:rsid w:val="00C66ED6"/>
    <w:rsid w:val="00C67A4F"/>
    <w:rsid w:val="00CB5561"/>
    <w:rsid w:val="00CE5B0C"/>
    <w:rsid w:val="00D3203C"/>
    <w:rsid w:val="00D3503E"/>
    <w:rsid w:val="00D64BE1"/>
    <w:rsid w:val="00DB386B"/>
    <w:rsid w:val="00DD0DE3"/>
    <w:rsid w:val="00E332AF"/>
    <w:rsid w:val="00E47A7B"/>
    <w:rsid w:val="00E56AC5"/>
    <w:rsid w:val="00E9378D"/>
    <w:rsid w:val="00E93F01"/>
    <w:rsid w:val="00EA258F"/>
    <w:rsid w:val="00ED31C4"/>
    <w:rsid w:val="00EF67F2"/>
    <w:rsid w:val="00F14601"/>
    <w:rsid w:val="00F5618D"/>
    <w:rsid w:val="00F82BDB"/>
    <w:rsid w:val="00F92D50"/>
    <w:rsid w:val="00F950A6"/>
    <w:rsid w:val="00FA07B8"/>
    <w:rsid w:val="00FD58F1"/>
    <w:rsid w:val="063C618E"/>
    <w:rsid w:val="09317280"/>
    <w:rsid w:val="0AC171C3"/>
    <w:rsid w:val="0BA13F3D"/>
    <w:rsid w:val="0C8A2C23"/>
    <w:rsid w:val="0F1A5C3E"/>
    <w:rsid w:val="135E0534"/>
    <w:rsid w:val="1A2C7DEE"/>
    <w:rsid w:val="1A7FF1B7"/>
    <w:rsid w:val="247D0FF1"/>
    <w:rsid w:val="26435EC5"/>
    <w:rsid w:val="269C2E17"/>
    <w:rsid w:val="26EE059E"/>
    <w:rsid w:val="280D1415"/>
    <w:rsid w:val="288B5A00"/>
    <w:rsid w:val="28E97224"/>
    <w:rsid w:val="2FFA7287"/>
    <w:rsid w:val="327F0311"/>
    <w:rsid w:val="3CD872D2"/>
    <w:rsid w:val="47164442"/>
    <w:rsid w:val="48AE321A"/>
    <w:rsid w:val="48F8086D"/>
    <w:rsid w:val="540C73F1"/>
    <w:rsid w:val="54D57D13"/>
    <w:rsid w:val="55E87CA7"/>
    <w:rsid w:val="57371DC1"/>
    <w:rsid w:val="5A761F7B"/>
    <w:rsid w:val="5A7B60FB"/>
    <w:rsid w:val="5FF2755C"/>
    <w:rsid w:val="60B540C1"/>
    <w:rsid w:val="62F15D85"/>
    <w:rsid w:val="67CF76EF"/>
    <w:rsid w:val="690507DD"/>
    <w:rsid w:val="6E742BBC"/>
    <w:rsid w:val="704B11CB"/>
    <w:rsid w:val="72993C48"/>
    <w:rsid w:val="764770DA"/>
    <w:rsid w:val="799D7E4B"/>
    <w:rsid w:val="7BC86BFD"/>
    <w:rsid w:val="BB7FD7F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1"/>
    <w:autoRedefine/>
    <w:qFormat/>
    <w:uiPriority w:val="0"/>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0">
    <w:name w:val="Default Paragraph Font"/>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99"/>
    <w:pPr>
      <w:jc w:val="left"/>
    </w:pPr>
    <w:rPr>
      <w:rFonts w:asciiTheme="minorHAnsi" w:hAnsiTheme="minorHAnsi" w:eastAsiaTheme="minorEastAsia" w:cstheme="minorBidi"/>
    </w:rPr>
  </w:style>
  <w:style w:type="paragraph" w:styleId="5">
    <w:name w:val="Balloon Text"/>
    <w:basedOn w:val="1"/>
    <w:link w:val="15"/>
    <w:semiHidden/>
    <w:unhideWhenUsed/>
    <w:qFormat/>
    <w:uiPriority w:val="99"/>
    <w:rPr>
      <w:sz w:val="18"/>
      <w:szCs w:val="18"/>
    </w:rPr>
  </w:style>
  <w:style w:type="paragraph" w:styleId="6">
    <w:name w:val="footer"/>
    <w:basedOn w:val="1"/>
    <w:link w:val="13"/>
    <w:autoRedefine/>
    <w:unhideWhenUsed/>
    <w:qFormat/>
    <w:uiPriority w:val="99"/>
    <w:pPr>
      <w:tabs>
        <w:tab w:val="center" w:pos="4153"/>
        <w:tab w:val="right" w:pos="8306"/>
      </w:tabs>
      <w:snapToGrid w:val="0"/>
      <w:jc w:val="left"/>
    </w:pPr>
    <w:rPr>
      <w:sz w:val="18"/>
      <w:szCs w:val="18"/>
    </w:rPr>
  </w:style>
  <w:style w:type="paragraph" w:styleId="7">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标题 1 字符"/>
    <w:basedOn w:val="10"/>
    <w:link w:val="3"/>
    <w:qFormat/>
    <w:uiPriority w:val="0"/>
    <w:rPr>
      <w:rFonts w:ascii="Times New Roman" w:hAnsi="Times New Roman" w:eastAsia="宋体" w:cs="Times New Roman"/>
      <w:b/>
      <w:bCs/>
      <w:kern w:val="44"/>
      <w:sz w:val="44"/>
      <w:szCs w:val="44"/>
    </w:rPr>
  </w:style>
  <w:style w:type="character" w:customStyle="1" w:styleId="12">
    <w:name w:val="页眉 字符"/>
    <w:basedOn w:val="10"/>
    <w:link w:val="7"/>
    <w:autoRedefine/>
    <w:qFormat/>
    <w:uiPriority w:val="99"/>
    <w:rPr>
      <w:rFonts w:ascii="Calibri" w:hAnsi="Calibri" w:eastAsia="宋体" w:cs="Times New Roman"/>
      <w:sz w:val="18"/>
      <w:szCs w:val="18"/>
    </w:rPr>
  </w:style>
  <w:style w:type="character" w:customStyle="1" w:styleId="13">
    <w:name w:val="页脚 字符"/>
    <w:basedOn w:val="10"/>
    <w:link w:val="6"/>
    <w:qFormat/>
    <w:uiPriority w:val="99"/>
    <w:rPr>
      <w:rFonts w:ascii="Calibri" w:hAnsi="Calibri" w:eastAsia="宋体" w:cs="Times New Roman"/>
      <w:sz w:val="18"/>
      <w:szCs w:val="18"/>
    </w:rPr>
  </w:style>
  <w:style w:type="paragraph" w:styleId="14">
    <w:name w:val="List Paragraph"/>
    <w:basedOn w:val="1"/>
    <w:qFormat/>
    <w:uiPriority w:val="34"/>
    <w:pPr>
      <w:ind w:firstLine="420" w:firstLineChars="200"/>
    </w:pPr>
  </w:style>
  <w:style w:type="character" w:customStyle="1" w:styleId="15">
    <w:name w:val="批注框文本 字符"/>
    <w:basedOn w:val="10"/>
    <w:link w:val="5"/>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1953</Words>
  <Characters>2080</Characters>
  <Lines>21</Lines>
  <Paragraphs>6</Paragraphs>
  <TotalTime>42</TotalTime>
  <ScaleCrop>false</ScaleCrop>
  <LinksUpToDate>false</LinksUpToDate>
  <CharactersWithSpaces>2757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2023-05-04T17:04:00Z</dcterms:created>
  <dc:creator>Windows 用户</dc:creator>
  <cp:lastModifiedBy>dz</cp:lastModifiedBy>
  <cp:lastPrinted>2022-11-03T14:35:00Z</cp:lastPrinted>
  <dcterms:modified xsi:type="dcterms:W3CDTF">2024-07-02T08:29:06Z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197FD1F01406494FB6758D96CEA8CCE4_13</vt:lpwstr>
  </property>
</Properties>
</file>