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rPr>
      </w:pPr>
      <w:r>
        <w:rPr>
          <w:rFonts w:hint="eastAsia" w:ascii="黑体" w:hAnsi="黑体" w:eastAsia="黑体" w:cs="黑体"/>
        </w:rPr>
        <w:t>深圳市儿童医院设备采购需求参数表</w:t>
      </w:r>
    </w:p>
    <w:tbl>
      <w:tblPr>
        <w:tblStyle w:val="10"/>
        <w:tblW w:w="9654" w:type="dxa"/>
        <w:jc w:val="center"/>
        <w:tblLayout w:type="autofit"/>
        <w:tblCellMar>
          <w:top w:w="0" w:type="dxa"/>
          <w:left w:w="108" w:type="dxa"/>
          <w:bottom w:w="0" w:type="dxa"/>
          <w:right w:w="108" w:type="dxa"/>
        </w:tblCellMar>
      </w:tblPr>
      <w:tblGrid>
        <w:gridCol w:w="660"/>
        <w:gridCol w:w="1462"/>
        <w:gridCol w:w="7532"/>
      </w:tblGrid>
      <w:tr>
        <w:tblPrEx>
          <w:tblCellMar>
            <w:top w:w="0" w:type="dxa"/>
            <w:left w:w="108" w:type="dxa"/>
            <w:bottom w:w="0" w:type="dxa"/>
            <w:right w:w="108" w:type="dxa"/>
          </w:tblCellMar>
        </w:tblPrEx>
        <w:trPr>
          <w:trHeight w:val="52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序号</w:t>
            </w:r>
          </w:p>
        </w:tc>
        <w:tc>
          <w:tcPr>
            <w:tcW w:w="1462"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项目名称</w:t>
            </w:r>
          </w:p>
        </w:tc>
        <w:tc>
          <w:tcPr>
            <w:tcW w:w="7532"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3F3F3F"/>
                <w:kern w:val="0"/>
                <w:sz w:val="22"/>
              </w:rPr>
            </w:pPr>
            <w:r>
              <w:rPr>
                <w:rFonts w:hint="eastAsia" w:ascii="宋体" w:hAnsi="宋体" w:cs="宋体"/>
                <w:b/>
                <w:bCs/>
                <w:color w:val="3F3F3F"/>
                <w:kern w:val="0"/>
                <w:sz w:val="22"/>
              </w:rPr>
              <w:t>招标事项及要求</w:t>
            </w:r>
          </w:p>
        </w:tc>
      </w:tr>
      <w:tr>
        <w:tblPrEx>
          <w:tblCellMar>
            <w:top w:w="0" w:type="dxa"/>
            <w:left w:w="108" w:type="dxa"/>
            <w:bottom w:w="0" w:type="dxa"/>
            <w:right w:w="108" w:type="dxa"/>
          </w:tblCellMar>
        </w:tblPrEx>
        <w:trPr>
          <w:trHeight w:val="645" w:hRule="atLeast"/>
          <w:jc w:val="center"/>
        </w:trPr>
        <w:tc>
          <w:tcPr>
            <w:tcW w:w="660" w:type="dxa"/>
            <w:vMerge w:val="restart"/>
            <w:tcBorders>
              <w:top w:val="single" w:color="auto" w:sz="4" w:space="0"/>
              <w:left w:val="single" w:color="3F3F3F" w:sz="4" w:space="0"/>
              <w:right w:val="single" w:color="3F3F3F" w:sz="4" w:space="0"/>
            </w:tcBorders>
            <w:shd w:val="clear" w:color="000000" w:fill="FFFFFF"/>
            <w:vAlign w:val="center"/>
          </w:tcPr>
          <w:p>
            <w:pPr>
              <w:widowControl/>
              <w:jc w:val="center"/>
              <w:rPr>
                <w:rFonts w:ascii="宋体" w:hAnsi="宋体" w:cs="宋体"/>
                <w:color w:val="3F3F3F"/>
                <w:kern w:val="0"/>
                <w:sz w:val="20"/>
                <w:szCs w:val="20"/>
              </w:rPr>
            </w:pPr>
            <w:r>
              <w:rPr>
                <w:rFonts w:hint="default" w:ascii="Times New Roman" w:hAnsi="Times New Roman" w:cs="Times New Roman"/>
                <w:b/>
                <w:bCs/>
                <w:color w:val="3F3F3F"/>
                <w:kern w:val="0"/>
                <w:sz w:val="22"/>
                <w:szCs w:val="22"/>
              </w:rPr>
              <w:t>1</w:t>
            </w:r>
          </w:p>
        </w:tc>
        <w:tc>
          <w:tcPr>
            <w:tcW w:w="1462" w:type="dxa"/>
            <w:vMerge w:val="restart"/>
            <w:tcBorders>
              <w:top w:val="single" w:color="3F3F3F" w:sz="4" w:space="0"/>
              <w:left w:val="single" w:color="3F3F3F" w:sz="4" w:space="0"/>
              <w:right w:val="single" w:color="3F3F3F" w:sz="4" w:space="0"/>
            </w:tcBorders>
            <w:shd w:val="clear" w:color="000000" w:fill="FFFFFF"/>
            <w:vAlign w:val="center"/>
          </w:tcPr>
          <w:p>
            <w:pPr>
              <w:widowControl/>
              <w:jc w:val="center"/>
              <w:rPr>
                <w:rFonts w:ascii="宋体" w:hAnsi="宋体" w:cs="宋体"/>
                <w:color w:val="3F3F3F"/>
                <w:kern w:val="0"/>
                <w:sz w:val="20"/>
                <w:szCs w:val="20"/>
              </w:rPr>
            </w:pPr>
            <w:r>
              <w:rPr>
                <w:rFonts w:hint="eastAsia" w:ascii="宋体" w:hAnsi="宋体" w:cs="宋体"/>
                <w:b/>
                <w:bCs/>
                <w:color w:val="3F3F3F"/>
                <w:kern w:val="0"/>
                <w:sz w:val="22"/>
              </w:rPr>
              <w:t>超净工作台</w:t>
            </w:r>
          </w:p>
        </w:tc>
        <w:tc>
          <w:tcPr>
            <w:tcW w:w="7532" w:type="dxa"/>
            <w:tcBorders>
              <w:top w:val="single" w:color="3F3F3F" w:sz="4" w:space="0"/>
              <w:left w:val="nil"/>
              <w:bottom w:val="single" w:color="3F3F3F" w:sz="4" w:space="0"/>
              <w:right w:val="single" w:color="3F3F3F" w:sz="4" w:space="0"/>
            </w:tcBorders>
            <w:shd w:val="clear" w:color="000000" w:fill="FFFFFF"/>
            <w:vAlign w:val="center"/>
          </w:tcPr>
          <w:p>
            <w:pPr>
              <w:widowControl/>
              <w:numPr>
                <w:ilvl w:val="0"/>
                <w:numId w:val="0"/>
              </w:numPr>
              <w:spacing w:line="360" w:lineRule="auto"/>
              <w:jc w:val="left"/>
              <w:textAlignment w:val="center"/>
              <w:rPr>
                <w:rStyle w:val="20"/>
                <w:rFonts w:hint="default" w:ascii="Times New Roman" w:hAnsi="Times New Roman" w:eastAsia="宋体" w:cs="Times New Roman"/>
                <w:color w:val="000000" w:themeColor="text1"/>
                <w:sz w:val="22"/>
                <w:szCs w:val="22"/>
                <w:lang w:bidi="ar"/>
                <w14:textFill>
                  <w14:solidFill>
                    <w14:schemeClr w14:val="tx1"/>
                  </w14:solidFill>
                </w14:textFill>
              </w:rPr>
            </w:pPr>
            <w:r>
              <w:rPr>
                <w:rFonts w:hint="default" w:ascii="Times New Roman" w:hAnsi="Times New Roman" w:eastAsia="宋体" w:cs="Times New Roman"/>
                <w:color w:val="000000" w:themeColor="text1"/>
                <w:kern w:val="2"/>
                <w:sz w:val="22"/>
                <w:szCs w:val="22"/>
                <w:lang w:val="en-US" w:eastAsia="zh-CN" w:bidi="ar"/>
                <w14:textFill>
                  <w14:solidFill>
                    <w14:schemeClr w14:val="tx1"/>
                  </w14:solidFill>
                </w14:textFill>
              </w:rPr>
              <w:t>1.</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内部有效尺寸，宽：</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1690mm--1710mm，</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深：</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550mm--570mm</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，高：</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710mm--730mm</w:t>
            </w:r>
          </w:p>
          <w:p>
            <w:pPr>
              <w:widowControl/>
              <w:numPr>
                <w:ilvl w:val="0"/>
                <w:numId w:val="0"/>
              </w:numPr>
              <w:spacing w:line="360" w:lineRule="auto"/>
              <w:jc w:val="left"/>
              <w:textAlignment w:val="center"/>
              <w:rPr>
                <w:rStyle w:val="20"/>
                <w:rFonts w:hint="default" w:ascii="Times New Roman" w:hAnsi="Times New Roman" w:eastAsia="宋体" w:cs="Times New Roman"/>
                <w:color w:val="000000" w:themeColor="text1"/>
                <w:sz w:val="22"/>
                <w:szCs w:val="22"/>
                <w:lang w:bidi="ar"/>
                <w14:textFill>
                  <w14:solidFill>
                    <w14:schemeClr w14:val="tx1"/>
                  </w14:solidFill>
                </w14:textFill>
              </w:rPr>
            </w:pPr>
            <w:r>
              <w:rPr>
                <w:rFonts w:hint="default" w:ascii="Times New Roman" w:hAnsi="Times New Roman" w:eastAsia="宋体" w:cs="Times New Roman"/>
                <w:color w:val="000000" w:themeColor="text1"/>
                <w:kern w:val="2"/>
                <w:sz w:val="22"/>
                <w:szCs w:val="22"/>
                <w:lang w:val="en-US" w:eastAsia="zh-CN" w:bidi="ar"/>
                <w14:textFill>
                  <w14:solidFill>
                    <w14:schemeClr w14:val="tx1"/>
                  </w14:solidFill>
                </w14:textFill>
              </w:rPr>
              <w:t>2.</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装置外形尺寸，宽：</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1790mm</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1810mm，</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深：</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760mm--770mm，</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高</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 xml:space="preserve">：1860mm--1880mm      </w:t>
            </w:r>
          </w:p>
          <w:p>
            <w:pPr>
              <w:widowControl/>
              <w:numPr>
                <w:ilvl w:val="0"/>
                <w:numId w:val="0"/>
              </w:numPr>
              <w:spacing w:line="360" w:lineRule="auto"/>
              <w:jc w:val="left"/>
              <w:textAlignment w:val="center"/>
              <w:rPr>
                <w:rStyle w:val="19"/>
                <w:rFonts w:hint="default" w:ascii="Times New Roman" w:hAnsi="Times New Roman" w:eastAsia="宋体" w:cs="Times New Roman"/>
                <w:color w:val="000000" w:themeColor="text1"/>
                <w:sz w:val="22"/>
                <w:szCs w:val="22"/>
                <w:lang w:bidi="ar"/>
                <w14:textFill>
                  <w14:solidFill>
                    <w14:schemeClr w14:val="tx1"/>
                  </w14:solidFill>
                </w14:textFill>
              </w:rPr>
            </w:pPr>
            <w:r>
              <w:rPr>
                <w:rFonts w:hint="default" w:ascii="Times New Roman" w:hAnsi="Times New Roman" w:eastAsia="宋体" w:cs="Times New Roman"/>
                <w:color w:val="000000" w:themeColor="text1"/>
                <w:kern w:val="2"/>
                <w:sz w:val="22"/>
                <w:szCs w:val="22"/>
                <w:lang w:val="en-US" w:eastAsia="zh-CN" w:bidi="ar"/>
                <w14:textFill>
                  <w14:solidFill>
                    <w14:schemeClr w14:val="tx1"/>
                  </w14:solidFill>
                </w14:textFill>
              </w:rPr>
              <w:t>3.</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采用</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HEPA Filter</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　</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高效过滤技术</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国际通用的铝框无隔板高效过滤器</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 xml:space="preserve">过滤效率 </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≧99.995%</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 0.3μm</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颗粒）</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 xml:space="preserve">                    </w:t>
            </w:r>
          </w:p>
          <w:p>
            <w:pPr>
              <w:widowControl/>
              <w:numPr>
                <w:ilvl w:val="0"/>
                <w:numId w:val="0"/>
              </w:numPr>
              <w:spacing w:line="360" w:lineRule="auto"/>
              <w:jc w:val="left"/>
              <w:textAlignment w:val="center"/>
              <w:rPr>
                <w:rStyle w:val="20"/>
                <w:rFonts w:hint="default" w:ascii="Times New Roman" w:hAnsi="Times New Roman" w:eastAsia="宋体" w:cs="Times New Roman"/>
                <w:color w:val="000000" w:themeColor="text1"/>
                <w:sz w:val="22"/>
                <w:szCs w:val="22"/>
                <w:lang w:bidi="ar"/>
                <w14:textFill>
                  <w14:solidFill>
                    <w14:schemeClr w14:val="tx1"/>
                  </w14:solidFill>
                </w14:textFill>
              </w:rPr>
            </w:pPr>
            <w:r>
              <w:rPr>
                <w:rFonts w:hint="default" w:ascii="Times New Roman" w:hAnsi="Times New Roman" w:eastAsia="宋体" w:cs="Times New Roman"/>
                <w:color w:val="000000" w:themeColor="text1"/>
                <w:kern w:val="2"/>
                <w:sz w:val="22"/>
                <w:szCs w:val="22"/>
                <w:lang w:val="en-US" w:eastAsia="zh-CN" w:bidi="ar"/>
                <w14:textFill>
                  <w14:solidFill>
                    <w14:schemeClr w14:val="tx1"/>
                  </w14:solidFill>
                </w14:textFill>
              </w:rPr>
              <w:t>4.</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洁净等级</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 ISO 5</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级（美联邦</w:t>
            </w:r>
            <w:r>
              <w:rPr>
                <w:rStyle w:val="19"/>
                <w:rFonts w:hint="default" w:ascii="Times New Roman" w:hAnsi="Times New Roman" w:eastAsia="宋体" w:cs="Times New Roman"/>
                <w:color w:val="000000" w:themeColor="text1"/>
                <w:sz w:val="22"/>
                <w:szCs w:val="22"/>
                <w:lang w:bidi="ar"/>
                <w14:textFill>
                  <w14:solidFill>
                    <w14:schemeClr w14:val="tx1"/>
                  </w14:solidFill>
                </w14:textFill>
              </w:rPr>
              <w:t>209E 100</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级）</w:t>
            </w:r>
          </w:p>
          <w:p>
            <w:pPr>
              <w:widowControl/>
              <w:spacing w:line="360" w:lineRule="auto"/>
              <w:jc w:val="left"/>
              <w:textAlignment w:val="center"/>
              <w:rPr>
                <w:rStyle w:val="20"/>
                <w:rFonts w:hint="default" w:ascii="Times New Roman" w:hAnsi="Times New Roman" w:eastAsia="宋体" w:cs="Times New Roman"/>
                <w:color w:val="000000" w:themeColor="text1"/>
                <w:sz w:val="22"/>
                <w:szCs w:val="22"/>
                <w:lang w:bidi="ar"/>
                <w14:textFill>
                  <w14:solidFill>
                    <w14:schemeClr w14:val="tx1"/>
                  </w14:solidFill>
                </w14:textFill>
              </w:rPr>
            </w:pPr>
            <w:r>
              <w:rPr>
                <w:rStyle w:val="20"/>
                <w:rFonts w:hint="default" w:ascii="Times New Roman" w:hAnsi="Times New Roman" w:eastAsia="宋体" w:cs="Times New Roman"/>
                <w:color w:val="000000" w:themeColor="text1"/>
                <w:sz w:val="22"/>
                <w:szCs w:val="22"/>
                <w:lang w:bidi="ar"/>
                <w14:textFill>
                  <w14:solidFill>
                    <w14:schemeClr w14:val="tx1"/>
                  </w14:solidFill>
                </w14:textFill>
              </w:rPr>
              <w:t>5.</w:t>
            </w:r>
            <w:r>
              <w:rPr>
                <w:rFonts w:hint="default" w:ascii="Times New Roman" w:hAnsi="Times New Roman" w:eastAsia="宋体" w:cs="Times New Roman"/>
                <w:color w:val="000000" w:themeColor="text1"/>
                <w:kern w:val="0"/>
                <w:sz w:val="22"/>
                <w:szCs w:val="22"/>
                <w14:textFill>
                  <w14:solidFill>
                    <w14:schemeClr w14:val="tx1"/>
                  </w14:solidFill>
                </w14:textFill>
              </w:rPr>
              <w:t>每台配备万向脚轮可轻松移动，刹车装置可使设备避免移动，每台配备挂杆和挂钩（挂钩≥10个）</w:t>
            </w:r>
          </w:p>
          <w:p>
            <w:pPr>
              <w:widowControl/>
              <w:spacing w:line="360" w:lineRule="auto"/>
              <w:jc w:val="left"/>
              <w:textAlignment w:val="center"/>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6.内嵌式舱内扫描系统2套，电脑屏×2个（内嵌式，Windows系统或安卓系统）舱内高清监控摄像系统1套</w:t>
            </w:r>
          </w:p>
          <w:p>
            <w:pPr>
              <w:widowControl/>
              <w:spacing w:line="360" w:lineRule="auto"/>
              <w:jc w:val="left"/>
              <w:textAlignment w:val="center"/>
              <w:rPr>
                <w:rFonts w:hint="default" w:ascii="Times New Roman" w:hAnsi="Times New Roman" w:eastAsia="宋体" w:cs="Times New Roman"/>
                <w:color w:val="000000" w:themeColor="text1"/>
                <w:kern w:val="0"/>
                <w:sz w:val="22"/>
                <w:szCs w:val="22"/>
                <w14:textFill>
                  <w14:solidFill>
                    <w14:schemeClr w14:val="tx1"/>
                  </w14:solidFill>
                </w14:textFill>
              </w:rPr>
            </w:pPr>
            <w:r>
              <w:rPr>
                <w:rFonts w:hint="default" w:ascii="Times New Roman" w:hAnsi="Times New Roman" w:eastAsia="宋体" w:cs="Times New Roman"/>
                <w:color w:val="000000" w:themeColor="text1"/>
                <w:kern w:val="0"/>
                <w:sz w:val="22"/>
                <w:szCs w:val="22"/>
                <w14:textFill>
                  <w14:solidFill>
                    <w14:schemeClr w14:val="tx1"/>
                  </w14:solidFill>
                </w14:textFill>
              </w:rPr>
              <w:t>7.全套洁净工作台须配备监控终端设备可实时监控追溯（含显示屏并负责安装）</w:t>
            </w:r>
          </w:p>
          <w:p>
            <w:pPr>
              <w:widowControl/>
              <w:spacing w:line="360" w:lineRule="auto"/>
              <w:jc w:val="left"/>
              <w:textAlignment w:val="center"/>
              <w:rPr>
                <w:rStyle w:val="20"/>
                <w:rFonts w:hint="default"/>
                <w:lang w:bidi="ar"/>
              </w:rPr>
            </w:pPr>
            <w:r>
              <w:rPr>
                <w:rStyle w:val="20"/>
                <w:rFonts w:hint="default" w:ascii="Times New Roman" w:hAnsi="Times New Roman" w:eastAsia="宋体" w:cs="Times New Roman"/>
                <w:color w:val="000000" w:themeColor="text1"/>
                <w:sz w:val="22"/>
                <w:szCs w:val="22"/>
                <w:lang w:bidi="ar"/>
                <w14:textFill>
                  <w14:solidFill>
                    <w14:schemeClr w14:val="tx1"/>
                  </w14:solidFill>
                </w14:textFill>
              </w:rPr>
              <w:t>8.接到报修电话后12小时内响应，24小时内上门</w:t>
            </w:r>
          </w:p>
        </w:tc>
      </w:tr>
      <w:tr>
        <w:tblPrEx>
          <w:tblCellMar>
            <w:top w:w="0" w:type="dxa"/>
            <w:left w:w="108" w:type="dxa"/>
            <w:bottom w:w="0" w:type="dxa"/>
            <w:right w:w="108" w:type="dxa"/>
          </w:tblCellMar>
        </w:tblPrEx>
        <w:trPr>
          <w:trHeight w:val="1665" w:hRule="atLeast"/>
          <w:jc w:val="center"/>
        </w:trPr>
        <w:tc>
          <w:tcPr>
            <w:tcW w:w="660" w:type="dxa"/>
            <w:vMerge w:val="continue"/>
            <w:tcBorders>
              <w:left w:val="single" w:color="3F3F3F"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3F3F3F"/>
                <w:kern w:val="0"/>
                <w:sz w:val="22"/>
                <w:szCs w:val="22"/>
              </w:rPr>
            </w:pPr>
          </w:p>
        </w:tc>
        <w:tc>
          <w:tcPr>
            <w:tcW w:w="1462" w:type="dxa"/>
            <w:vMerge w:val="continue"/>
            <w:tcBorders>
              <w:left w:val="single" w:color="3F3F3F" w:sz="4" w:space="0"/>
              <w:bottom w:val="single" w:color="3F3F3F" w:sz="4" w:space="0"/>
              <w:right w:val="single" w:color="3F3F3F" w:sz="4" w:space="0"/>
            </w:tcBorders>
            <w:shd w:val="clear" w:color="000000" w:fill="FFFFFF"/>
            <w:vAlign w:val="center"/>
          </w:tcPr>
          <w:p>
            <w:pPr>
              <w:widowControl/>
              <w:jc w:val="center"/>
              <w:rPr>
                <w:rFonts w:hint="eastAsia" w:ascii="宋体" w:hAnsi="宋体" w:cs="宋体"/>
                <w:b/>
                <w:bCs/>
                <w:color w:val="3F3F3F"/>
                <w:kern w:val="0"/>
                <w:sz w:val="22"/>
              </w:rPr>
            </w:pPr>
          </w:p>
        </w:tc>
        <w:tc>
          <w:tcPr>
            <w:tcW w:w="7532" w:type="dxa"/>
            <w:tcBorders>
              <w:top w:val="single" w:color="3F3F3F" w:sz="4" w:space="0"/>
              <w:left w:val="nil"/>
              <w:bottom w:val="single" w:color="3F3F3F" w:sz="4" w:space="0"/>
              <w:right w:val="single" w:color="3F3F3F" w:sz="4" w:space="0"/>
            </w:tcBorders>
            <w:shd w:val="clear" w:color="000000" w:fill="FFFFFF"/>
            <w:vAlign w:val="top"/>
          </w:tcPr>
          <w:p>
            <w:pPr>
              <w:widowControl/>
              <w:numPr>
                <w:ilvl w:val="0"/>
                <w:numId w:val="0"/>
              </w:numPr>
              <w:spacing w:line="360" w:lineRule="auto"/>
              <w:jc w:val="left"/>
              <w:textAlignment w:val="center"/>
              <w:rPr>
                <w:rStyle w:val="20"/>
                <w:rFonts w:hint="eastAsia" w:ascii="Times New Roman" w:hAnsi="Times New Roman" w:eastAsia="宋体" w:cs="Times New Roman"/>
                <w:color w:val="000000" w:themeColor="text1"/>
                <w:sz w:val="22"/>
                <w:szCs w:val="22"/>
                <w:lang w:val="en-US" w:eastAsia="zh-CN" w:bidi="ar"/>
                <w14:textFill>
                  <w14:solidFill>
                    <w14:schemeClr w14:val="tx1"/>
                  </w14:solidFill>
                </w14:textFill>
              </w:rPr>
            </w:pPr>
            <w:r>
              <w:rPr>
                <w:rStyle w:val="20"/>
                <w:rFonts w:hint="eastAsia" w:ascii="Times New Roman" w:hAnsi="Times New Roman" w:eastAsia="宋体" w:cs="Times New Roman"/>
                <w:color w:val="000000" w:themeColor="text1"/>
                <w:sz w:val="22"/>
                <w:szCs w:val="22"/>
                <w:lang w:val="en-US" w:eastAsia="zh-CN" w:bidi="ar"/>
                <w14:textFill>
                  <w14:solidFill>
                    <w14:schemeClr w14:val="tx1"/>
                  </w14:solidFill>
                </w14:textFill>
              </w:rPr>
              <w:t>配置清单：</w:t>
            </w:r>
          </w:p>
          <w:p>
            <w:pPr>
              <w:widowControl/>
              <w:numPr>
                <w:ilvl w:val="0"/>
                <w:numId w:val="0"/>
              </w:numPr>
              <w:spacing w:line="360" w:lineRule="auto"/>
              <w:jc w:val="left"/>
              <w:textAlignment w:val="center"/>
              <w:rPr>
                <w:rStyle w:val="20"/>
                <w:rFonts w:hint="default" w:ascii="Times New Roman" w:hAnsi="Times New Roman" w:eastAsia="宋体" w:cs="Times New Roman"/>
                <w:color w:val="000000" w:themeColor="text1"/>
                <w:sz w:val="22"/>
                <w:szCs w:val="22"/>
                <w:lang w:bidi="ar"/>
                <w14:textFill>
                  <w14:solidFill>
                    <w14:schemeClr w14:val="tx1"/>
                  </w14:solidFill>
                </w14:textFill>
              </w:rPr>
            </w:pPr>
            <w:r>
              <w:rPr>
                <w:rStyle w:val="20"/>
                <w:rFonts w:hint="default" w:ascii="Times New Roman" w:hAnsi="Times New Roman" w:eastAsia="宋体" w:cs="Times New Roman"/>
                <w:color w:val="000000" w:themeColor="text1"/>
                <w:sz w:val="22"/>
                <w:szCs w:val="22"/>
                <w:lang w:bidi="ar"/>
                <w14:textFill>
                  <w14:solidFill>
                    <w14:schemeClr w14:val="tx1"/>
                  </w14:solidFill>
                </w14:textFill>
              </w:rPr>
              <w:t>1、主机，固定式支架，荧光灯管，紫外灯管</w:t>
            </w:r>
          </w:p>
          <w:p>
            <w:pPr>
              <w:widowControl/>
              <w:numPr>
                <w:ilvl w:val="0"/>
                <w:numId w:val="0"/>
              </w:numPr>
              <w:spacing w:line="360" w:lineRule="auto"/>
              <w:jc w:val="left"/>
              <w:textAlignment w:val="center"/>
              <w:rPr>
                <w:rStyle w:val="20"/>
                <w:rFonts w:hint="default" w:ascii="Times New Roman" w:hAnsi="Times New Roman" w:eastAsia="宋体" w:cs="Times New Roman"/>
                <w:color w:val="000000" w:themeColor="text1"/>
                <w:sz w:val="22"/>
                <w:szCs w:val="22"/>
                <w:lang w:bidi="ar"/>
                <w14:textFill>
                  <w14:solidFill>
                    <w14:schemeClr w14:val="tx1"/>
                  </w14:solidFill>
                </w14:textFill>
              </w:rPr>
            </w:pPr>
            <w:r>
              <w:rPr>
                <w:rStyle w:val="20"/>
                <w:rFonts w:hint="default" w:ascii="Times New Roman" w:hAnsi="Times New Roman" w:eastAsia="宋体" w:cs="Times New Roman"/>
                <w:color w:val="000000" w:themeColor="text1"/>
                <w:sz w:val="22"/>
                <w:szCs w:val="22"/>
                <w:lang w:bidi="ar"/>
                <w14:textFill>
                  <w14:solidFill>
                    <w14:schemeClr w14:val="tx1"/>
                  </w14:solidFill>
                </w14:textFill>
              </w:rPr>
              <w:t>2、每台操作台自带内嵌式仓内扫描显示系统2套：2个电脑屏（10.4寸，触摸屏，Windows系统或安卓系统）、1套高清摄像头。</w:t>
            </w:r>
          </w:p>
          <w:p>
            <w:pPr>
              <w:widowControl/>
              <w:numPr>
                <w:ilvl w:val="0"/>
                <w:numId w:val="0"/>
              </w:numPr>
              <w:spacing w:line="360" w:lineRule="auto"/>
              <w:jc w:val="left"/>
              <w:textAlignment w:val="center"/>
              <w:rPr>
                <w:rStyle w:val="20"/>
                <w:rFonts w:hint="default" w:ascii="Times New Roman" w:hAnsi="Times New Roman" w:eastAsia="宋体" w:cs="Times New Roman"/>
                <w:color w:val="000000" w:themeColor="text1"/>
                <w:sz w:val="22"/>
                <w:szCs w:val="22"/>
                <w:lang w:bidi="ar"/>
                <w14:textFill>
                  <w14:solidFill>
                    <w14:schemeClr w14:val="tx1"/>
                  </w14:solidFill>
                </w14:textFill>
              </w:rPr>
            </w:pPr>
            <w:r>
              <w:rPr>
                <w:rStyle w:val="20"/>
                <w:rFonts w:hint="default" w:ascii="Times New Roman" w:hAnsi="Times New Roman" w:eastAsia="宋体" w:cs="Times New Roman"/>
                <w:color w:val="000000" w:themeColor="text1"/>
                <w:sz w:val="22"/>
                <w:szCs w:val="22"/>
                <w:lang w:bidi="ar"/>
                <w14:textFill>
                  <w14:solidFill>
                    <w14:schemeClr w14:val="tx1"/>
                  </w14:solidFill>
                </w14:textFill>
              </w:rPr>
              <w:t>3</w:t>
            </w:r>
            <w:r>
              <w:rPr>
                <w:rStyle w:val="20"/>
                <w:rFonts w:hint="eastAsia" w:ascii="Times New Roman" w:hAnsi="Times New Roman" w:eastAsia="宋体" w:cs="Times New Roman"/>
                <w:color w:val="000000" w:themeColor="text1"/>
                <w:sz w:val="22"/>
                <w:szCs w:val="22"/>
                <w:lang w:eastAsia="zh-CN" w:bidi="ar"/>
                <w14:textFill>
                  <w14:solidFill>
                    <w14:schemeClr w14:val="tx1"/>
                  </w14:solidFill>
                </w14:textFill>
              </w:rPr>
              <w:t>、</w:t>
            </w:r>
            <w:r>
              <w:rPr>
                <w:rStyle w:val="20"/>
                <w:rFonts w:hint="default" w:ascii="Times New Roman" w:hAnsi="Times New Roman" w:eastAsia="宋体" w:cs="Times New Roman"/>
                <w:color w:val="000000" w:themeColor="text1"/>
                <w:sz w:val="22"/>
                <w:szCs w:val="22"/>
                <w:lang w:bidi="ar"/>
                <w14:textFill>
                  <w14:solidFill>
                    <w14:schemeClr w14:val="tx1"/>
                  </w14:solidFill>
                </w14:textFill>
              </w:rPr>
              <w:t>舱内监控高清摄像系统，与生物安全柜共用一台摄像监控交换机及电脑一台调配全程实时监控并保存</w:t>
            </w:r>
          </w:p>
          <w:p>
            <w:pPr>
              <w:widowControl/>
              <w:numPr>
                <w:ilvl w:val="0"/>
                <w:numId w:val="0"/>
              </w:numPr>
              <w:spacing w:line="360" w:lineRule="auto"/>
              <w:jc w:val="left"/>
              <w:textAlignment w:val="center"/>
              <w:rPr>
                <w:rStyle w:val="20"/>
                <w:rFonts w:hint="default" w:ascii="Times New Roman" w:hAnsi="Times New Roman" w:cs="Times New Roman"/>
                <w:sz w:val="21"/>
                <w:szCs w:val="21"/>
                <w:lang w:val="en-US" w:eastAsia="zh-CN" w:bidi="ar"/>
              </w:rPr>
            </w:pPr>
            <w:r>
              <w:rPr>
                <w:rStyle w:val="20"/>
                <w:rFonts w:hint="default" w:ascii="Times New Roman" w:hAnsi="Times New Roman" w:eastAsia="宋体" w:cs="Times New Roman"/>
                <w:color w:val="000000" w:themeColor="text1"/>
                <w:sz w:val="22"/>
                <w:szCs w:val="22"/>
                <w:lang w:bidi="ar"/>
                <w14:textFill>
                  <w14:solidFill>
                    <w14:schemeClr w14:val="tx1"/>
                  </w14:solidFill>
                </w14:textFill>
              </w:rPr>
              <w:t>4、另附挂杆、挂钩</w:t>
            </w:r>
            <w:bookmarkStart w:id="0" w:name="_GoBack"/>
            <w:bookmarkEnd w:id="0"/>
          </w:p>
        </w:tc>
      </w:tr>
    </w:tbl>
    <w:p>
      <w:pPr>
        <w:pStyle w:val="3"/>
        <w:bidi w:val="0"/>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ascii="Segoe UI Symbol" w:hAnsi="Segoe UI Symbol" w:cs="Segoe UI Symbol"/>
          <w:b/>
          <w:bCs/>
          <w:color w:val="FF0000"/>
          <w:kern w:val="0"/>
          <w:sz w:val="28"/>
          <w:szCs w:val="28"/>
        </w:rPr>
        <w:t>☑</w:t>
      </w:r>
      <w:r>
        <w:rPr>
          <w:rFonts w:hint="eastAsia" w:ascii="宋体" w:hAnsi="宋体" w:cs="宋体"/>
          <w:b/>
          <w:bCs/>
          <w:kern w:val="0"/>
          <w:sz w:val="28"/>
          <w:szCs w:val="28"/>
        </w:rPr>
        <w:t xml:space="preserve">） </w:t>
      </w:r>
    </w:p>
    <w:p>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10"/>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094" w:type="dxa"/>
            <w:vAlign w:val="center"/>
          </w:tcPr>
          <w:p>
            <w:pPr>
              <w:jc w:val="center"/>
              <w:rPr>
                <w:rFonts w:ascii="仿宋_GB2312" w:hAnsi="Times New Roman" w:eastAsia="仿宋_GB2312"/>
                <w:b/>
                <w:sz w:val="28"/>
                <w:szCs w:val="21"/>
              </w:rPr>
            </w:pPr>
          </w:p>
        </w:tc>
        <w:tc>
          <w:tcPr>
            <w:tcW w:w="1985" w:type="dxa"/>
            <w:vAlign w:val="center"/>
          </w:tcPr>
          <w:p>
            <w:pPr>
              <w:jc w:val="center"/>
              <w:rPr>
                <w:rFonts w:ascii="仿宋_GB2312" w:hAnsi="Times New Roman" w:eastAsia="仿宋_GB2312"/>
                <w:b/>
                <w:sz w:val="28"/>
                <w:szCs w:val="21"/>
              </w:rPr>
            </w:pPr>
          </w:p>
        </w:tc>
        <w:tc>
          <w:tcPr>
            <w:tcW w:w="2126" w:type="dxa"/>
            <w:vAlign w:val="center"/>
          </w:tcPr>
          <w:p>
            <w:pPr>
              <w:jc w:val="center"/>
              <w:rPr>
                <w:rFonts w:ascii="仿宋_GB2312" w:hAnsi="Times New Roman" w:eastAsia="仿宋_GB2312"/>
                <w:b/>
                <w:sz w:val="28"/>
                <w:szCs w:val="21"/>
              </w:rPr>
            </w:pPr>
          </w:p>
        </w:tc>
      </w:tr>
    </w:tbl>
    <w:p>
      <w:pPr>
        <w:jc w:val="left"/>
        <w:rPr>
          <w:rFonts w:ascii="Times New Roman" w:hAnsi="Times New Roman"/>
          <w:szCs w:val="21"/>
        </w:rPr>
      </w:pPr>
    </w:p>
    <w:p>
      <w:pPr>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10"/>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hint="eastAsia" w:ascii="仿宋_GB2312" w:hAnsi="Times New Roman" w:eastAsia="仿宋_GB2312"/>
                <w:b/>
                <w:sz w:val="24"/>
                <w:szCs w:val="21"/>
                <w:lang w:eastAsia="zh-CN"/>
              </w:rPr>
            </w:pPr>
            <w:r>
              <w:rPr>
                <w:rFonts w:hint="eastAsia" w:ascii="仿宋_GB2312" w:hAnsi="Times New Roman" w:eastAsia="仿宋_GB2312"/>
                <w:b/>
                <w:sz w:val="24"/>
                <w:szCs w:val="21"/>
              </w:rPr>
              <w:t>预算单价</w:t>
            </w:r>
            <w:r>
              <w:rPr>
                <w:rFonts w:hint="eastAsia" w:ascii="仿宋_GB2312" w:hAnsi="Times New Roman" w:eastAsia="仿宋_GB2312"/>
                <w:b/>
                <w:sz w:val="24"/>
                <w:szCs w:val="21"/>
                <w:lang w:eastAsia="zh-CN"/>
              </w:rPr>
              <w:t>（</w:t>
            </w:r>
            <w:r>
              <w:rPr>
                <w:rFonts w:hint="eastAsia" w:ascii="仿宋_GB2312" w:hAnsi="Times New Roman" w:eastAsia="仿宋_GB2312"/>
                <w:b/>
                <w:sz w:val="24"/>
                <w:szCs w:val="21"/>
                <w:lang w:val="en-US" w:eastAsia="zh-CN"/>
              </w:rPr>
              <w:t>元</w:t>
            </w:r>
            <w:r>
              <w:rPr>
                <w:rFonts w:hint="eastAsia" w:ascii="仿宋_GB2312" w:hAnsi="Times New Roman" w:eastAsia="仿宋_GB2312"/>
                <w:b/>
                <w:sz w:val="24"/>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107" w:type="dxa"/>
            <w:vAlign w:val="center"/>
          </w:tcPr>
          <w:p>
            <w:pPr>
              <w:jc w:val="center"/>
              <w:rPr>
                <w:rFonts w:ascii="仿宋_GB2312" w:hAnsi="Times New Roman" w:eastAsia="仿宋_GB2312"/>
                <w:sz w:val="24"/>
                <w:szCs w:val="21"/>
              </w:rPr>
            </w:pPr>
          </w:p>
        </w:tc>
        <w:tc>
          <w:tcPr>
            <w:tcW w:w="1985" w:type="dxa"/>
            <w:vAlign w:val="center"/>
          </w:tcPr>
          <w:p>
            <w:pPr>
              <w:jc w:val="center"/>
              <w:rPr>
                <w:rFonts w:ascii="仿宋_GB2312" w:hAnsi="Times New Roman" w:eastAsia="仿宋_GB2312"/>
                <w:sz w:val="24"/>
                <w:szCs w:val="21"/>
              </w:rPr>
            </w:pPr>
          </w:p>
        </w:tc>
        <w:tc>
          <w:tcPr>
            <w:tcW w:w="2126" w:type="dxa"/>
            <w:vAlign w:val="center"/>
          </w:tcPr>
          <w:p>
            <w:pPr>
              <w:jc w:val="center"/>
              <w:rPr>
                <w:rFonts w:ascii="仿宋_GB2312" w:hAnsi="Times New Roman" w:eastAsia="仿宋_GB2312"/>
                <w:sz w:val="24"/>
                <w:szCs w:val="21"/>
              </w:rPr>
            </w:pPr>
          </w:p>
        </w:tc>
      </w:tr>
    </w:tbl>
    <w:p>
      <w:pPr>
        <w:jc w:val="left"/>
        <w:rPr>
          <w:rFonts w:ascii="微软雅黑" w:hAnsi="微软雅黑" w:eastAsia="微软雅黑" w:cs="宋体"/>
          <w:color w:val="3F3F3F"/>
          <w:kern w:val="0"/>
          <w:szCs w:val="21"/>
        </w:rPr>
      </w:pPr>
    </w:p>
    <w:sectPr>
      <w:footerReference r:id="rId3" w:type="default"/>
      <w:pgSz w:w="11906" w:h="16838"/>
      <w:pgMar w:top="1440" w:right="991"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72387B9-C0B2-46AB-B5F8-D1C2533635C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Symbol">
    <w:panose1 w:val="020B0502040204020203"/>
    <w:charset w:val="00"/>
    <w:family w:val="swiss"/>
    <w:pitch w:val="default"/>
    <w:sig w:usb0="800001E3" w:usb1="1200FFEF" w:usb2="00040000" w:usb3="04000000" w:csb0="00000001" w:csb1="40000000"/>
    <w:embedRegular r:id="rId2" w:fontKey="{31666F85-02F0-49A8-9797-350FDD319EF5}"/>
  </w:font>
  <w:font w:name="仿宋_GB2312">
    <w:panose1 w:val="02010609030101010101"/>
    <w:charset w:val="86"/>
    <w:family w:val="modern"/>
    <w:pitch w:val="default"/>
    <w:sig w:usb0="00000001" w:usb1="080E0000" w:usb2="00000000" w:usb3="00000000" w:csb0="00040000" w:csb1="00000000"/>
    <w:embedRegular r:id="rId3" w:fontKey="{5BC499BD-B9A4-4EC5-A723-561D7D3F2E68}"/>
  </w:font>
  <w:font w:name="微软雅黑">
    <w:panose1 w:val="020B0503020204020204"/>
    <w:charset w:val="86"/>
    <w:family w:val="swiss"/>
    <w:pitch w:val="default"/>
    <w:sig w:usb0="80000287" w:usb1="2ACF3C50" w:usb2="00000016" w:usb3="00000000" w:csb0="0004001F" w:csb1="00000000"/>
    <w:embedRegular r:id="rId4" w:fontKey="{B1DDA50D-612D-406B-A4E9-4287EB59FFC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6622D"/>
    <w:rsid w:val="0007571F"/>
    <w:rsid w:val="00086401"/>
    <w:rsid w:val="000B3A24"/>
    <w:rsid w:val="000E0A0A"/>
    <w:rsid w:val="00100D1E"/>
    <w:rsid w:val="0012370B"/>
    <w:rsid w:val="00137906"/>
    <w:rsid w:val="00153A42"/>
    <w:rsid w:val="0015678E"/>
    <w:rsid w:val="00180716"/>
    <w:rsid w:val="0018661F"/>
    <w:rsid w:val="001B0A84"/>
    <w:rsid w:val="001D5E72"/>
    <w:rsid w:val="00206936"/>
    <w:rsid w:val="002617DE"/>
    <w:rsid w:val="002738F1"/>
    <w:rsid w:val="0028399B"/>
    <w:rsid w:val="002C0BFD"/>
    <w:rsid w:val="002C6C45"/>
    <w:rsid w:val="002D02F7"/>
    <w:rsid w:val="002D59FE"/>
    <w:rsid w:val="003141BC"/>
    <w:rsid w:val="0031707A"/>
    <w:rsid w:val="00333E2E"/>
    <w:rsid w:val="003407BA"/>
    <w:rsid w:val="0036311E"/>
    <w:rsid w:val="003938A4"/>
    <w:rsid w:val="003B5D40"/>
    <w:rsid w:val="003B6D3C"/>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7E4CA5"/>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9A5EA3"/>
    <w:rsid w:val="00A15F96"/>
    <w:rsid w:val="00A53A87"/>
    <w:rsid w:val="00A70CB8"/>
    <w:rsid w:val="00A75EBB"/>
    <w:rsid w:val="00AA10B5"/>
    <w:rsid w:val="00AA2A2D"/>
    <w:rsid w:val="00AB3ABF"/>
    <w:rsid w:val="00AB43D9"/>
    <w:rsid w:val="00AB686E"/>
    <w:rsid w:val="00AE74D6"/>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DB4BFF"/>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08BA0061"/>
    <w:rsid w:val="096B4234"/>
    <w:rsid w:val="0C272694"/>
    <w:rsid w:val="0C810323"/>
    <w:rsid w:val="13FD22DE"/>
    <w:rsid w:val="1C4C27E0"/>
    <w:rsid w:val="1E030FA5"/>
    <w:rsid w:val="20527BD7"/>
    <w:rsid w:val="210A7A37"/>
    <w:rsid w:val="24D51839"/>
    <w:rsid w:val="28520641"/>
    <w:rsid w:val="2A327913"/>
    <w:rsid w:val="2B0A4BBF"/>
    <w:rsid w:val="2C1D4AC2"/>
    <w:rsid w:val="2D9F30CF"/>
    <w:rsid w:val="2ECC4D0B"/>
    <w:rsid w:val="304A290D"/>
    <w:rsid w:val="308C2216"/>
    <w:rsid w:val="31BE0ABE"/>
    <w:rsid w:val="37533A8E"/>
    <w:rsid w:val="3D2263DC"/>
    <w:rsid w:val="3E3721DB"/>
    <w:rsid w:val="405E39BC"/>
    <w:rsid w:val="41E8625C"/>
    <w:rsid w:val="513E2C61"/>
    <w:rsid w:val="5A142B89"/>
    <w:rsid w:val="5CDF79EE"/>
    <w:rsid w:val="5F5150FB"/>
    <w:rsid w:val="61893602"/>
    <w:rsid w:val="67A01CFD"/>
    <w:rsid w:val="6D4573FA"/>
    <w:rsid w:val="73A7303D"/>
    <w:rsid w:val="74E76FE8"/>
    <w:rsid w:val="76197B7F"/>
    <w:rsid w:val="766526E2"/>
    <w:rsid w:val="7B9A4C6B"/>
    <w:rsid w:val="7C3760E1"/>
    <w:rsid w:val="7D382AD7"/>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9"/>
    <w:pPr>
      <w:spacing w:before="100" w:beforeAutospacing="1" w:after="100" w:afterAutospacing="1"/>
      <w:jc w:val="left"/>
      <w:outlineLvl w:val="2"/>
    </w:pPr>
    <w:rPr>
      <w:rFonts w:hint="eastAsia" w:ascii="宋体" w:hAnsi="宋体"/>
      <w:b/>
      <w:kern w:val="0"/>
      <w:sz w:val="27"/>
      <w:szCs w:val="27"/>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5"/>
    <w:unhideWhenUsed/>
    <w:qFormat/>
    <w:uiPriority w:val="99"/>
    <w:pPr>
      <w:jc w:val="left"/>
    </w:pPr>
  </w:style>
  <w:style w:type="paragraph" w:styleId="6">
    <w:name w:val="Balloon Text"/>
    <w:basedOn w:val="1"/>
    <w:link w:val="16"/>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kern w:val="0"/>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unhideWhenUsed/>
    <w:qFormat/>
    <w:uiPriority w:val="99"/>
    <w:rPr>
      <w:sz w:val="21"/>
      <w:szCs w:val="21"/>
    </w:rPr>
  </w:style>
  <w:style w:type="character" w:customStyle="1" w:styleId="14">
    <w:name w:val="标题 1 字符"/>
    <w:link w:val="2"/>
    <w:qFormat/>
    <w:uiPriority w:val="9"/>
    <w:rPr>
      <w:b/>
      <w:bCs/>
      <w:kern w:val="44"/>
      <w:sz w:val="44"/>
      <w:szCs w:val="44"/>
    </w:rPr>
  </w:style>
  <w:style w:type="character" w:customStyle="1" w:styleId="15">
    <w:name w:val="批注文字 字符"/>
    <w:link w:val="5"/>
    <w:semiHidden/>
    <w:qFormat/>
    <w:uiPriority w:val="99"/>
    <w:rPr>
      <w:kern w:val="2"/>
      <w:sz w:val="21"/>
      <w:szCs w:val="22"/>
    </w:rPr>
  </w:style>
  <w:style w:type="character" w:customStyle="1" w:styleId="16">
    <w:name w:val="批注框文本 字符"/>
    <w:link w:val="6"/>
    <w:semiHidden/>
    <w:qFormat/>
    <w:uiPriority w:val="99"/>
    <w:rPr>
      <w:kern w:val="2"/>
      <w:sz w:val="18"/>
      <w:szCs w:val="18"/>
    </w:rPr>
  </w:style>
  <w:style w:type="character" w:customStyle="1" w:styleId="17">
    <w:name w:val="页脚 字符"/>
    <w:link w:val="7"/>
    <w:qFormat/>
    <w:uiPriority w:val="99"/>
    <w:rPr>
      <w:sz w:val="18"/>
      <w:szCs w:val="18"/>
    </w:rPr>
  </w:style>
  <w:style w:type="character" w:customStyle="1" w:styleId="18">
    <w:name w:val="页眉 字符"/>
    <w:link w:val="8"/>
    <w:qFormat/>
    <w:uiPriority w:val="99"/>
    <w:rPr>
      <w:sz w:val="18"/>
      <w:szCs w:val="18"/>
    </w:rPr>
  </w:style>
  <w:style w:type="character" w:customStyle="1" w:styleId="19">
    <w:name w:val="font21"/>
    <w:basedOn w:val="12"/>
    <w:qFormat/>
    <w:uiPriority w:val="0"/>
    <w:rPr>
      <w:rFonts w:hint="default" w:ascii="Times New Roman" w:hAnsi="Times New Roman" w:cs="Times New Roman"/>
      <w:color w:val="000000"/>
      <w:sz w:val="20"/>
      <w:szCs w:val="20"/>
      <w:u w:val="none"/>
    </w:rPr>
  </w:style>
  <w:style w:type="character" w:customStyle="1" w:styleId="20">
    <w:name w:val="font3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Pages>
  <Words>333</Words>
  <Characters>444</Characters>
  <Lines>4</Lines>
  <Paragraphs>1</Paragraphs>
  <TotalTime>11</TotalTime>
  <ScaleCrop>false</ScaleCrop>
  <LinksUpToDate>false</LinksUpToDate>
  <CharactersWithSpaces>487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cp:lastPrinted>2020-06-15T03:32:00Z</cp:lastPrinted>
  <dcterms:modified xsi:type="dcterms:W3CDTF">2024-06-28T06:28:45Z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5ECAB3CDAB1E4F2E9F0783FF98891651</vt:lpwstr>
  </property>
</Properties>
</file>