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黑体" w:hAnsi="黑体" w:eastAsia="黑体" w:cs="黑体"/>
          <w:sz w:val="44"/>
          <w:szCs w:val="44"/>
        </w:rPr>
      </w:pPr>
      <w:r>
        <w:rPr>
          <w:rFonts w:hint="eastAsia" w:ascii="黑体" w:hAnsi="黑体" w:eastAsia="黑体" w:cs="黑体"/>
          <w:sz w:val="44"/>
          <w:szCs w:val="44"/>
        </w:rPr>
        <w:t>深圳市儿</w:t>
      </w:r>
      <w:bookmarkStart w:id="0" w:name="_GoBack"/>
      <w:bookmarkEnd w:id="0"/>
      <w:r>
        <w:rPr>
          <w:rFonts w:hint="eastAsia" w:ascii="黑体" w:hAnsi="黑体" w:eastAsia="黑体" w:cs="黑体"/>
          <w:sz w:val="44"/>
          <w:szCs w:val="44"/>
        </w:rPr>
        <w:t>童医院设备采购需求参数表</w:t>
      </w:r>
    </w:p>
    <w:tbl>
      <w:tblPr>
        <w:tblStyle w:val="7"/>
        <w:tblW w:w="9654" w:type="dxa"/>
        <w:jc w:val="center"/>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Layout w:type="autofit"/>
        <w:tblCellMar>
          <w:top w:w="0" w:type="dxa"/>
          <w:left w:w="108" w:type="dxa"/>
          <w:bottom w:w="0" w:type="dxa"/>
          <w:right w:w="108" w:type="dxa"/>
        </w:tblCellMar>
      </w:tblPr>
      <w:tblGrid>
        <w:gridCol w:w="660"/>
        <w:gridCol w:w="1132"/>
        <w:gridCol w:w="7862"/>
      </w:tblGrid>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510" w:hRule="atLeast"/>
          <w:jc w:val="center"/>
        </w:trPr>
        <w:tc>
          <w:tcPr>
            <w:tcW w:w="660" w:type="dxa"/>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序号</w:t>
            </w:r>
          </w:p>
        </w:tc>
        <w:tc>
          <w:tcPr>
            <w:tcW w:w="1132" w:type="dxa"/>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项目名称</w:t>
            </w:r>
          </w:p>
        </w:tc>
        <w:tc>
          <w:tcPr>
            <w:tcW w:w="7862" w:type="dxa"/>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招标事项及要求</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restart"/>
            <w:shd w:val="clear" w:color="000000" w:fill="FFFFFF"/>
            <w:vAlign w:val="center"/>
          </w:tcPr>
          <w:p>
            <w:pPr>
              <w:widowControl/>
              <w:jc w:val="center"/>
              <w:rPr>
                <w:rFonts w:ascii="宋体" w:hAnsi="宋体" w:cs="宋体"/>
                <w:color w:val="000000" w:themeColor="text1"/>
                <w:kern w:val="0"/>
                <w:sz w:val="20"/>
                <w:szCs w:val="20"/>
                <w14:textFill>
                  <w14:solidFill>
                    <w14:schemeClr w14:val="tx1"/>
                  </w14:solidFill>
                </w14:textFill>
              </w:rPr>
            </w:pPr>
            <w:r>
              <w:rPr>
                <w:rFonts w:hint="eastAsia" w:ascii="宋体" w:hAnsi="宋体" w:cs="宋体"/>
                <w:color w:val="000000" w:themeColor="text1"/>
                <w:kern w:val="0"/>
                <w:sz w:val="20"/>
                <w:szCs w:val="20"/>
                <w14:textFill>
                  <w14:solidFill>
                    <w14:schemeClr w14:val="tx1"/>
                  </w14:solidFill>
                </w14:textFill>
              </w:rPr>
              <w:t>1</w:t>
            </w:r>
          </w:p>
        </w:tc>
        <w:tc>
          <w:tcPr>
            <w:tcW w:w="1132" w:type="dxa"/>
            <w:vMerge w:val="restart"/>
            <w:shd w:val="clear" w:color="000000" w:fill="FFFFFF"/>
            <w:vAlign w:val="center"/>
          </w:tcPr>
          <w:p>
            <w:pPr>
              <w:widowControl/>
              <w:jc w:val="center"/>
              <w:rPr>
                <w:rFonts w:ascii="宋体" w:hAnsi="宋体" w:cs="宋体"/>
                <w:b/>
                <w:bCs/>
                <w:color w:val="000000" w:themeColor="text1"/>
                <w:kern w:val="0"/>
                <w:sz w:val="20"/>
                <w:szCs w:val="20"/>
                <w14:textFill>
                  <w14:solidFill>
                    <w14:schemeClr w14:val="tx1"/>
                  </w14:solidFill>
                </w14:textFill>
              </w:rPr>
            </w:pPr>
            <w:r>
              <w:rPr>
                <w:rFonts w:hint="eastAsia" w:ascii="宋体" w:hAnsi="宋体" w:cs="宋体"/>
                <w:b/>
                <w:bCs/>
                <w:color w:val="000000" w:themeColor="text1"/>
                <w:kern w:val="0"/>
                <w:sz w:val="20"/>
                <w:szCs w:val="20"/>
                <w14:textFill>
                  <w14:solidFill>
                    <w14:schemeClr w14:val="tx1"/>
                  </w14:solidFill>
                </w14:textFill>
              </w:rPr>
              <w:t>全自动生化免疫流水线</w:t>
            </w:r>
          </w:p>
        </w:tc>
        <w:tc>
          <w:tcPr>
            <w:tcW w:w="7862" w:type="dxa"/>
            <w:shd w:val="clear" w:color="000000" w:fill="FFFFFF"/>
            <w:vAlign w:val="center"/>
          </w:tcPr>
          <w:p>
            <w:pPr>
              <w:pStyle w:val="16"/>
              <w:numPr>
                <w:ilvl w:val="0"/>
                <w:numId w:val="1"/>
              </w:numPr>
              <w:spacing w:after="0" w:line="240" w:lineRule="auto"/>
              <w:jc w:val="both"/>
              <w:rPr>
                <w:rFonts w:ascii="宋体" w:hAnsi="宋体" w:cs="宋体"/>
                <w:color w:val="000000" w:themeColor="text1"/>
                <w:kern w:val="0"/>
                <w:sz w:val="22"/>
                <w:szCs w:val="22"/>
                <w14:textFill>
                  <w14:solidFill>
                    <w14:schemeClr w14:val="tx1"/>
                  </w14:solidFill>
                </w14:textFill>
              </w:rPr>
            </w:pPr>
            <w:r>
              <w:rPr>
                <w:rFonts w:ascii="宋体" w:hAnsi="宋体" w:cs="宋体"/>
                <w:color w:val="000000" w:themeColor="text1"/>
                <w:kern w:val="0"/>
                <w:sz w:val="22"/>
                <w:szCs w:val="22"/>
                <w14:textFill>
                  <w14:solidFill>
                    <w14:schemeClr w14:val="tx1"/>
                  </w14:solidFill>
                </w14:textFill>
              </w:rPr>
              <w:t>系统及轨道整体要求</w:t>
            </w:r>
            <w:r>
              <w:rPr>
                <w:rFonts w:hint="eastAsia" w:ascii="宋体" w:hAnsi="宋体" w:cs="宋体"/>
                <w:color w:val="000000" w:themeColor="text1"/>
                <w:kern w:val="0"/>
                <w:sz w:val="22"/>
                <w:szCs w:val="22"/>
                <w14:textFill>
                  <w14:solidFill>
                    <w14:schemeClr w14:val="tx1"/>
                  </w14:solidFill>
                </w14:textFill>
              </w:rPr>
              <w:t>（要求流水线轨道、前后处理、分析模块为同一品牌，不接受多品牌拼装）</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32" w:type="dxa"/>
            <w:vMerge w:val="continue"/>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1.1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流水线所连接的检测单元（生化分析仪、免疫分析仪）须为同一品牌，开展检测的项目包括甲功、性激素、心肌标志物、术前八项、肿瘤标志物以及生化等常规项目，能够满足医院实验室生化、免疫项目检测的基本需求。</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32" w:type="dxa"/>
            <w:vMerge w:val="continue"/>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1.2流水线系统需配置批量进样单元、进样单元、出样单元、离心单元、去盖单元、样本检测单元（全自动生化分析仪、全自动化学发光免疫分析仪）、加盖（加膜）单元、冷藏储存单元、轨道及数据管理系统，以上所有功能单元均有轨道连接实现全自动化流程。</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32" w:type="dxa"/>
            <w:vMerge w:val="continue"/>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1.3</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样本上线后，全流程均可自动完成，任何环节都无须人工在模块间搬运传递样本架，实现完整的自动化标本处理流程。</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32" w:type="dxa"/>
            <w:vMerge w:val="continue"/>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1.4.</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▲样品传送方式全程为单样本管运输</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32" w:type="dxa"/>
            <w:vMerge w:val="continue"/>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1.5.▲流水线轨道样本传输速度≧6000试管/小时</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32" w:type="dxa"/>
            <w:vMerge w:val="continue"/>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1.6.</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轨道采用双向循环多轨设计，样本运输通道数量≧3个</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color w:val="000000" w:themeColor="text1"/>
                <w:kern w:val="0"/>
                <w:sz w:val="20"/>
                <w:szCs w:val="20"/>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1.7.</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急诊样本可优先处理</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jc w:val="center"/>
              <w:rPr>
                <w:rFonts w:ascii="宋体" w:hAnsi="宋体" w:cs="宋体"/>
                <w:color w:val="000000" w:themeColor="text1"/>
                <w:kern w:val="0"/>
                <w:sz w:val="20"/>
                <w:szCs w:val="20"/>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1.8.</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▲样本运输底座内置RFID芯片，可实时追踪定位每一个样本信息。</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1.9.</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全自动生化分析仪、全自动化学发光免疫分析仪在连接流水线后仍需具备独立进样的的工作模式。</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1.10.</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▲流水线系统分析前中后所有功能单元及轨道采用电力驱动，无需空压机或气泵</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b/>
                <w:bCs/>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1.11.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流水线系统前后处理单元均可扩展≧4个，以满足未来发展需求。</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样本前处理系统：</w:t>
            </w:r>
          </w:p>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由样本进样单元、出样单元、批量进样单元、离心单元、开盖单元等模块组成，实现样本装载、批量进样、自动离心、自动开盖、分类等样本前处理功能。</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 xml:space="preserve">进样单元 </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2.1.1.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▲单个进样单元处理速度≧900管/小时</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2.1.2.</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进样单元可同时兼容多种类型样本管进样，可同时支持13-16mm管径、75-100mm高度的样本管在同一个样本架上同时进样，方便样本的装载。</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2.1.3.</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支持多种条码格式</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2.1.4.</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单个进样单元最大样本容量 ≧500管</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2.2.</w:t>
            </w:r>
            <w:r>
              <w:rPr>
                <w:rFonts w:hint="eastAsia" w:ascii="宋体" w:hAnsi="宋体" w:cs="宋体"/>
                <w:b/>
                <w:bCs/>
                <w:color w:val="000000" w:themeColor="text1"/>
                <w:kern w:val="0"/>
                <w:sz w:val="22"/>
                <w:szCs w:val="22"/>
                <w14:textFill>
                  <w14:solidFill>
                    <w14:schemeClr w14:val="tx1"/>
                  </w14:solidFill>
                </w14:textFill>
              </w:rPr>
              <w:tab/>
            </w:r>
            <w:r>
              <w:rPr>
                <w:rFonts w:hint="eastAsia" w:ascii="宋体" w:hAnsi="宋体" w:cs="宋体"/>
                <w:b/>
                <w:bCs/>
                <w:color w:val="000000" w:themeColor="text1"/>
                <w:kern w:val="0"/>
                <w:sz w:val="22"/>
                <w:szCs w:val="22"/>
                <w14:textFill>
                  <w14:solidFill>
                    <w14:schemeClr w14:val="tx1"/>
                  </w14:solidFill>
                </w14:textFill>
              </w:rPr>
              <w:t>批量进样单元</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2.2.1.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采用倾倒式样本进样方式，无需样本架，可快速批量装载样本.</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2.2.2.</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单个批量进样单元样本装载速度≧ 800管/小时</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2.2.3.</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单个批量进样单元最大样本容量≧500管</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2.</w:t>
            </w:r>
            <w:r>
              <w:rPr>
                <w:rFonts w:ascii="宋体" w:hAnsi="宋体" w:cs="宋体"/>
                <w:b/>
                <w:bCs/>
                <w:color w:val="000000" w:themeColor="text1"/>
                <w:kern w:val="0"/>
                <w:sz w:val="22"/>
                <w:szCs w:val="22"/>
                <w14:textFill>
                  <w14:solidFill>
                    <w14:schemeClr w14:val="tx1"/>
                  </w14:solidFill>
                </w14:textFill>
              </w:rPr>
              <w:t>3</w:t>
            </w:r>
            <w:r>
              <w:rPr>
                <w:rFonts w:hint="eastAsia" w:ascii="宋体" w:hAnsi="宋体" w:cs="宋体"/>
                <w:b/>
                <w:bCs/>
                <w:color w:val="000000" w:themeColor="text1"/>
                <w:kern w:val="0"/>
                <w:sz w:val="22"/>
                <w:szCs w:val="22"/>
                <w14:textFill>
                  <w14:solidFill>
                    <w14:schemeClr w14:val="tx1"/>
                  </w14:solidFill>
                </w14:textFill>
              </w:rPr>
              <w:t>.</w:t>
            </w:r>
            <w:r>
              <w:rPr>
                <w:rFonts w:hint="eastAsia" w:ascii="宋体" w:hAnsi="宋体" w:cs="宋体"/>
                <w:b/>
                <w:bCs/>
                <w:color w:val="000000" w:themeColor="text1"/>
                <w:kern w:val="0"/>
                <w:sz w:val="22"/>
                <w:szCs w:val="22"/>
                <w14:textFill>
                  <w14:solidFill>
                    <w14:schemeClr w14:val="tx1"/>
                  </w14:solidFill>
                </w14:textFill>
              </w:rPr>
              <w:tab/>
            </w:r>
            <w:r>
              <w:rPr>
                <w:rFonts w:hint="eastAsia" w:ascii="宋体" w:hAnsi="宋体" w:cs="宋体"/>
                <w:b/>
                <w:bCs/>
                <w:color w:val="000000" w:themeColor="text1"/>
                <w:kern w:val="0"/>
                <w:sz w:val="22"/>
                <w:szCs w:val="22"/>
                <w14:textFill>
                  <w14:solidFill>
                    <w14:schemeClr w14:val="tx1"/>
                  </w14:solidFill>
                </w14:textFill>
              </w:rPr>
              <w:t>离心单元</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2.3.1.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▲线上单台离心机处理速度≧350管/小时</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2.3.2.</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▲线上总离心速度≧1000管/小时，单台离心机样本最大容量≧90管</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2.3.3.</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支持自定义离心温度（</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2.3.4.</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具备低温自动平衡功能（</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2.3.5.</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支持自定义离心时间</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2.3.6.</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支持急诊样本优先装载离心</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2.3.7.</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同一台离心机可同时支持不同尺寸、不同类型的样本管离心</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2.3.8.</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支持自定义离心转速</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2.3.9.</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最大离心转速≧3500RPM（</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2.3.10.</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无需离心的样本可越过离心机</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2.3.11.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离心机支持单独离线或关机，不影响流水线其他模块运行</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2.</w:t>
            </w:r>
            <w:r>
              <w:rPr>
                <w:rFonts w:ascii="宋体" w:hAnsi="宋体" w:cs="宋体"/>
                <w:b/>
                <w:bCs/>
                <w:color w:val="000000" w:themeColor="text1"/>
                <w:kern w:val="0"/>
                <w:sz w:val="22"/>
                <w:szCs w:val="22"/>
                <w14:textFill>
                  <w14:solidFill>
                    <w14:schemeClr w14:val="tx1"/>
                  </w14:solidFill>
                </w14:textFill>
              </w:rPr>
              <w:t>4</w:t>
            </w:r>
            <w:r>
              <w:rPr>
                <w:rFonts w:hint="eastAsia" w:ascii="宋体" w:hAnsi="宋体" w:cs="宋体"/>
                <w:b/>
                <w:bCs/>
                <w:color w:val="000000" w:themeColor="text1"/>
                <w:kern w:val="0"/>
                <w:sz w:val="22"/>
                <w:szCs w:val="22"/>
                <w14:textFill>
                  <w14:solidFill>
                    <w14:schemeClr w14:val="tx1"/>
                  </w14:solidFill>
                </w14:textFill>
              </w:rPr>
              <w:t>.</w:t>
            </w:r>
            <w:r>
              <w:rPr>
                <w:rFonts w:hint="eastAsia" w:ascii="宋体" w:hAnsi="宋体" w:cs="宋体"/>
                <w:b/>
                <w:bCs/>
                <w:color w:val="000000" w:themeColor="text1"/>
                <w:kern w:val="0"/>
                <w:sz w:val="22"/>
                <w:szCs w:val="22"/>
                <w14:textFill>
                  <w14:solidFill>
                    <w14:schemeClr w14:val="tx1"/>
                  </w14:solidFill>
                </w14:textFill>
              </w:rPr>
              <w:tab/>
            </w:r>
            <w:r>
              <w:rPr>
                <w:rFonts w:hint="eastAsia" w:ascii="宋体" w:hAnsi="宋体" w:cs="宋体"/>
                <w:b/>
                <w:bCs/>
                <w:color w:val="000000" w:themeColor="text1"/>
                <w:kern w:val="0"/>
                <w:sz w:val="22"/>
                <w:szCs w:val="22"/>
                <w14:textFill>
                  <w14:solidFill>
                    <w14:schemeClr w14:val="tx1"/>
                  </w14:solidFill>
                </w14:textFill>
              </w:rPr>
              <w:t>开盖单元</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2.4.1.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▲单台最大处理速度≧1200管/小时</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2.4.2.</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支持螺旋盖与直拔盖混合开盖</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2.4.3.</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开盖单元可同时处理不同直径，高度样本管</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2.4.4.</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开盖模块垃圾桶最大可容纳≥5000个盖子</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2.4.5.</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内置废弃管盖回收装置，封闭式内置回收以避免气溶胶生物危害。</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2</w:t>
            </w:r>
            <w:r>
              <w:rPr>
                <w:rFonts w:hint="eastAsia" w:ascii="宋体" w:hAnsi="宋体" w:cs="宋体"/>
                <w:color w:val="000000" w:themeColor="text1"/>
                <w:kern w:val="0"/>
                <w:sz w:val="22"/>
                <w:szCs w:val="22"/>
                <w14:textFill>
                  <w14:solidFill>
                    <w14:schemeClr w14:val="tx1"/>
                  </w14:solidFill>
                </w14:textFill>
              </w:rPr>
              <w:t>.</w:t>
            </w:r>
            <w:r>
              <w:rPr>
                <w:rFonts w:hint="eastAsia" w:ascii="宋体" w:hAnsi="宋体" w:cs="宋体"/>
                <w:b/>
                <w:bCs/>
                <w:color w:val="000000" w:themeColor="text1"/>
                <w:kern w:val="0"/>
                <w:sz w:val="22"/>
                <w:szCs w:val="22"/>
                <w14:textFill>
                  <w14:solidFill>
                    <w14:schemeClr w14:val="tx1"/>
                  </w14:solidFill>
                </w14:textFill>
              </w:rPr>
              <w:t>5.</w:t>
            </w:r>
            <w:r>
              <w:rPr>
                <w:rFonts w:hint="eastAsia" w:ascii="宋体" w:hAnsi="宋体" w:cs="宋体"/>
                <w:b/>
                <w:bCs/>
                <w:color w:val="000000" w:themeColor="text1"/>
                <w:kern w:val="0"/>
                <w:sz w:val="22"/>
                <w:szCs w:val="22"/>
                <w14:textFill>
                  <w14:solidFill>
                    <w14:schemeClr w14:val="tx1"/>
                  </w14:solidFill>
                </w14:textFill>
              </w:rPr>
              <w:tab/>
            </w:r>
            <w:r>
              <w:rPr>
                <w:rFonts w:hint="eastAsia" w:ascii="宋体" w:hAnsi="宋体" w:cs="宋体"/>
                <w:b/>
                <w:bCs/>
                <w:color w:val="000000" w:themeColor="text1"/>
                <w:kern w:val="0"/>
                <w:sz w:val="22"/>
                <w:szCs w:val="22"/>
                <w14:textFill>
                  <w14:solidFill>
                    <w14:schemeClr w14:val="tx1"/>
                  </w14:solidFill>
                </w14:textFill>
              </w:rPr>
              <w:t>出样单元</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2.5.1.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▲单个出样单元处理速度≧900管/小时</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2.5.2.</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单个出样单元最大样本容量 ≧500管</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2.5.3</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出样单元可根据需要设置出样区功能，单个出样单元最大可设置≧20个分区</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2.5.4</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出样单元可直接分类出样至第三方分析仪器样本架，支持品牌 ≧3个。</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3.</w:t>
            </w:r>
            <w:r>
              <w:rPr>
                <w:rFonts w:hint="eastAsia" w:ascii="宋体" w:hAnsi="宋体" w:cs="宋体"/>
                <w:b/>
                <w:bCs/>
                <w:color w:val="000000" w:themeColor="text1"/>
                <w:kern w:val="0"/>
                <w:sz w:val="22"/>
                <w:szCs w:val="22"/>
                <w14:textFill>
                  <w14:solidFill>
                    <w14:schemeClr w14:val="tx1"/>
                  </w14:solidFill>
                </w14:textFill>
              </w:rPr>
              <w:tab/>
            </w:r>
            <w:r>
              <w:rPr>
                <w:rFonts w:hint="eastAsia" w:ascii="宋体" w:hAnsi="宋体" w:cs="宋体"/>
                <w:b/>
                <w:bCs/>
                <w:color w:val="000000" w:themeColor="text1"/>
                <w:kern w:val="0"/>
                <w:sz w:val="22"/>
                <w:szCs w:val="22"/>
                <w14:textFill>
                  <w14:solidFill>
                    <w14:schemeClr w14:val="tx1"/>
                  </w14:solidFill>
                </w14:textFill>
              </w:rPr>
              <w:t>全自动生化分析仪</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3.1线上生化分析仪总测试速度≧8000测试/小时，其中光学速度≧5000测试/小时，电解质速度≧4000测试/小时</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3.2系统具备可扩展性，同品牌生化和免疫单元可直接组合联机，无需通过流水线轨道。</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3.3具备模块化扩展功能，最多支持≧4个检测模块连接。</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3.4检测样本类型：血清、血浆、尿液、脑脊液等</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3.5分析方法：比色法、比浊法、间接离子选择电极法</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3.6连接流水线后仍可独立单机进样，总进样样本容量≧900个</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3.7.</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急诊优先位：可按需设置，单模块最多可设置≧20个急诊位。</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3.8</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样本针：样本针具备液面探测、压力监测、凝块和气泡检出等功能。</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w:t>
            </w:r>
            <w:r>
              <w:rPr>
                <w:rFonts w:ascii="宋体" w:hAnsi="宋体" w:cs="宋体"/>
                <w:color w:val="000000" w:themeColor="text1"/>
                <w:kern w:val="0"/>
                <w:sz w:val="22"/>
                <w:szCs w:val="22"/>
                <w14:textFill>
                  <w14:solidFill>
                    <w14:schemeClr w14:val="tx1"/>
                  </w14:solidFill>
                </w14:textFill>
              </w:rPr>
              <w:t>.9</w:t>
            </w:r>
            <w:r>
              <w:rPr>
                <w:rFonts w:hint="eastAsia" w:ascii="宋体" w:hAnsi="宋体" w:cs="宋体"/>
                <w:color w:val="000000" w:themeColor="text1"/>
                <w:kern w:val="0"/>
                <w:sz w:val="22"/>
                <w:szCs w:val="22"/>
                <w14:textFill>
                  <w14:solidFill>
                    <w14:schemeClr w14:val="tx1"/>
                  </w14:solidFill>
                </w14:textFill>
              </w:rPr>
              <w:t>携带污染：样品间携带污染率≤0.1ppm</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3.10.</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生化分析仪总冷藏试剂位≧400个</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3.11.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单机可冷藏储存质控品</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3.12.</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支持自动质控</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3.13.</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支持试剂在机自动校准功能</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3.14.</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单模块可同时装载双试剂项目≧70个</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3.15.</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▲酸碱液等辅助液体等均可以在仪器运行状态进行更换</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3.16.</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▲总反应体积:常规生化（不含电解质）项目的最小总反应体积≤80ul</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3.17.</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▲比色杯系统：采用玻璃杯，无需定期更换</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3.18.</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采用超声混匀或压电搅拌技术混匀</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3.19.</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▲检测波长：比色波长范围340-804nm</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3.20.</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▲单模块支持分析波长≧14个</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3.21.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具备自动稀释、自动重测、血清指数检测等功能</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4.</w:t>
            </w:r>
            <w:r>
              <w:rPr>
                <w:rFonts w:hint="eastAsia" w:ascii="宋体" w:hAnsi="宋体" w:cs="宋体"/>
                <w:b/>
                <w:bCs/>
                <w:color w:val="000000" w:themeColor="text1"/>
                <w:kern w:val="0"/>
                <w:sz w:val="22"/>
                <w:szCs w:val="22"/>
                <w14:textFill>
                  <w14:solidFill>
                    <w14:schemeClr w14:val="tx1"/>
                  </w14:solidFill>
                </w14:textFill>
              </w:rPr>
              <w:tab/>
            </w:r>
            <w:r>
              <w:rPr>
                <w:rFonts w:hint="eastAsia" w:ascii="宋体" w:hAnsi="宋体" w:cs="宋体"/>
                <w:b/>
                <w:bCs/>
                <w:color w:val="000000" w:themeColor="text1"/>
                <w:kern w:val="0"/>
                <w:sz w:val="22"/>
                <w:szCs w:val="22"/>
                <w14:textFill>
                  <w14:solidFill>
                    <w14:schemeClr w14:val="tx1"/>
                  </w14:solidFill>
                </w14:textFill>
              </w:rPr>
              <w:t>全自动免疫分析仪</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系统具备可扩展性，最多可扩展为≧4台免疫系统，仅使用一个操作界面。</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4.2.</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采用化学发光法</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4.3.</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化学发光总处理速度≧1600测试/小时</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4.4.</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最小加样体积≤10uL</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4.5.</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连接流水线后仍可单机进样，总进样样本容量≧1000个</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4.6.</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急诊优先位：可按需设置，单模块最多可设置≧20个急诊位</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4.7.</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▲单模块主试剂容量（不含辅助试剂位）≧45个</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4.8.</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总试剂（不含辅助试剂）容量≧300个</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4.9.</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▲可提供规格≧500测试/盒的上机试剂盒</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4.10.</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试剂、辅助液体和消耗品等均可以无需暂停仪器进行加载</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4.11.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可开展高敏肌钙蛋白项目检测，99百分位参考值CV≤10%</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4.12.</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▲钢针加样，吸样无需额外耗材</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4.13.</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▲可开展EB病毒相关抗体检测</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4.14.</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TSH功能灵敏度≤0.01uIU/mL</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4.15.</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▲遵照CLSI EP06-A标准，β-hCG试剂原始样本检测范围上限≥12000 IU/l(无需稀释)</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4.16.</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▲可开展甲肝、乙肝五项、丙肝抗体、艾滋病毒抗原抗体联合检测、梅毒等传染病项目检测，且乙肝表面抗原及E抗原可提供定量检测，便于临床治疗监测</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4.17.</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▲检测不受生物素影响</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4.18.</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▲术前八项（乙肝两对半、丙肝抗体、艾滋病毒抗原抗体联合检测、梅毒螺旋抗体）吸样后检测时间≤30分钟。</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4.19.</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单机可冷藏储存质控品</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4.20.</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支持自动质控</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4.21.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可开展异常凝血酶原项目检测，辅助诊断维生素K缺乏贫血</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4.22.</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可开展CMV、TOXO、Rubella相关抗体检测</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5.</w:t>
            </w:r>
            <w:r>
              <w:rPr>
                <w:rFonts w:hint="eastAsia" w:ascii="宋体" w:hAnsi="宋体" w:cs="宋体"/>
                <w:b/>
                <w:bCs/>
                <w:color w:val="000000" w:themeColor="text1"/>
                <w:kern w:val="0"/>
                <w:sz w:val="22"/>
                <w:szCs w:val="22"/>
                <w14:textFill>
                  <w14:solidFill>
                    <w14:schemeClr w14:val="tx1"/>
                  </w14:solidFill>
                </w14:textFill>
              </w:rPr>
              <w:tab/>
            </w:r>
            <w:r>
              <w:rPr>
                <w:rFonts w:hint="eastAsia" w:ascii="宋体" w:hAnsi="宋体" w:cs="宋体"/>
                <w:b/>
                <w:bCs/>
                <w:color w:val="000000" w:themeColor="text1"/>
                <w:kern w:val="0"/>
                <w:sz w:val="22"/>
                <w:szCs w:val="22"/>
                <w14:textFill>
                  <w14:solidFill>
                    <w14:schemeClr w14:val="tx1"/>
                  </w14:solidFill>
                </w14:textFill>
              </w:rPr>
              <w:t>样本后处理系统</w:t>
            </w:r>
          </w:p>
          <w:p>
            <w:pPr>
              <w:widowControl/>
              <w:spacing w:line="240" w:lineRule="auto"/>
              <w:ind w:firstLine="440" w:firstLineChars="200"/>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后处理系统由加盖（加膜）单元、在线冷藏储存单元、二次去盖（去膜）单元组成，与前处理系统及仪器通过轨道连接，达到完整的自动化。</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5.1.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加盖单元最大处理速度≧1200管/小时</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5.2.</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加盖模块单台塑料盖容量≥6000个</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5.3.</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▲在线冰箱单台最大可储标本≧20000管</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5.4.</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在线冰箱支持样本自动保存、自动丢弃、自动抓取复测</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5.5.</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可自定义样本在线储存时间</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5.6.</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可根据需要自定义储存温度，温度设定范围4℃-16℃。</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5.7.</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对于已加盖的样本管，可以自动二次去盖，单模块二次去盖（去膜）速度≧300管/小时</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6.</w:t>
            </w:r>
            <w:r>
              <w:rPr>
                <w:rFonts w:hint="eastAsia" w:ascii="宋体" w:hAnsi="宋体" w:cs="宋体"/>
                <w:b/>
                <w:bCs/>
                <w:color w:val="000000" w:themeColor="text1"/>
                <w:kern w:val="0"/>
                <w:sz w:val="22"/>
                <w:szCs w:val="22"/>
                <w14:textFill>
                  <w14:solidFill>
                    <w14:schemeClr w14:val="tx1"/>
                  </w14:solidFill>
                </w14:textFill>
              </w:rPr>
              <w:tab/>
            </w:r>
            <w:r>
              <w:rPr>
                <w:rFonts w:hint="eastAsia" w:ascii="宋体" w:hAnsi="宋体" w:cs="宋体"/>
                <w:b/>
                <w:bCs/>
                <w:color w:val="000000" w:themeColor="text1"/>
                <w:kern w:val="0"/>
                <w:sz w:val="22"/>
                <w:szCs w:val="22"/>
                <w14:textFill>
                  <w14:solidFill>
                    <w14:schemeClr w14:val="tx1"/>
                  </w14:solidFill>
                </w14:textFill>
              </w:rPr>
              <w:t>流水线数据管理系统</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6.1.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能够提供开放的数据接口</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6.2.</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传输协议支持ASTM/HL7标准与现有LIS或HIS系统连接</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6.3.</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能够提供自动化管理功能，实现不同仪器、（第三方仪器）和自动化流水线系统连接和同步；</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6.4.</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能根据需求编制程序规则，进行基于规则的自动化样本分类/路由操作和手工或其他平台样本分析前处理操作；</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6.5.</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能够提供特殊样本（LIS停机时急诊样本、科研样本）检测申请、条码打印、结果报告打印等功能；</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6.6.</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能够提供质控管理功能，支持图形方式显示质控结果，实时监测所有仪器性能和分析性能；</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6.7.</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能够提供完整的样本工作流程管理功能，实时获取样本的准确位置，样本的待完成任务，样本距离TAT目标的时限等信息；</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6.8.</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能够提供样本储存和检索功能，可自定义特殊样本/特殊结果（例如科研样本）检索方式，通过样本详细信息检索和调出样本；</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6.9.</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能够提供样本TAT预警功能，可自定义TAT预警时间，监测接近最大限定时间的样本进行可视化警报；</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6.10.</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能够提供查询统计分析报告，支持周转时间分析、质量控制分析、仪器故障问题分析等；</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6.11.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能够实时集中监测和控制所有连接仪器和自动化流水线系统，及时评估和纠正系统中任一环节出现的问题；</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7.</w:t>
            </w:r>
            <w:r>
              <w:rPr>
                <w:rFonts w:hint="eastAsia" w:ascii="宋体" w:hAnsi="宋体" w:cs="宋体"/>
                <w:b/>
                <w:bCs/>
                <w:color w:val="000000" w:themeColor="text1"/>
                <w:kern w:val="0"/>
                <w:sz w:val="22"/>
                <w:szCs w:val="22"/>
                <w14:textFill>
                  <w14:solidFill>
                    <w14:schemeClr w14:val="tx1"/>
                  </w14:solidFill>
                </w14:textFill>
              </w:rPr>
              <w:tab/>
            </w:r>
            <w:r>
              <w:rPr>
                <w:rFonts w:hint="eastAsia" w:ascii="宋体" w:hAnsi="宋体" w:cs="宋体"/>
                <w:b/>
                <w:bCs/>
                <w:color w:val="000000" w:themeColor="text1"/>
                <w:kern w:val="0"/>
                <w:sz w:val="22"/>
                <w:szCs w:val="22"/>
                <w14:textFill>
                  <w14:solidFill>
                    <w14:schemeClr w14:val="tx1"/>
                  </w14:solidFill>
                </w14:textFill>
              </w:rPr>
              <w:t>系统及轨道整体要求</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7.1.</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招标完成后厂家负责全自动流水线在实验室的合理布局，在医院提出发货申请的后6个月内到货，并在安装条件达到安装要求的前提下进行安装调试以及与LIS系统的双向通讯连接。</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7.2.</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厂家负责按照医院要求进行应用和操作培训，包括自动化的维护和培训。</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7.3.</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厂家在仪器正式投入使用之日起，保修合同期限内免费供软硬件维修、维护及免费更换配件，耗材除外。</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000000" w:themeColor="text1"/>
                <w:kern w:val="0"/>
                <w:sz w:val="22"/>
                <w14:textFill>
                  <w14:solidFill>
                    <w14:schemeClr w14:val="tx1"/>
                  </w14:solidFill>
                </w14:textFill>
              </w:rPr>
            </w:pPr>
          </w:p>
        </w:tc>
        <w:tc>
          <w:tcPr>
            <w:tcW w:w="1132" w:type="dxa"/>
            <w:vMerge w:val="continue"/>
            <w:shd w:val="clear" w:color="000000" w:fill="FFFFFF"/>
            <w:vAlign w:val="center"/>
          </w:tcPr>
          <w:p>
            <w:pPr>
              <w:widowControl/>
              <w:rPr>
                <w:rFonts w:ascii="宋体" w:hAnsi="宋体" w:cs="宋体"/>
                <w:b/>
                <w:bCs/>
                <w:color w:val="000000" w:themeColor="text1"/>
                <w:kern w:val="0"/>
                <w:sz w:val="22"/>
                <w14:textFill>
                  <w14:solidFill>
                    <w14:schemeClr w14:val="tx1"/>
                  </w14:solidFill>
                </w14:textFill>
              </w:rPr>
            </w:pPr>
          </w:p>
        </w:tc>
        <w:tc>
          <w:tcPr>
            <w:tcW w:w="7862" w:type="dxa"/>
            <w:shd w:val="clear" w:color="000000" w:fill="FFFFFF"/>
            <w:vAlign w:val="center"/>
          </w:tcPr>
          <w:p>
            <w:pPr>
              <w:widowControl/>
              <w:spacing w:line="240" w:lineRule="auto"/>
              <w:jc w:val="both"/>
              <w:rPr>
                <w:rFonts w:ascii="宋体" w:hAnsi="宋体" w:cs="宋体"/>
                <w:color w:val="000000" w:themeColor="text1"/>
                <w:kern w:val="0"/>
                <w:sz w:val="22"/>
                <w:szCs w:val="22"/>
                <w14:textFill>
                  <w14:solidFill>
                    <w14:schemeClr w14:val="tx1"/>
                  </w14:solidFill>
                </w14:textFill>
              </w:rPr>
            </w:pPr>
            <w:r>
              <w:rPr>
                <w:rFonts w:hint="eastAsia" w:ascii="宋体" w:hAnsi="宋体" w:cs="宋体"/>
                <w:color w:val="000000" w:themeColor="text1"/>
                <w:kern w:val="0"/>
                <w:sz w:val="22"/>
                <w:szCs w:val="22"/>
                <w14:textFill>
                  <w14:solidFill>
                    <w14:schemeClr w14:val="tx1"/>
                  </w14:solidFill>
                </w14:textFill>
              </w:rPr>
              <w:t>7.4.</w:t>
            </w:r>
            <w:r>
              <w:rPr>
                <w:rFonts w:hint="eastAsia" w:ascii="宋体" w:hAnsi="宋体" w:cs="宋体"/>
                <w:color w:val="000000" w:themeColor="text1"/>
                <w:kern w:val="0"/>
                <w:sz w:val="22"/>
                <w:szCs w:val="22"/>
                <w14:textFill>
                  <w14:solidFill>
                    <w14:schemeClr w14:val="tx1"/>
                  </w14:solidFill>
                </w14:textFill>
              </w:rPr>
              <w:tab/>
            </w:r>
            <w:r>
              <w:rPr>
                <w:rFonts w:hint="eastAsia" w:ascii="宋体" w:hAnsi="宋体" w:cs="宋体"/>
                <w:color w:val="000000" w:themeColor="text1"/>
                <w:kern w:val="0"/>
                <w:sz w:val="22"/>
                <w:szCs w:val="22"/>
                <w14:textFill>
                  <w14:solidFill>
                    <w14:schemeClr w14:val="tx1"/>
                  </w14:solidFill>
                </w14:textFill>
              </w:rPr>
              <w:t>支持400电话报修和官方微信平台报修。</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454" w:hRule="atLeast"/>
          <w:jc w:val="center"/>
        </w:trPr>
        <w:tc>
          <w:tcPr>
            <w:tcW w:w="660" w:type="dxa"/>
            <w:vMerge w:val="continue"/>
            <w:shd w:val="clear" w:color="000000" w:fill="FFFFFF"/>
            <w:vAlign w:val="center"/>
          </w:tcPr>
          <w:p>
            <w:pPr>
              <w:widowControl/>
              <w:jc w:val="left"/>
              <w:rPr>
                <w:rFonts w:ascii="宋体" w:hAnsi="宋体" w:cs="宋体"/>
                <w:b/>
                <w:bCs/>
                <w:color w:val="3F3F3F"/>
                <w:kern w:val="0"/>
                <w:sz w:val="22"/>
              </w:rPr>
            </w:pPr>
          </w:p>
        </w:tc>
        <w:tc>
          <w:tcPr>
            <w:tcW w:w="1132" w:type="dxa"/>
            <w:vMerge w:val="continue"/>
            <w:shd w:val="clear" w:color="000000" w:fill="FFFFFF"/>
            <w:vAlign w:val="center"/>
          </w:tcPr>
          <w:p>
            <w:pPr>
              <w:widowControl/>
              <w:rPr>
                <w:rFonts w:ascii="宋体" w:hAnsi="宋体" w:cs="宋体"/>
                <w:b/>
                <w:bCs/>
                <w:color w:val="3F3F3F"/>
                <w:kern w:val="0"/>
                <w:sz w:val="22"/>
              </w:rPr>
            </w:pPr>
          </w:p>
        </w:tc>
        <w:tc>
          <w:tcPr>
            <w:tcW w:w="7862" w:type="dxa"/>
            <w:shd w:val="clear" w:color="000000" w:fill="FFFFFF"/>
            <w:vAlign w:val="center"/>
          </w:tcPr>
          <w:p>
            <w:pPr>
              <w:widowControl/>
              <w:spacing w:line="240" w:lineRule="auto"/>
              <w:jc w:val="both"/>
              <w:rPr>
                <w:rFonts w:ascii="宋体" w:hAnsi="宋体" w:cs="宋体"/>
                <w:b/>
                <w:bCs/>
                <w:color w:val="3F3F3F"/>
                <w:kern w:val="0"/>
                <w:sz w:val="22"/>
                <w:szCs w:val="22"/>
              </w:rPr>
            </w:pPr>
            <w:r>
              <w:rPr>
                <w:rFonts w:hint="eastAsia" w:ascii="宋体" w:hAnsi="宋体" w:cs="宋体"/>
                <w:b/>
                <w:bCs/>
                <w:color w:val="3F3F3F"/>
                <w:kern w:val="0"/>
                <w:sz w:val="22"/>
                <w:szCs w:val="22"/>
              </w:rPr>
              <w:t>8.</w:t>
            </w:r>
            <w:r>
              <w:rPr>
                <w:rFonts w:hint="eastAsia" w:ascii="宋体" w:hAnsi="宋体" w:cs="宋体"/>
                <w:b/>
                <w:bCs/>
                <w:color w:val="3F3F3F"/>
                <w:kern w:val="0"/>
                <w:sz w:val="22"/>
                <w:szCs w:val="22"/>
              </w:rPr>
              <w:tab/>
            </w:r>
            <w:r>
              <w:rPr>
                <w:rFonts w:hint="eastAsia" w:ascii="宋体" w:hAnsi="宋体" w:cs="宋体"/>
                <w:b/>
                <w:bCs/>
                <w:color w:val="3F3F3F"/>
                <w:kern w:val="0"/>
                <w:sz w:val="22"/>
                <w:szCs w:val="22"/>
              </w:rPr>
              <w:t>样本处理系统配置参数</w:t>
            </w: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508" w:hRule="atLeast"/>
          <w:jc w:val="center"/>
        </w:trPr>
        <w:tc>
          <w:tcPr>
            <w:tcW w:w="660" w:type="dxa"/>
            <w:vMerge w:val="continue"/>
            <w:shd w:val="clear" w:color="000000" w:fill="FFFFFF"/>
            <w:vAlign w:val="center"/>
          </w:tcPr>
          <w:p>
            <w:pPr>
              <w:widowControl/>
              <w:jc w:val="left"/>
              <w:rPr>
                <w:rFonts w:ascii="宋体" w:hAnsi="宋体" w:cs="宋体"/>
                <w:b/>
                <w:bCs/>
                <w:color w:val="3F3F3F"/>
                <w:kern w:val="0"/>
                <w:sz w:val="22"/>
              </w:rPr>
            </w:pPr>
          </w:p>
        </w:tc>
        <w:tc>
          <w:tcPr>
            <w:tcW w:w="1132" w:type="dxa"/>
            <w:vMerge w:val="continue"/>
            <w:shd w:val="clear" w:color="000000" w:fill="FFFFFF"/>
            <w:vAlign w:val="center"/>
          </w:tcPr>
          <w:p>
            <w:pPr>
              <w:widowControl/>
              <w:rPr>
                <w:rFonts w:ascii="宋体" w:hAnsi="宋体" w:cs="宋体"/>
                <w:b/>
                <w:bCs/>
                <w:color w:val="3F3F3F"/>
                <w:kern w:val="0"/>
                <w:sz w:val="22"/>
              </w:rPr>
            </w:pPr>
          </w:p>
        </w:tc>
        <w:tc>
          <w:tcPr>
            <w:tcW w:w="7862" w:type="dxa"/>
            <w:shd w:val="clear" w:color="000000" w:fill="FFFFFF"/>
          </w:tcPr>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7"/>
              <w:gridCol w:w="1521"/>
              <w:gridCol w:w="1451"/>
              <w:gridCol w:w="675"/>
              <w:gridCol w:w="3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633" w:type="pct"/>
                  <w:vAlign w:val="center"/>
                </w:tcPr>
                <w:p>
                  <w:pPr>
                    <w:jc w:val="center"/>
                    <w:rPr>
                      <w:rFonts w:ascii="黑体" w:hAnsi="黑体" w:eastAsia="黑体"/>
                      <w:b/>
                      <w:bCs/>
                      <w:sz w:val="20"/>
                      <w:szCs w:val="20"/>
                    </w:rPr>
                  </w:pPr>
                  <w:r>
                    <w:rPr>
                      <w:rFonts w:hint="eastAsia" w:ascii="黑体" w:hAnsi="黑体" w:eastAsia="黑体"/>
                      <w:b/>
                      <w:bCs/>
                      <w:sz w:val="20"/>
                      <w:szCs w:val="20"/>
                    </w:rPr>
                    <w:t>序号</w:t>
                  </w:r>
                </w:p>
              </w:tc>
              <w:tc>
                <w:tcPr>
                  <w:tcW w:w="996" w:type="pct"/>
                  <w:vAlign w:val="center"/>
                </w:tcPr>
                <w:p>
                  <w:pPr>
                    <w:jc w:val="center"/>
                    <w:rPr>
                      <w:rFonts w:ascii="黑体" w:hAnsi="黑体" w:eastAsia="黑体"/>
                      <w:b/>
                      <w:bCs/>
                      <w:sz w:val="20"/>
                      <w:szCs w:val="20"/>
                    </w:rPr>
                  </w:pPr>
                  <w:r>
                    <w:rPr>
                      <w:rFonts w:hint="eastAsia" w:ascii="黑体" w:hAnsi="黑体" w:eastAsia="黑体"/>
                      <w:b/>
                      <w:bCs/>
                      <w:sz w:val="20"/>
                      <w:szCs w:val="20"/>
                    </w:rPr>
                    <w:t>货物名称</w:t>
                  </w:r>
                </w:p>
              </w:tc>
              <w:tc>
                <w:tcPr>
                  <w:tcW w:w="950" w:type="pct"/>
                  <w:vAlign w:val="center"/>
                </w:tcPr>
                <w:p>
                  <w:pPr>
                    <w:jc w:val="center"/>
                    <w:rPr>
                      <w:rFonts w:ascii="黑体" w:hAnsi="黑体" w:eastAsia="黑体"/>
                      <w:b/>
                      <w:bCs/>
                      <w:sz w:val="20"/>
                      <w:szCs w:val="20"/>
                    </w:rPr>
                  </w:pPr>
                  <w:r>
                    <w:rPr>
                      <w:rFonts w:hint="eastAsia" w:ascii="黑体" w:hAnsi="黑体" w:eastAsia="黑体"/>
                      <w:b/>
                      <w:bCs/>
                      <w:sz w:val="20"/>
                      <w:szCs w:val="20"/>
                    </w:rPr>
                    <w:t>数量</w:t>
                  </w:r>
                </w:p>
              </w:tc>
              <w:tc>
                <w:tcPr>
                  <w:tcW w:w="442" w:type="pct"/>
                  <w:vAlign w:val="center"/>
                </w:tcPr>
                <w:p>
                  <w:pPr>
                    <w:jc w:val="center"/>
                    <w:rPr>
                      <w:rFonts w:ascii="黑体" w:hAnsi="黑体" w:eastAsia="黑体"/>
                      <w:b/>
                      <w:bCs/>
                      <w:sz w:val="20"/>
                      <w:szCs w:val="20"/>
                    </w:rPr>
                  </w:pPr>
                  <w:r>
                    <w:rPr>
                      <w:rFonts w:hint="eastAsia" w:ascii="黑体" w:hAnsi="黑体" w:eastAsia="黑体"/>
                      <w:b/>
                      <w:bCs/>
                      <w:sz w:val="20"/>
                      <w:szCs w:val="20"/>
                    </w:rPr>
                    <w:t>单位</w:t>
                  </w:r>
                </w:p>
              </w:tc>
              <w:tc>
                <w:tcPr>
                  <w:tcW w:w="1978" w:type="pct"/>
                  <w:vAlign w:val="center"/>
                </w:tcPr>
                <w:p>
                  <w:pPr>
                    <w:jc w:val="center"/>
                    <w:rPr>
                      <w:rFonts w:ascii="黑体" w:hAnsi="黑体" w:eastAsia="黑体"/>
                      <w:b/>
                      <w:bCs/>
                      <w:sz w:val="20"/>
                      <w:szCs w:val="20"/>
                    </w:rPr>
                  </w:pPr>
                  <w:r>
                    <w:rPr>
                      <w:rFonts w:hint="eastAsia" w:ascii="黑体" w:hAnsi="黑体" w:eastAsia="黑体"/>
                      <w:b/>
                      <w:bCs/>
                      <w:sz w:val="20"/>
                      <w:szCs w:val="20"/>
                    </w:rPr>
                    <w:t>处理能力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633" w:type="pct"/>
                </w:tcPr>
                <w:p>
                  <w:pPr>
                    <w:jc w:val="center"/>
                    <w:rPr>
                      <w:rFonts w:ascii="黑体" w:hAnsi="黑体" w:eastAsia="黑体"/>
                      <w:sz w:val="20"/>
                      <w:szCs w:val="20"/>
                    </w:rPr>
                  </w:pPr>
                  <w:r>
                    <w:rPr>
                      <w:rFonts w:hint="eastAsia" w:ascii="黑体" w:hAnsi="黑体" w:eastAsia="黑体"/>
                      <w:sz w:val="20"/>
                      <w:szCs w:val="20"/>
                    </w:rPr>
                    <w:t>1</w:t>
                  </w:r>
                </w:p>
              </w:tc>
              <w:tc>
                <w:tcPr>
                  <w:tcW w:w="996" w:type="pct"/>
                </w:tcPr>
                <w:p>
                  <w:pPr>
                    <w:jc w:val="center"/>
                    <w:rPr>
                      <w:rFonts w:ascii="黑体" w:hAnsi="黑体" w:eastAsia="黑体"/>
                      <w:sz w:val="20"/>
                      <w:szCs w:val="20"/>
                    </w:rPr>
                  </w:pPr>
                  <w:r>
                    <w:rPr>
                      <w:rFonts w:hint="eastAsia" w:ascii="黑体" w:hAnsi="黑体" w:eastAsia="黑体"/>
                      <w:sz w:val="20"/>
                      <w:szCs w:val="20"/>
                    </w:rPr>
                    <w:t>样本进样模块</w:t>
                  </w:r>
                </w:p>
              </w:tc>
              <w:tc>
                <w:tcPr>
                  <w:tcW w:w="950" w:type="pct"/>
                </w:tcPr>
                <w:p>
                  <w:pPr>
                    <w:jc w:val="center"/>
                    <w:rPr>
                      <w:rFonts w:ascii="黑体" w:hAnsi="黑体" w:eastAsia="黑体"/>
                      <w:sz w:val="20"/>
                      <w:szCs w:val="20"/>
                    </w:rPr>
                  </w:pPr>
                  <w:r>
                    <w:rPr>
                      <w:rFonts w:hint="eastAsia" w:ascii="黑体" w:hAnsi="黑体" w:eastAsia="黑体"/>
                      <w:sz w:val="20"/>
                      <w:szCs w:val="20"/>
                    </w:rPr>
                    <w:t>≥1</w:t>
                  </w:r>
                </w:p>
              </w:tc>
              <w:tc>
                <w:tcPr>
                  <w:tcW w:w="442" w:type="pct"/>
                </w:tcPr>
                <w:p>
                  <w:pPr>
                    <w:jc w:val="center"/>
                    <w:rPr>
                      <w:rFonts w:ascii="黑体" w:hAnsi="黑体" w:eastAsia="黑体"/>
                      <w:sz w:val="20"/>
                      <w:szCs w:val="20"/>
                    </w:rPr>
                  </w:pPr>
                  <w:r>
                    <w:rPr>
                      <w:rFonts w:hint="eastAsia" w:ascii="黑体" w:hAnsi="黑体" w:eastAsia="黑体"/>
                      <w:sz w:val="20"/>
                      <w:szCs w:val="20"/>
                    </w:rPr>
                    <w:t>套</w:t>
                  </w:r>
                </w:p>
              </w:tc>
              <w:tc>
                <w:tcPr>
                  <w:tcW w:w="1978" w:type="pct"/>
                </w:tcPr>
                <w:p>
                  <w:pPr>
                    <w:pStyle w:val="16"/>
                    <w:spacing w:after="0"/>
                    <w:ind w:left="425"/>
                    <w:jc w:val="left"/>
                    <w:rPr>
                      <w:rFonts w:ascii="黑体" w:hAnsi="黑体" w:eastAsia="黑体"/>
                      <w:sz w:val="20"/>
                      <w:szCs w:val="20"/>
                    </w:rPr>
                  </w:pPr>
                  <w:r>
                    <w:rPr>
                      <w:rFonts w:hint="eastAsia" w:ascii="黑体" w:hAnsi="黑体" w:eastAsia="黑体"/>
                      <w:sz w:val="20"/>
                      <w:szCs w:val="20"/>
                    </w:rPr>
                    <w:t>≥</w:t>
                  </w:r>
                  <w:r>
                    <w:rPr>
                      <w:rFonts w:ascii="黑体" w:hAnsi="黑体" w:eastAsia="黑体"/>
                      <w:sz w:val="20"/>
                      <w:szCs w:val="20"/>
                    </w:rPr>
                    <w:t>900</w:t>
                  </w:r>
                  <w:r>
                    <w:rPr>
                      <w:rFonts w:hint="eastAsia" w:ascii="黑体" w:hAnsi="黑体" w:eastAsia="黑体"/>
                      <w:sz w:val="20"/>
                      <w:szCs w:val="20"/>
                    </w:rPr>
                    <w:t>管/小时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633" w:type="pct"/>
                </w:tcPr>
                <w:p>
                  <w:pPr>
                    <w:jc w:val="center"/>
                    <w:rPr>
                      <w:rFonts w:ascii="黑体" w:hAnsi="黑体" w:eastAsia="黑体"/>
                      <w:sz w:val="20"/>
                      <w:szCs w:val="20"/>
                    </w:rPr>
                  </w:pPr>
                  <w:r>
                    <w:rPr>
                      <w:rFonts w:hint="eastAsia" w:ascii="黑体" w:hAnsi="黑体" w:eastAsia="黑体"/>
                      <w:sz w:val="20"/>
                      <w:szCs w:val="20"/>
                    </w:rPr>
                    <w:t>2</w:t>
                  </w:r>
                </w:p>
              </w:tc>
              <w:tc>
                <w:tcPr>
                  <w:tcW w:w="996" w:type="pct"/>
                </w:tcPr>
                <w:p>
                  <w:pPr>
                    <w:jc w:val="center"/>
                    <w:rPr>
                      <w:rFonts w:ascii="黑体" w:hAnsi="黑体" w:eastAsia="黑体"/>
                      <w:sz w:val="20"/>
                      <w:szCs w:val="20"/>
                    </w:rPr>
                  </w:pPr>
                  <w:r>
                    <w:rPr>
                      <w:rFonts w:hint="eastAsia" w:ascii="黑体" w:hAnsi="黑体" w:eastAsia="黑体"/>
                      <w:sz w:val="20"/>
                      <w:szCs w:val="20"/>
                    </w:rPr>
                    <w:t>样本出样模块</w:t>
                  </w:r>
                </w:p>
              </w:tc>
              <w:tc>
                <w:tcPr>
                  <w:tcW w:w="950" w:type="pct"/>
                </w:tcPr>
                <w:p>
                  <w:pPr>
                    <w:jc w:val="center"/>
                    <w:rPr>
                      <w:rFonts w:ascii="黑体" w:hAnsi="黑体" w:eastAsia="黑体"/>
                      <w:sz w:val="20"/>
                      <w:szCs w:val="20"/>
                    </w:rPr>
                  </w:pPr>
                  <w:r>
                    <w:rPr>
                      <w:rFonts w:hint="eastAsia" w:ascii="黑体" w:hAnsi="黑体" w:eastAsia="黑体"/>
                      <w:sz w:val="20"/>
                      <w:szCs w:val="20"/>
                    </w:rPr>
                    <w:t>≥1</w:t>
                  </w:r>
                </w:p>
              </w:tc>
              <w:tc>
                <w:tcPr>
                  <w:tcW w:w="442" w:type="pct"/>
                </w:tcPr>
                <w:p>
                  <w:pPr>
                    <w:jc w:val="center"/>
                    <w:rPr>
                      <w:rFonts w:ascii="黑体" w:hAnsi="黑体" w:eastAsia="黑体"/>
                      <w:sz w:val="20"/>
                      <w:szCs w:val="20"/>
                    </w:rPr>
                  </w:pPr>
                  <w:r>
                    <w:rPr>
                      <w:rFonts w:hint="eastAsia" w:ascii="黑体" w:hAnsi="黑体" w:eastAsia="黑体"/>
                      <w:sz w:val="20"/>
                      <w:szCs w:val="20"/>
                    </w:rPr>
                    <w:t>套</w:t>
                  </w:r>
                </w:p>
              </w:tc>
              <w:tc>
                <w:tcPr>
                  <w:tcW w:w="1978" w:type="pct"/>
                </w:tcPr>
                <w:p>
                  <w:pPr>
                    <w:pStyle w:val="16"/>
                    <w:spacing w:after="0"/>
                    <w:ind w:left="425"/>
                    <w:jc w:val="left"/>
                    <w:rPr>
                      <w:rFonts w:ascii="黑体" w:hAnsi="黑体" w:eastAsia="黑体"/>
                      <w:sz w:val="20"/>
                      <w:szCs w:val="20"/>
                    </w:rPr>
                  </w:pPr>
                  <w:r>
                    <w:rPr>
                      <w:rFonts w:hint="eastAsia" w:ascii="黑体" w:hAnsi="黑体" w:eastAsia="黑体"/>
                      <w:sz w:val="20"/>
                      <w:szCs w:val="20"/>
                    </w:rPr>
                    <w:t>≥</w:t>
                  </w:r>
                  <w:r>
                    <w:rPr>
                      <w:rFonts w:ascii="黑体" w:hAnsi="黑体" w:eastAsia="黑体"/>
                      <w:sz w:val="20"/>
                      <w:szCs w:val="20"/>
                    </w:rPr>
                    <w:t>900</w:t>
                  </w:r>
                  <w:r>
                    <w:rPr>
                      <w:rFonts w:hint="eastAsia" w:ascii="黑体" w:hAnsi="黑体" w:eastAsia="黑体"/>
                      <w:sz w:val="20"/>
                      <w:szCs w:val="20"/>
                    </w:rPr>
                    <w:t>管/小时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633" w:type="pct"/>
                </w:tcPr>
                <w:p>
                  <w:pPr>
                    <w:jc w:val="center"/>
                    <w:rPr>
                      <w:rFonts w:ascii="黑体" w:hAnsi="黑体" w:eastAsia="黑体"/>
                      <w:sz w:val="20"/>
                      <w:szCs w:val="20"/>
                    </w:rPr>
                  </w:pPr>
                  <w:r>
                    <w:rPr>
                      <w:rFonts w:hint="eastAsia" w:ascii="黑体" w:hAnsi="黑体" w:eastAsia="黑体"/>
                      <w:sz w:val="20"/>
                      <w:szCs w:val="20"/>
                    </w:rPr>
                    <w:t>3</w:t>
                  </w:r>
                </w:p>
              </w:tc>
              <w:tc>
                <w:tcPr>
                  <w:tcW w:w="996" w:type="pct"/>
                </w:tcPr>
                <w:p>
                  <w:pPr>
                    <w:jc w:val="center"/>
                    <w:rPr>
                      <w:rFonts w:ascii="黑体" w:hAnsi="黑体" w:eastAsia="黑体"/>
                      <w:sz w:val="20"/>
                      <w:szCs w:val="20"/>
                    </w:rPr>
                  </w:pPr>
                  <w:r>
                    <w:rPr>
                      <w:rFonts w:hint="eastAsia" w:ascii="黑体" w:hAnsi="黑体" w:eastAsia="黑体"/>
                      <w:sz w:val="20"/>
                      <w:szCs w:val="20"/>
                    </w:rPr>
                    <w:t>批量进样模块</w:t>
                  </w:r>
                </w:p>
              </w:tc>
              <w:tc>
                <w:tcPr>
                  <w:tcW w:w="950" w:type="pct"/>
                </w:tcPr>
                <w:p>
                  <w:pPr>
                    <w:jc w:val="center"/>
                    <w:rPr>
                      <w:rFonts w:ascii="黑体" w:hAnsi="黑体" w:eastAsia="黑体"/>
                      <w:sz w:val="20"/>
                      <w:szCs w:val="20"/>
                    </w:rPr>
                  </w:pPr>
                  <w:r>
                    <w:rPr>
                      <w:rFonts w:hint="eastAsia" w:ascii="黑体" w:hAnsi="黑体" w:eastAsia="黑体"/>
                      <w:sz w:val="20"/>
                      <w:szCs w:val="20"/>
                    </w:rPr>
                    <w:t>≥1</w:t>
                  </w:r>
                </w:p>
              </w:tc>
              <w:tc>
                <w:tcPr>
                  <w:tcW w:w="442" w:type="pct"/>
                </w:tcPr>
                <w:p>
                  <w:pPr>
                    <w:jc w:val="center"/>
                    <w:rPr>
                      <w:rFonts w:ascii="黑体" w:hAnsi="黑体" w:eastAsia="黑体"/>
                      <w:sz w:val="20"/>
                      <w:szCs w:val="20"/>
                    </w:rPr>
                  </w:pPr>
                  <w:r>
                    <w:rPr>
                      <w:rFonts w:hint="eastAsia" w:ascii="黑体" w:hAnsi="黑体" w:eastAsia="黑体"/>
                      <w:sz w:val="20"/>
                      <w:szCs w:val="20"/>
                    </w:rPr>
                    <w:t>套</w:t>
                  </w:r>
                </w:p>
              </w:tc>
              <w:tc>
                <w:tcPr>
                  <w:tcW w:w="1978" w:type="pct"/>
                </w:tcPr>
                <w:p>
                  <w:pPr>
                    <w:pStyle w:val="16"/>
                    <w:spacing w:after="0"/>
                    <w:ind w:left="425"/>
                    <w:jc w:val="left"/>
                    <w:rPr>
                      <w:rFonts w:ascii="黑体" w:hAnsi="黑体" w:eastAsia="黑体"/>
                      <w:sz w:val="20"/>
                      <w:szCs w:val="20"/>
                    </w:rPr>
                  </w:pPr>
                  <w:r>
                    <w:rPr>
                      <w:rFonts w:hint="eastAsia" w:ascii="黑体" w:hAnsi="黑体" w:eastAsia="黑体"/>
                      <w:sz w:val="20"/>
                      <w:szCs w:val="20"/>
                    </w:rPr>
                    <w:t>≥</w:t>
                  </w:r>
                  <w:r>
                    <w:rPr>
                      <w:rFonts w:ascii="黑体" w:hAnsi="黑体" w:eastAsia="黑体"/>
                      <w:sz w:val="20"/>
                      <w:szCs w:val="20"/>
                    </w:rPr>
                    <w:t>800</w:t>
                  </w:r>
                  <w:r>
                    <w:rPr>
                      <w:rFonts w:hint="eastAsia" w:ascii="黑体" w:hAnsi="黑体" w:eastAsia="黑体"/>
                      <w:sz w:val="20"/>
                      <w:szCs w:val="20"/>
                    </w:rPr>
                    <w:t>管/小时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633" w:type="pct"/>
                </w:tcPr>
                <w:p>
                  <w:pPr>
                    <w:jc w:val="center"/>
                    <w:rPr>
                      <w:rFonts w:ascii="黑体" w:hAnsi="黑体" w:eastAsia="黑体"/>
                      <w:sz w:val="20"/>
                      <w:szCs w:val="20"/>
                    </w:rPr>
                  </w:pPr>
                  <w:r>
                    <w:rPr>
                      <w:rFonts w:hint="eastAsia" w:ascii="黑体" w:hAnsi="黑体" w:eastAsia="黑体"/>
                      <w:sz w:val="20"/>
                      <w:szCs w:val="20"/>
                    </w:rPr>
                    <w:t>4</w:t>
                  </w:r>
                </w:p>
              </w:tc>
              <w:tc>
                <w:tcPr>
                  <w:tcW w:w="996" w:type="pct"/>
                </w:tcPr>
                <w:p>
                  <w:pPr>
                    <w:jc w:val="center"/>
                    <w:rPr>
                      <w:rFonts w:ascii="黑体" w:hAnsi="黑体" w:eastAsia="黑体"/>
                      <w:sz w:val="20"/>
                      <w:szCs w:val="20"/>
                    </w:rPr>
                  </w:pPr>
                  <w:r>
                    <w:rPr>
                      <w:rFonts w:hint="eastAsia" w:ascii="黑体" w:hAnsi="黑体" w:eastAsia="黑体"/>
                      <w:sz w:val="20"/>
                      <w:szCs w:val="20"/>
                    </w:rPr>
                    <w:t>离心模块</w:t>
                  </w:r>
                </w:p>
              </w:tc>
              <w:tc>
                <w:tcPr>
                  <w:tcW w:w="950" w:type="pct"/>
                </w:tcPr>
                <w:p>
                  <w:pPr>
                    <w:jc w:val="center"/>
                    <w:rPr>
                      <w:rFonts w:ascii="黑体" w:hAnsi="黑体" w:eastAsia="黑体"/>
                      <w:sz w:val="20"/>
                      <w:szCs w:val="20"/>
                    </w:rPr>
                  </w:pPr>
                  <w:r>
                    <w:rPr>
                      <w:rFonts w:hint="eastAsia" w:ascii="黑体" w:hAnsi="黑体" w:eastAsia="黑体"/>
                      <w:sz w:val="20"/>
                      <w:szCs w:val="20"/>
                    </w:rPr>
                    <w:t>≥</w:t>
                  </w:r>
                  <w:r>
                    <w:rPr>
                      <w:rFonts w:ascii="黑体" w:hAnsi="黑体" w:eastAsia="黑体"/>
                      <w:sz w:val="20"/>
                      <w:szCs w:val="20"/>
                    </w:rPr>
                    <w:t>3</w:t>
                  </w:r>
                </w:p>
              </w:tc>
              <w:tc>
                <w:tcPr>
                  <w:tcW w:w="442" w:type="pct"/>
                </w:tcPr>
                <w:p>
                  <w:pPr>
                    <w:jc w:val="center"/>
                    <w:rPr>
                      <w:rFonts w:ascii="黑体" w:hAnsi="黑体" w:eastAsia="黑体"/>
                      <w:sz w:val="20"/>
                      <w:szCs w:val="20"/>
                    </w:rPr>
                  </w:pPr>
                  <w:r>
                    <w:rPr>
                      <w:rFonts w:hint="eastAsia" w:ascii="黑体" w:hAnsi="黑体" w:eastAsia="黑体"/>
                      <w:sz w:val="20"/>
                      <w:szCs w:val="20"/>
                    </w:rPr>
                    <w:t>套</w:t>
                  </w:r>
                </w:p>
              </w:tc>
              <w:tc>
                <w:tcPr>
                  <w:tcW w:w="1978" w:type="pct"/>
                </w:tcPr>
                <w:p>
                  <w:pPr>
                    <w:pStyle w:val="16"/>
                    <w:spacing w:after="0"/>
                    <w:ind w:left="425"/>
                    <w:jc w:val="left"/>
                    <w:rPr>
                      <w:rFonts w:ascii="黑体" w:hAnsi="黑体" w:eastAsia="黑体"/>
                      <w:sz w:val="20"/>
                      <w:szCs w:val="20"/>
                    </w:rPr>
                  </w:pPr>
                  <w:r>
                    <w:rPr>
                      <w:rFonts w:hint="eastAsia" w:ascii="黑体" w:hAnsi="黑体" w:eastAsia="黑体"/>
                      <w:sz w:val="20"/>
                      <w:szCs w:val="20"/>
                    </w:rPr>
                    <w:t>≥1</w:t>
                  </w:r>
                  <w:r>
                    <w:rPr>
                      <w:rFonts w:ascii="黑体" w:hAnsi="黑体" w:eastAsia="黑体"/>
                      <w:sz w:val="20"/>
                      <w:szCs w:val="20"/>
                    </w:rPr>
                    <w:t>000</w:t>
                  </w:r>
                  <w:r>
                    <w:rPr>
                      <w:rFonts w:hint="eastAsia" w:ascii="黑体" w:hAnsi="黑体" w:eastAsia="黑体"/>
                      <w:sz w:val="20"/>
                      <w:szCs w:val="20"/>
                    </w:rPr>
                    <w:t>管/小时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633" w:type="pct"/>
                </w:tcPr>
                <w:p>
                  <w:pPr>
                    <w:jc w:val="center"/>
                    <w:rPr>
                      <w:rFonts w:ascii="黑体" w:hAnsi="黑体" w:eastAsia="黑体"/>
                      <w:sz w:val="20"/>
                      <w:szCs w:val="20"/>
                    </w:rPr>
                  </w:pPr>
                  <w:r>
                    <w:rPr>
                      <w:rFonts w:hint="eastAsia" w:ascii="黑体" w:hAnsi="黑体" w:eastAsia="黑体"/>
                      <w:sz w:val="20"/>
                      <w:szCs w:val="20"/>
                    </w:rPr>
                    <w:t>5</w:t>
                  </w:r>
                </w:p>
              </w:tc>
              <w:tc>
                <w:tcPr>
                  <w:tcW w:w="996" w:type="pct"/>
                </w:tcPr>
                <w:p>
                  <w:pPr>
                    <w:jc w:val="center"/>
                    <w:rPr>
                      <w:rFonts w:ascii="黑体" w:hAnsi="黑体" w:eastAsia="黑体"/>
                      <w:sz w:val="20"/>
                      <w:szCs w:val="20"/>
                    </w:rPr>
                  </w:pPr>
                  <w:r>
                    <w:rPr>
                      <w:rFonts w:hint="eastAsia" w:ascii="黑体" w:hAnsi="黑体" w:eastAsia="黑体"/>
                      <w:sz w:val="20"/>
                      <w:szCs w:val="20"/>
                    </w:rPr>
                    <w:t>开盖模块</w:t>
                  </w:r>
                </w:p>
              </w:tc>
              <w:tc>
                <w:tcPr>
                  <w:tcW w:w="950" w:type="pct"/>
                </w:tcPr>
                <w:p>
                  <w:pPr>
                    <w:jc w:val="center"/>
                    <w:rPr>
                      <w:rFonts w:ascii="黑体" w:hAnsi="黑体" w:eastAsia="黑体"/>
                      <w:sz w:val="20"/>
                      <w:szCs w:val="20"/>
                    </w:rPr>
                  </w:pPr>
                  <w:r>
                    <w:rPr>
                      <w:rFonts w:hint="eastAsia" w:ascii="黑体" w:hAnsi="黑体" w:eastAsia="黑体"/>
                      <w:sz w:val="20"/>
                      <w:szCs w:val="20"/>
                    </w:rPr>
                    <w:t>≥</w:t>
                  </w:r>
                  <w:r>
                    <w:rPr>
                      <w:rFonts w:ascii="黑体" w:hAnsi="黑体" w:eastAsia="黑体"/>
                      <w:sz w:val="20"/>
                      <w:szCs w:val="20"/>
                    </w:rPr>
                    <w:t>1</w:t>
                  </w:r>
                </w:p>
              </w:tc>
              <w:tc>
                <w:tcPr>
                  <w:tcW w:w="442" w:type="pct"/>
                </w:tcPr>
                <w:p>
                  <w:pPr>
                    <w:jc w:val="center"/>
                    <w:rPr>
                      <w:rFonts w:ascii="黑体" w:hAnsi="黑体" w:eastAsia="黑体"/>
                      <w:sz w:val="20"/>
                      <w:szCs w:val="20"/>
                    </w:rPr>
                  </w:pPr>
                  <w:r>
                    <w:rPr>
                      <w:rFonts w:hint="eastAsia" w:ascii="黑体" w:hAnsi="黑体" w:eastAsia="黑体"/>
                      <w:sz w:val="20"/>
                      <w:szCs w:val="20"/>
                    </w:rPr>
                    <w:t>台</w:t>
                  </w:r>
                </w:p>
              </w:tc>
              <w:tc>
                <w:tcPr>
                  <w:tcW w:w="1978" w:type="pct"/>
                </w:tcPr>
                <w:p>
                  <w:pPr>
                    <w:pStyle w:val="16"/>
                    <w:spacing w:after="0"/>
                    <w:ind w:left="425"/>
                    <w:jc w:val="left"/>
                    <w:rPr>
                      <w:rFonts w:ascii="黑体" w:hAnsi="黑体" w:eastAsia="黑体"/>
                      <w:sz w:val="20"/>
                      <w:szCs w:val="20"/>
                    </w:rPr>
                  </w:pPr>
                  <w:r>
                    <w:rPr>
                      <w:rFonts w:hint="eastAsia" w:ascii="黑体" w:hAnsi="黑体" w:eastAsia="黑体"/>
                      <w:sz w:val="20"/>
                      <w:szCs w:val="20"/>
                    </w:rPr>
                    <w:t>≥1</w:t>
                  </w:r>
                  <w:r>
                    <w:rPr>
                      <w:rFonts w:ascii="黑体" w:hAnsi="黑体" w:eastAsia="黑体"/>
                      <w:sz w:val="20"/>
                      <w:szCs w:val="20"/>
                    </w:rPr>
                    <w:t>200</w:t>
                  </w:r>
                  <w:r>
                    <w:rPr>
                      <w:rFonts w:hint="eastAsia" w:ascii="黑体" w:hAnsi="黑体" w:eastAsia="黑体"/>
                      <w:sz w:val="20"/>
                      <w:szCs w:val="20"/>
                    </w:rPr>
                    <w:t>管/小时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633" w:type="pct"/>
                </w:tcPr>
                <w:p>
                  <w:pPr>
                    <w:jc w:val="center"/>
                    <w:rPr>
                      <w:rFonts w:ascii="黑体" w:hAnsi="黑体" w:eastAsia="黑体"/>
                      <w:sz w:val="20"/>
                      <w:szCs w:val="20"/>
                    </w:rPr>
                  </w:pPr>
                  <w:r>
                    <w:rPr>
                      <w:rFonts w:hint="eastAsia" w:ascii="黑体" w:hAnsi="黑体" w:eastAsia="黑体"/>
                      <w:sz w:val="20"/>
                      <w:szCs w:val="20"/>
                    </w:rPr>
                    <w:t>6</w:t>
                  </w:r>
                </w:p>
              </w:tc>
              <w:tc>
                <w:tcPr>
                  <w:tcW w:w="996" w:type="pct"/>
                </w:tcPr>
                <w:p>
                  <w:pPr>
                    <w:jc w:val="center"/>
                    <w:rPr>
                      <w:rFonts w:ascii="黑体" w:hAnsi="黑体" w:eastAsia="黑体"/>
                      <w:sz w:val="20"/>
                      <w:szCs w:val="20"/>
                    </w:rPr>
                  </w:pPr>
                  <w:r>
                    <w:rPr>
                      <w:rFonts w:hint="eastAsia" w:ascii="黑体" w:hAnsi="黑体" w:eastAsia="黑体"/>
                      <w:sz w:val="20"/>
                      <w:szCs w:val="20"/>
                    </w:rPr>
                    <w:t>缓冲模块</w:t>
                  </w:r>
                </w:p>
              </w:tc>
              <w:tc>
                <w:tcPr>
                  <w:tcW w:w="950" w:type="pct"/>
                </w:tcPr>
                <w:p>
                  <w:pPr>
                    <w:jc w:val="center"/>
                    <w:rPr>
                      <w:rFonts w:ascii="黑体" w:hAnsi="黑体" w:eastAsia="黑体"/>
                      <w:sz w:val="20"/>
                      <w:szCs w:val="20"/>
                    </w:rPr>
                  </w:pPr>
                  <w:r>
                    <w:rPr>
                      <w:rFonts w:hint="eastAsia" w:ascii="黑体" w:hAnsi="黑体" w:eastAsia="黑体"/>
                      <w:sz w:val="20"/>
                      <w:szCs w:val="20"/>
                    </w:rPr>
                    <w:t>≥2</w:t>
                  </w:r>
                </w:p>
              </w:tc>
              <w:tc>
                <w:tcPr>
                  <w:tcW w:w="442" w:type="pct"/>
                </w:tcPr>
                <w:p>
                  <w:pPr>
                    <w:jc w:val="center"/>
                    <w:rPr>
                      <w:rFonts w:ascii="黑体" w:hAnsi="黑体" w:eastAsia="黑体"/>
                      <w:sz w:val="20"/>
                      <w:szCs w:val="20"/>
                    </w:rPr>
                  </w:pPr>
                  <w:r>
                    <w:rPr>
                      <w:rFonts w:hint="eastAsia" w:ascii="黑体" w:hAnsi="黑体" w:eastAsia="黑体"/>
                      <w:sz w:val="20"/>
                      <w:szCs w:val="20"/>
                    </w:rPr>
                    <w:t>台</w:t>
                  </w:r>
                </w:p>
              </w:tc>
              <w:tc>
                <w:tcPr>
                  <w:tcW w:w="1978" w:type="pct"/>
                </w:tcPr>
                <w:p>
                  <w:pPr>
                    <w:pStyle w:val="16"/>
                    <w:spacing w:after="0"/>
                    <w:ind w:left="425"/>
                    <w:jc w:val="left"/>
                    <w:rPr>
                      <w:rFonts w:ascii="黑体" w:hAnsi="黑体" w:eastAsia="黑体"/>
                      <w:sz w:val="20"/>
                      <w:szCs w:val="20"/>
                    </w:rPr>
                  </w:pPr>
                  <w:r>
                    <w:rPr>
                      <w:rFonts w:hint="eastAsia" w:ascii="黑体" w:hAnsi="黑体" w:eastAsia="黑体"/>
                      <w:sz w:val="20"/>
                      <w:szCs w:val="20"/>
                    </w:rPr>
                    <w:t>≥16</w:t>
                  </w:r>
                  <w:r>
                    <w:rPr>
                      <w:rFonts w:ascii="黑体" w:hAnsi="黑体" w:eastAsia="黑体"/>
                      <w:sz w:val="20"/>
                      <w:szCs w:val="20"/>
                    </w:rPr>
                    <w:t>00</w:t>
                  </w:r>
                  <w:r>
                    <w:rPr>
                      <w:rFonts w:hint="eastAsia" w:ascii="黑体" w:hAnsi="黑体" w:eastAsia="黑体"/>
                      <w:sz w:val="20"/>
                      <w:szCs w:val="20"/>
                    </w:rPr>
                    <w:t>管/小时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633" w:type="pct"/>
                </w:tcPr>
                <w:p>
                  <w:pPr>
                    <w:jc w:val="center"/>
                    <w:rPr>
                      <w:rFonts w:ascii="黑体" w:hAnsi="黑体" w:eastAsia="黑体"/>
                      <w:sz w:val="20"/>
                      <w:szCs w:val="20"/>
                    </w:rPr>
                  </w:pPr>
                  <w:r>
                    <w:rPr>
                      <w:rFonts w:hint="eastAsia" w:ascii="黑体" w:hAnsi="黑体" w:eastAsia="黑体"/>
                      <w:sz w:val="20"/>
                      <w:szCs w:val="20"/>
                    </w:rPr>
                    <w:t>7</w:t>
                  </w:r>
                </w:p>
              </w:tc>
              <w:tc>
                <w:tcPr>
                  <w:tcW w:w="996" w:type="pct"/>
                </w:tcPr>
                <w:p>
                  <w:pPr>
                    <w:jc w:val="center"/>
                    <w:rPr>
                      <w:rFonts w:ascii="黑体" w:hAnsi="黑体" w:eastAsia="黑体"/>
                      <w:sz w:val="20"/>
                      <w:szCs w:val="20"/>
                    </w:rPr>
                  </w:pPr>
                  <w:r>
                    <w:rPr>
                      <w:rFonts w:hint="eastAsia" w:ascii="黑体" w:hAnsi="黑体" w:eastAsia="黑体"/>
                      <w:sz w:val="20"/>
                      <w:szCs w:val="20"/>
                    </w:rPr>
                    <w:t>生化分析模块</w:t>
                  </w:r>
                </w:p>
              </w:tc>
              <w:tc>
                <w:tcPr>
                  <w:tcW w:w="950" w:type="pct"/>
                </w:tcPr>
                <w:p>
                  <w:pPr>
                    <w:jc w:val="center"/>
                    <w:rPr>
                      <w:rFonts w:ascii="黑体" w:hAnsi="黑体" w:eastAsia="黑体"/>
                      <w:sz w:val="20"/>
                      <w:szCs w:val="20"/>
                    </w:rPr>
                  </w:pPr>
                  <w:r>
                    <w:rPr>
                      <w:rFonts w:hint="eastAsia" w:ascii="黑体" w:hAnsi="黑体" w:eastAsia="黑体"/>
                      <w:sz w:val="20"/>
                      <w:szCs w:val="20"/>
                    </w:rPr>
                    <w:t>满足处理能力</w:t>
                  </w:r>
                </w:p>
              </w:tc>
              <w:tc>
                <w:tcPr>
                  <w:tcW w:w="442" w:type="pct"/>
                </w:tcPr>
                <w:p>
                  <w:pPr>
                    <w:jc w:val="center"/>
                    <w:rPr>
                      <w:rFonts w:ascii="黑体" w:hAnsi="黑体" w:eastAsia="黑体"/>
                      <w:sz w:val="20"/>
                      <w:szCs w:val="20"/>
                    </w:rPr>
                  </w:pPr>
                  <w:r>
                    <w:rPr>
                      <w:rFonts w:hint="eastAsia" w:ascii="黑体" w:hAnsi="黑体" w:eastAsia="黑体"/>
                      <w:sz w:val="20"/>
                      <w:szCs w:val="20"/>
                    </w:rPr>
                    <w:t>台</w:t>
                  </w:r>
                </w:p>
              </w:tc>
              <w:tc>
                <w:tcPr>
                  <w:tcW w:w="1978" w:type="pct"/>
                </w:tcPr>
                <w:p>
                  <w:pPr>
                    <w:pStyle w:val="16"/>
                    <w:spacing w:after="0"/>
                    <w:ind w:left="425"/>
                    <w:jc w:val="left"/>
                    <w:rPr>
                      <w:rFonts w:ascii="黑体" w:hAnsi="黑体" w:eastAsia="黑体"/>
                      <w:sz w:val="20"/>
                      <w:szCs w:val="20"/>
                    </w:rPr>
                  </w:pPr>
                  <w:r>
                    <w:rPr>
                      <w:rFonts w:hint="eastAsia" w:ascii="黑体" w:hAnsi="黑体" w:eastAsia="黑体"/>
                      <w:sz w:val="20"/>
                      <w:szCs w:val="20"/>
                    </w:rPr>
                    <w:t>光学：≥</w:t>
                  </w:r>
                  <w:r>
                    <w:rPr>
                      <w:rFonts w:ascii="黑体" w:hAnsi="黑体" w:eastAsia="黑体"/>
                      <w:sz w:val="20"/>
                      <w:szCs w:val="20"/>
                    </w:rPr>
                    <w:t>5000</w:t>
                  </w:r>
                  <w:r>
                    <w:rPr>
                      <w:rFonts w:hint="eastAsia" w:ascii="黑体" w:hAnsi="黑体" w:eastAsia="黑体"/>
                      <w:sz w:val="20"/>
                      <w:szCs w:val="20"/>
                    </w:rPr>
                    <w:t>测试/小时；电解质≥4</w:t>
                  </w:r>
                  <w:r>
                    <w:rPr>
                      <w:rFonts w:ascii="黑体" w:hAnsi="黑体" w:eastAsia="黑体"/>
                      <w:sz w:val="20"/>
                      <w:szCs w:val="20"/>
                    </w:rPr>
                    <w:t>000</w:t>
                  </w:r>
                  <w:r>
                    <w:rPr>
                      <w:rFonts w:hint="eastAsia" w:ascii="黑体" w:hAnsi="黑体" w:eastAsia="黑体"/>
                      <w:sz w:val="20"/>
                      <w:szCs w:val="20"/>
                    </w:rPr>
                    <w:t>测试/小时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633" w:type="pct"/>
                </w:tcPr>
                <w:p>
                  <w:pPr>
                    <w:jc w:val="center"/>
                    <w:rPr>
                      <w:rFonts w:ascii="黑体" w:hAnsi="黑体" w:eastAsia="黑体"/>
                      <w:sz w:val="20"/>
                      <w:szCs w:val="20"/>
                    </w:rPr>
                  </w:pPr>
                  <w:r>
                    <w:rPr>
                      <w:rFonts w:hint="eastAsia" w:ascii="黑体" w:hAnsi="黑体" w:eastAsia="黑体"/>
                      <w:sz w:val="20"/>
                      <w:szCs w:val="20"/>
                    </w:rPr>
                    <w:t>8</w:t>
                  </w:r>
                </w:p>
              </w:tc>
              <w:tc>
                <w:tcPr>
                  <w:tcW w:w="996" w:type="pct"/>
                </w:tcPr>
                <w:p>
                  <w:pPr>
                    <w:jc w:val="center"/>
                    <w:rPr>
                      <w:rFonts w:ascii="黑体" w:hAnsi="黑体" w:eastAsia="黑体"/>
                      <w:sz w:val="20"/>
                      <w:szCs w:val="20"/>
                    </w:rPr>
                  </w:pPr>
                  <w:r>
                    <w:rPr>
                      <w:rFonts w:hint="eastAsia" w:ascii="黑体" w:hAnsi="黑体" w:eastAsia="黑体"/>
                      <w:sz w:val="20"/>
                      <w:szCs w:val="20"/>
                    </w:rPr>
                    <w:t>免疫分析模块</w:t>
                  </w:r>
                </w:p>
              </w:tc>
              <w:tc>
                <w:tcPr>
                  <w:tcW w:w="950" w:type="pct"/>
                </w:tcPr>
                <w:p>
                  <w:pPr>
                    <w:jc w:val="center"/>
                    <w:rPr>
                      <w:rFonts w:ascii="黑体" w:hAnsi="黑体" w:eastAsia="黑体"/>
                      <w:sz w:val="20"/>
                      <w:szCs w:val="20"/>
                    </w:rPr>
                  </w:pPr>
                  <w:r>
                    <w:rPr>
                      <w:rFonts w:hint="eastAsia" w:ascii="黑体" w:hAnsi="黑体" w:eastAsia="黑体"/>
                      <w:sz w:val="20"/>
                      <w:szCs w:val="20"/>
                    </w:rPr>
                    <w:t>满足处理能力</w:t>
                  </w:r>
                </w:p>
              </w:tc>
              <w:tc>
                <w:tcPr>
                  <w:tcW w:w="442" w:type="pct"/>
                </w:tcPr>
                <w:p>
                  <w:pPr>
                    <w:jc w:val="center"/>
                    <w:rPr>
                      <w:rFonts w:ascii="黑体" w:hAnsi="黑体" w:eastAsia="黑体"/>
                      <w:sz w:val="20"/>
                      <w:szCs w:val="20"/>
                    </w:rPr>
                  </w:pPr>
                  <w:r>
                    <w:rPr>
                      <w:rFonts w:hint="eastAsia" w:ascii="黑体" w:hAnsi="黑体" w:eastAsia="黑体"/>
                      <w:sz w:val="20"/>
                      <w:szCs w:val="20"/>
                    </w:rPr>
                    <w:t>台</w:t>
                  </w:r>
                </w:p>
              </w:tc>
              <w:tc>
                <w:tcPr>
                  <w:tcW w:w="1978" w:type="pct"/>
                </w:tcPr>
                <w:p>
                  <w:pPr>
                    <w:pStyle w:val="16"/>
                    <w:spacing w:after="0"/>
                    <w:ind w:left="425"/>
                    <w:jc w:val="left"/>
                    <w:rPr>
                      <w:rFonts w:ascii="黑体" w:hAnsi="黑体" w:eastAsia="黑体"/>
                      <w:sz w:val="20"/>
                      <w:szCs w:val="20"/>
                    </w:rPr>
                  </w:pPr>
                  <w:r>
                    <w:rPr>
                      <w:rFonts w:hint="eastAsia" w:ascii="黑体" w:hAnsi="黑体" w:eastAsia="黑体"/>
                      <w:sz w:val="20"/>
                      <w:szCs w:val="20"/>
                    </w:rPr>
                    <w:t>≥1</w:t>
                  </w:r>
                  <w:r>
                    <w:rPr>
                      <w:rFonts w:ascii="黑体" w:hAnsi="黑体" w:eastAsia="黑体"/>
                      <w:sz w:val="20"/>
                      <w:szCs w:val="20"/>
                    </w:rPr>
                    <w:t>600</w:t>
                  </w:r>
                  <w:r>
                    <w:rPr>
                      <w:rFonts w:hint="eastAsia" w:ascii="黑体" w:hAnsi="黑体" w:eastAsia="黑体"/>
                      <w:sz w:val="20"/>
                      <w:szCs w:val="20"/>
                    </w:rPr>
                    <w:t>测试/小时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633" w:type="pct"/>
                </w:tcPr>
                <w:p>
                  <w:pPr>
                    <w:jc w:val="center"/>
                    <w:rPr>
                      <w:rFonts w:ascii="黑体" w:hAnsi="黑体" w:eastAsia="黑体"/>
                      <w:sz w:val="20"/>
                      <w:szCs w:val="20"/>
                    </w:rPr>
                  </w:pPr>
                  <w:r>
                    <w:rPr>
                      <w:rFonts w:hint="eastAsia" w:ascii="黑体" w:hAnsi="黑体" w:eastAsia="黑体"/>
                      <w:sz w:val="20"/>
                      <w:szCs w:val="20"/>
                    </w:rPr>
                    <w:t>9</w:t>
                  </w:r>
                </w:p>
              </w:tc>
              <w:tc>
                <w:tcPr>
                  <w:tcW w:w="996" w:type="pct"/>
                </w:tcPr>
                <w:p>
                  <w:pPr>
                    <w:jc w:val="center"/>
                    <w:rPr>
                      <w:rFonts w:ascii="黑体" w:hAnsi="黑体" w:eastAsia="黑体"/>
                      <w:sz w:val="20"/>
                      <w:szCs w:val="20"/>
                    </w:rPr>
                  </w:pPr>
                  <w:r>
                    <w:rPr>
                      <w:rFonts w:hint="eastAsia" w:ascii="黑体" w:hAnsi="黑体" w:eastAsia="黑体"/>
                      <w:sz w:val="20"/>
                      <w:szCs w:val="20"/>
                    </w:rPr>
                    <w:t>加盖模块</w:t>
                  </w:r>
                </w:p>
              </w:tc>
              <w:tc>
                <w:tcPr>
                  <w:tcW w:w="950" w:type="pct"/>
                </w:tcPr>
                <w:p>
                  <w:pPr>
                    <w:jc w:val="center"/>
                    <w:rPr>
                      <w:rFonts w:ascii="黑体" w:hAnsi="黑体" w:eastAsia="黑体"/>
                      <w:sz w:val="20"/>
                      <w:szCs w:val="20"/>
                    </w:rPr>
                  </w:pPr>
                  <w:r>
                    <w:rPr>
                      <w:rFonts w:hint="eastAsia" w:ascii="黑体" w:hAnsi="黑体" w:eastAsia="黑体"/>
                      <w:sz w:val="20"/>
                      <w:szCs w:val="20"/>
                    </w:rPr>
                    <w:t>≥1</w:t>
                  </w:r>
                </w:p>
              </w:tc>
              <w:tc>
                <w:tcPr>
                  <w:tcW w:w="442" w:type="pct"/>
                </w:tcPr>
                <w:p>
                  <w:pPr>
                    <w:jc w:val="center"/>
                    <w:rPr>
                      <w:rFonts w:ascii="黑体" w:hAnsi="黑体" w:eastAsia="黑体"/>
                      <w:sz w:val="20"/>
                      <w:szCs w:val="20"/>
                    </w:rPr>
                  </w:pPr>
                  <w:r>
                    <w:rPr>
                      <w:rFonts w:hint="eastAsia" w:ascii="黑体" w:hAnsi="黑体" w:eastAsia="黑体"/>
                      <w:sz w:val="20"/>
                      <w:szCs w:val="20"/>
                    </w:rPr>
                    <w:t>套</w:t>
                  </w:r>
                </w:p>
              </w:tc>
              <w:tc>
                <w:tcPr>
                  <w:tcW w:w="1978" w:type="pct"/>
                </w:tcPr>
                <w:p>
                  <w:pPr>
                    <w:pStyle w:val="16"/>
                    <w:spacing w:after="0"/>
                    <w:ind w:left="425"/>
                    <w:jc w:val="left"/>
                    <w:rPr>
                      <w:rFonts w:ascii="黑体" w:hAnsi="黑体" w:eastAsia="黑体"/>
                      <w:sz w:val="20"/>
                      <w:szCs w:val="20"/>
                    </w:rPr>
                  </w:pPr>
                  <w:r>
                    <w:rPr>
                      <w:rFonts w:hint="eastAsia" w:ascii="黑体" w:hAnsi="黑体" w:eastAsia="黑体"/>
                      <w:sz w:val="20"/>
                      <w:szCs w:val="20"/>
                    </w:rPr>
                    <w:t>≥1</w:t>
                  </w:r>
                  <w:r>
                    <w:rPr>
                      <w:rFonts w:ascii="黑体" w:hAnsi="黑体" w:eastAsia="黑体"/>
                      <w:sz w:val="20"/>
                      <w:szCs w:val="20"/>
                    </w:rPr>
                    <w:t>200</w:t>
                  </w:r>
                  <w:r>
                    <w:rPr>
                      <w:rFonts w:hint="eastAsia" w:ascii="黑体" w:hAnsi="黑体" w:eastAsia="黑体"/>
                      <w:sz w:val="20"/>
                      <w:szCs w:val="20"/>
                    </w:rPr>
                    <w:t>管/小时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633" w:type="pct"/>
                </w:tcPr>
                <w:p>
                  <w:pPr>
                    <w:jc w:val="center"/>
                    <w:rPr>
                      <w:rFonts w:ascii="黑体" w:hAnsi="黑体" w:eastAsia="黑体"/>
                      <w:sz w:val="20"/>
                      <w:szCs w:val="20"/>
                    </w:rPr>
                  </w:pPr>
                  <w:r>
                    <w:rPr>
                      <w:rFonts w:hint="eastAsia" w:ascii="黑体" w:hAnsi="黑体" w:eastAsia="黑体"/>
                      <w:sz w:val="20"/>
                      <w:szCs w:val="20"/>
                    </w:rPr>
                    <w:t>10</w:t>
                  </w:r>
                </w:p>
              </w:tc>
              <w:tc>
                <w:tcPr>
                  <w:tcW w:w="996" w:type="pct"/>
                </w:tcPr>
                <w:p>
                  <w:pPr>
                    <w:jc w:val="center"/>
                    <w:rPr>
                      <w:rFonts w:ascii="黑体" w:hAnsi="黑体" w:eastAsia="黑体"/>
                      <w:sz w:val="20"/>
                      <w:szCs w:val="20"/>
                    </w:rPr>
                  </w:pPr>
                  <w:r>
                    <w:rPr>
                      <w:rFonts w:hint="eastAsia" w:ascii="黑体" w:hAnsi="黑体" w:eastAsia="黑体"/>
                      <w:sz w:val="20"/>
                      <w:szCs w:val="20"/>
                    </w:rPr>
                    <w:t>在线储存冰箱</w:t>
                  </w:r>
                </w:p>
              </w:tc>
              <w:tc>
                <w:tcPr>
                  <w:tcW w:w="950" w:type="pct"/>
                </w:tcPr>
                <w:p>
                  <w:pPr>
                    <w:jc w:val="center"/>
                    <w:rPr>
                      <w:rFonts w:ascii="黑体" w:hAnsi="黑体" w:eastAsia="黑体"/>
                      <w:sz w:val="20"/>
                      <w:szCs w:val="20"/>
                    </w:rPr>
                  </w:pPr>
                  <w:r>
                    <w:rPr>
                      <w:rFonts w:hint="eastAsia" w:ascii="黑体" w:hAnsi="黑体" w:eastAsia="黑体"/>
                      <w:sz w:val="20"/>
                      <w:szCs w:val="20"/>
                    </w:rPr>
                    <w:t>≥1</w:t>
                  </w:r>
                </w:p>
              </w:tc>
              <w:tc>
                <w:tcPr>
                  <w:tcW w:w="442" w:type="pct"/>
                </w:tcPr>
                <w:p>
                  <w:pPr>
                    <w:jc w:val="center"/>
                    <w:rPr>
                      <w:rFonts w:ascii="黑体" w:hAnsi="黑体" w:eastAsia="黑体"/>
                      <w:sz w:val="20"/>
                      <w:szCs w:val="20"/>
                    </w:rPr>
                  </w:pPr>
                  <w:r>
                    <w:rPr>
                      <w:rFonts w:hint="eastAsia" w:ascii="黑体" w:hAnsi="黑体" w:eastAsia="黑体"/>
                      <w:sz w:val="20"/>
                      <w:szCs w:val="20"/>
                    </w:rPr>
                    <w:t>套</w:t>
                  </w:r>
                </w:p>
              </w:tc>
              <w:tc>
                <w:tcPr>
                  <w:tcW w:w="1978" w:type="pct"/>
                </w:tcPr>
                <w:p>
                  <w:pPr>
                    <w:pStyle w:val="16"/>
                    <w:spacing w:after="0"/>
                    <w:ind w:left="425"/>
                    <w:jc w:val="left"/>
                    <w:rPr>
                      <w:rFonts w:ascii="黑体" w:hAnsi="黑体" w:eastAsia="黑体"/>
                      <w:sz w:val="20"/>
                      <w:szCs w:val="20"/>
                    </w:rPr>
                  </w:pPr>
                  <w:r>
                    <w:rPr>
                      <w:rFonts w:hint="eastAsia" w:ascii="黑体" w:hAnsi="黑体" w:eastAsia="黑体"/>
                      <w:sz w:val="20"/>
                      <w:szCs w:val="20"/>
                    </w:rPr>
                    <w:t>≥</w:t>
                  </w:r>
                  <w:r>
                    <w:rPr>
                      <w:rFonts w:ascii="黑体" w:hAnsi="黑体" w:eastAsia="黑体"/>
                      <w:sz w:val="20"/>
                      <w:szCs w:val="20"/>
                    </w:rPr>
                    <w:t>20000</w:t>
                  </w:r>
                  <w:r>
                    <w:rPr>
                      <w:rFonts w:hint="eastAsia" w:ascii="黑体" w:hAnsi="黑体" w:eastAsia="黑体"/>
                      <w:sz w:val="20"/>
                      <w:szCs w:val="20"/>
                    </w:rPr>
                    <w:t>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633" w:type="pct"/>
                </w:tcPr>
                <w:p>
                  <w:pPr>
                    <w:jc w:val="center"/>
                    <w:rPr>
                      <w:rFonts w:ascii="黑体" w:hAnsi="黑体" w:eastAsia="黑体"/>
                      <w:sz w:val="20"/>
                      <w:szCs w:val="20"/>
                    </w:rPr>
                  </w:pPr>
                  <w:r>
                    <w:rPr>
                      <w:rFonts w:hint="eastAsia" w:ascii="黑体" w:hAnsi="黑体" w:eastAsia="黑体"/>
                      <w:sz w:val="20"/>
                      <w:szCs w:val="20"/>
                    </w:rPr>
                    <w:t>11</w:t>
                  </w:r>
                </w:p>
              </w:tc>
              <w:tc>
                <w:tcPr>
                  <w:tcW w:w="996" w:type="pct"/>
                </w:tcPr>
                <w:p>
                  <w:pPr>
                    <w:jc w:val="center"/>
                    <w:rPr>
                      <w:rFonts w:ascii="黑体" w:hAnsi="黑体" w:eastAsia="黑体"/>
                      <w:sz w:val="20"/>
                      <w:szCs w:val="20"/>
                    </w:rPr>
                  </w:pPr>
                  <w:r>
                    <w:rPr>
                      <w:rFonts w:hint="eastAsia" w:ascii="黑体" w:hAnsi="黑体" w:eastAsia="黑体"/>
                      <w:sz w:val="20"/>
                      <w:szCs w:val="20"/>
                    </w:rPr>
                    <w:t>二次去盖模块</w:t>
                  </w:r>
                </w:p>
              </w:tc>
              <w:tc>
                <w:tcPr>
                  <w:tcW w:w="950" w:type="pct"/>
                </w:tcPr>
                <w:p>
                  <w:pPr>
                    <w:jc w:val="center"/>
                    <w:rPr>
                      <w:rFonts w:ascii="黑体" w:hAnsi="黑体" w:eastAsia="黑体"/>
                      <w:sz w:val="20"/>
                      <w:szCs w:val="20"/>
                    </w:rPr>
                  </w:pPr>
                  <w:r>
                    <w:rPr>
                      <w:rFonts w:hint="eastAsia" w:ascii="黑体" w:hAnsi="黑体" w:eastAsia="黑体"/>
                      <w:sz w:val="20"/>
                      <w:szCs w:val="20"/>
                    </w:rPr>
                    <w:t>≥1</w:t>
                  </w:r>
                </w:p>
              </w:tc>
              <w:tc>
                <w:tcPr>
                  <w:tcW w:w="442" w:type="pct"/>
                </w:tcPr>
                <w:p>
                  <w:pPr>
                    <w:jc w:val="center"/>
                    <w:rPr>
                      <w:rFonts w:ascii="黑体" w:hAnsi="黑体" w:eastAsia="黑体"/>
                      <w:sz w:val="20"/>
                      <w:szCs w:val="20"/>
                    </w:rPr>
                  </w:pPr>
                  <w:r>
                    <w:rPr>
                      <w:rFonts w:hint="eastAsia" w:ascii="黑体" w:hAnsi="黑体" w:eastAsia="黑体"/>
                      <w:sz w:val="20"/>
                      <w:szCs w:val="20"/>
                    </w:rPr>
                    <w:t>套</w:t>
                  </w:r>
                </w:p>
              </w:tc>
              <w:tc>
                <w:tcPr>
                  <w:tcW w:w="1978" w:type="pct"/>
                </w:tcPr>
                <w:p>
                  <w:pPr>
                    <w:pStyle w:val="16"/>
                    <w:spacing w:after="0"/>
                    <w:ind w:left="425"/>
                    <w:jc w:val="left"/>
                    <w:rPr>
                      <w:rFonts w:ascii="黑体" w:hAnsi="黑体" w:eastAsia="黑体"/>
                      <w:sz w:val="20"/>
                      <w:szCs w:val="20"/>
                    </w:rPr>
                  </w:pPr>
                  <w:r>
                    <w:rPr>
                      <w:rFonts w:hint="eastAsia" w:ascii="黑体" w:hAnsi="黑体" w:eastAsia="黑体"/>
                      <w:sz w:val="20"/>
                      <w:szCs w:val="20"/>
                    </w:rPr>
                    <w:t>≥</w:t>
                  </w:r>
                  <w:r>
                    <w:rPr>
                      <w:rFonts w:ascii="黑体" w:hAnsi="黑体" w:eastAsia="黑体"/>
                      <w:sz w:val="20"/>
                      <w:szCs w:val="20"/>
                    </w:rPr>
                    <w:t>3</w:t>
                  </w:r>
                  <w:r>
                    <w:rPr>
                      <w:rFonts w:hint="eastAsia" w:ascii="黑体" w:hAnsi="黑体" w:eastAsia="黑体"/>
                      <w:sz w:val="20"/>
                      <w:szCs w:val="20"/>
                    </w:rPr>
                    <w:t>0</w:t>
                  </w:r>
                  <w:r>
                    <w:rPr>
                      <w:rFonts w:ascii="黑体" w:hAnsi="黑体" w:eastAsia="黑体"/>
                      <w:sz w:val="20"/>
                      <w:szCs w:val="20"/>
                    </w:rPr>
                    <w:t>0</w:t>
                  </w:r>
                  <w:r>
                    <w:rPr>
                      <w:rFonts w:hint="eastAsia" w:ascii="黑体" w:hAnsi="黑体" w:eastAsia="黑体"/>
                      <w:sz w:val="20"/>
                      <w:szCs w:val="20"/>
                    </w:rPr>
                    <w:t>管/小时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633" w:type="pct"/>
                </w:tcPr>
                <w:p>
                  <w:pPr>
                    <w:jc w:val="center"/>
                    <w:rPr>
                      <w:rFonts w:ascii="黑体" w:hAnsi="黑体" w:eastAsia="黑体"/>
                      <w:sz w:val="20"/>
                      <w:szCs w:val="20"/>
                    </w:rPr>
                  </w:pPr>
                  <w:r>
                    <w:rPr>
                      <w:rFonts w:hint="eastAsia" w:ascii="黑体" w:hAnsi="黑体" w:eastAsia="黑体"/>
                      <w:sz w:val="20"/>
                      <w:szCs w:val="20"/>
                    </w:rPr>
                    <w:t>12</w:t>
                  </w:r>
                </w:p>
              </w:tc>
              <w:tc>
                <w:tcPr>
                  <w:tcW w:w="996" w:type="pct"/>
                </w:tcPr>
                <w:p>
                  <w:pPr>
                    <w:jc w:val="center"/>
                    <w:rPr>
                      <w:rFonts w:ascii="黑体" w:hAnsi="黑体" w:eastAsia="黑体"/>
                      <w:sz w:val="20"/>
                      <w:szCs w:val="20"/>
                    </w:rPr>
                  </w:pPr>
                  <w:r>
                    <w:rPr>
                      <w:rFonts w:hint="eastAsia" w:ascii="黑体" w:hAnsi="黑体" w:eastAsia="黑体"/>
                      <w:sz w:val="20"/>
                      <w:szCs w:val="20"/>
                    </w:rPr>
                    <w:t>样品传输系统</w:t>
                  </w:r>
                </w:p>
              </w:tc>
              <w:tc>
                <w:tcPr>
                  <w:tcW w:w="950" w:type="pct"/>
                </w:tcPr>
                <w:p>
                  <w:pPr>
                    <w:jc w:val="center"/>
                    <w:rPr>
                      <w:rFonts w:ascii="黑体" w:hAnsi="黑体" w:eastAsia="黑体"/>
                      <w:sz w:val="20"/>
                      <w:szCs w:val="20"/>
                    </w:rPr>
                  </w:pPr>
                  <w:r>
                    <w:rPr>
                      <w:rFonts w:hint="eastAsia" w:ascii="黑体" w:hAnsi="黑体" w:eastAsia="黑体"/>
                      <w:sz w:val="20"/>
                      <w:szCs w:val="20"/>
                    </w:rPr>
                    <w:t>1</w:t>
                  </w:r>
                </w:p>
              </w:tc>
              <w:tc>
                <w:tcPr>
                  <w:tcW w:w="442" w:type="pct"/>
                </w:tcPr>
                <w:p>
                  <w:pPr>
                    <w:jc w:val="center"/>
                    <w:rPr>
                      <w:rFonts w:ascii="黑体" w:hAnsi="黑体" w:eastAsia="黑体"/>
                      <w:sz w:val="20"/>
                      <w:szCs w:val="20"/>
                    </w:rPr>
                  </w:pPr>
                  <w:r>
                    <w:rPr>
                      <w:rFonts w:hint="eastAsia" w:ascii="黑体" w:hAnsi="黑体" w:eastAsia="黑体"/>
                      <w:sz w:val="20"/>
                      <w:szCs w:val="20"/>
                    </w:rPr>
                    <w:t>套</w:t>
                  </w:r>
                </w:p>
              </w:tc>
              <w:tc>
                <w:tcPr>
                  <w:tcW w:w="1978" w:type="pct"/>
                </w:tcPr>
                <w:p>
                  <w:pPr>
                    <w:pStyle w:val="16"/>
                    <w:spacing w:after="0"/>
                    <w:ind w:left="425"/>
                    <w:jc w:val="left"/>
                    <w:rPr>
                      <w:rFonts w:ascii="黑体" w:hAnsi="黑体" w:eastAsia="黑体"/>
                      <w:sz w:val="20"/>
                      <w:szCs w:val="20"/>
                    </w:rPr>
                  </w:pPr>
                  <w:r>
                    <w:rPr>
                      <w:rFonts w:hint="eastAsia" w:ascii="黑体" w:hAnsi="黑体" w:eastAsia="黑体"/>
                      <w:sz w:val="20"/>
                      <w:szCs w:val="20"/>
                    </w:rPr>
                    <w:t>≥6</w:t>
                  </w:r>
                  <w:r>
                    <w:rPr>
                      <w:rFonts w:ascii="黑体" w:hAnsi="黑体" w:eastAsia="黑体"/>
                      <w:sz w:val="20"/>
                      <w:szCs w:val="20"/>
                    </w:rPr>
                    <w:t>000</w:t>
                  </w:r>
                  <w:r>
                    <w:rPr>
                      <w:rFonts w:hint="eastAsia" w:ascii="黑体" w:hAnsi="黑体" w:eastAsia="黑体"/>
                      <w:sz w:val="20"/>
                      <w:szCs w:val="20"/>
                    </w:rPr>
                    <w:t>管/小时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633" w:type="pct"/>
                </w:tcPr>
                <w:p>
                  <w:pPr>
                    <w:jc w:val="center"/>
                    <w:rPr>
                      <w:rFonts w:ascii="黑体" w:hAnsi="黑体" w:eastAsia="黑体"/>
                      <w:sz w:val="20"/>
                      <w:szCs w:val="20"/>
                    </w:rPr>
                  </w:pPr>
                  <w:r>
                    <w:rPr>
                      <w:rFonts w:hint="eastAsia" w:ascii="黑体" w:hAnsi="黑体" w:eastAsia="黑体"/>
                      <w:sz w:val="20"/>
                      <w:szCs w:val="20"/>
                    </w:rPr>
                    <w:t>13</w:t>
                  </w:r>
                </w:p>
              </w:tc>
              <w:tc>
                <w:tcPr>
                  <w:tcW w:w="996" w:type="pct"/>
                </w:tcPr>
                <w:p>
                  <w:pPr>
                    <w:jc w:val="center"/>
                    <w:rPr>
                      <w:rFonts w:ascii="黑体" w:hAnsi="黑体" w:eastAsia="黑体"/>
                      <w:sz w:val="20"/>
                      <w:szCs w:val="20"/>
                    </w:rPr>
                  </w:pPr>
                  <w:r>
                    <w:rPr>
                      <w:rFonts w:hint="eastAsia" w:ascii="黑体" w:hAnsi="黑体" w:eastAsia="黑体"/>
                      <w:sz w:val="20"/>
                      <w:szCs w:val="20"/>
                    </w:rPr>
                    <w:t>智能管理软件系统</w:t>
                  </w:r>
                </w:p>
              </w:tc>
              <w:tc>
                <w:tcPr>
                  <w:tcW w:w="950" w:type="pct"/>
                </w:tcPr>
                <w:p>
                  <w:pPr>
                    <w:jc w:val="center"/>
                    <w:rPr>
                      <w:rFonts w:ascii="黑体" w:hAnsi="黑体" w:eastAsia="黑体"/>
                      <w:sz w:val="20"/>
                      <w:szCs w:val="20"/>
                    </w:rPr>
                  </w:pPr>
                  <w:r>
                    <w:rPr>
                      <w:rFonts w:hint="eastAsia" w:ascii="黑体" w:hAnsi="黑体" w:eastAsia="黑体"/>
                      <w:sz w:val="20"/>
                      <w:szCs w:val="20"/>
                    </w:rPr>
                    <w:t>1</w:t>
                  </w:r>
                </w:p>
              </w:tc>
              <w:tc>
                <w:tcPr>
                  <w:tcW w:w="442" w:type="pct"/>
                </w:tcPr>
                <w:p>
                  <w:pPr>
                    <w:jc w:val="center"/>
                    <w:rPr>
                      <w:rFonts w:ascii="黑体" w:hAnsi="黑体" w:eastAsia="黑体"/>
                      <w:sz w:val="20"/>
                      <w:szCs w:val="20"/>
                    </w:rPr>
                  </w:pPr>
                  <w:r>
                    <w:rPr>
                      <w:rFonts w:hint="eastAsia" w:ascii="黑体" w:hAnsi="黑体" w:eastAsia="黑体"/>
                      <w:sz w:val="20"/>
                      <w:szCs w:val="20"/>
                    </w:rPr>
                    <w:t>套</w:t>
                  </w:r>
                </w:p>
              </w:tc>
              <w:tc>
                <w:tcPr>
                  <w:tcW w:w="1978" w:type="pct"/>
                </w:tcPr>
                <w:p>
                  <w:pPr>
                    <w:pStyle w:val="16"/>
                    <w:spacing w:after="0"/>
                    <w:ind w:left="425"/>
                    <w:jc w:val="left"/>
                    <w:rPr>
                      <w:rFonts w:ascii="黑体" w:hAnsi="黑体" w:eastAsia="黑体"/>
                      <w:sz w:val="20"/>
                      <w:szCs w:val="20"/>
                    </w:rPr>
                  </w:pPr>
                  <w:r>
                    <w:rPr>
                      <w:rFonts w:hint="eastAsia" w:ascii="黑体" w:hAnsi="黑体" w:eastAsia="黑体"/>
                      <w:sz w:val="20"/>
                      <w:szCs w:val="20"/>
                    </w:rPr>
                    <w:t>样本管理/质量管理/</w:t>
                  </w:r>
                  <w:r>
                    <w:rPr>
                      <w:rFonts w:ascii="黑体" w:hAnsi="黑体" w:eastAsia="黑体"/>
                      <w:sz w:val="20"/>
                      <w:szCs w:val="20"/>
                    </w:rPr>
                    <w:t>TAT</w:t>
                  </w:r>
                  <w:r>
                    <w:rPr>
                      <w:rFonts w:hint="eastAsia" w:ascii="黑体" w:hAnsi="黑体" w:eastAsia="黑体"/>
                      <w:sz w:val="20"/>
                      <w:szCs w:val="20"/>
                    </w:rPr>
                    <w:t>监控/仪器集中化管理</w:t>
                  </w:r>
                </w:p>
              </w:tc>
            </w:tr>
          </w:tbl>
          <w:p>
            <w:pPr>
              <w:widowControl/>
              <w:jc w:val="left"/>
              <w:rPr>
                <w:rFonts w:ascii="宋体" w:hAnsi="宋体" w:cs="宋体"/>
                <w:color w:val="3F3F3F"/>
                <w:kern w:val="0"/>
                <w:sz w:val="20"/>
                <w:szCs w:val="20"/>
              </w:rPr>
            </w:pPr>
          </w:p>
        </w:tc>
      </w:tr>
      <w:tr>
        <w:tblPrEx>
          <w:tblBorders>
            <w:top w:val="single" w:color="3F3F3F" w:sz="4" w:space="0"/>
            <w:left w:val="single" w:color="3F3F3F" w:sz="4" w:space="0"/>
            <w:bottom w:val="single" w:color="3F3F3F" w:sz="4" w:space="0"/>
            <w:right w:val="single" w:color="3F3F3F" w:sz="4" w:space="0"/>
            <w:insideH w:val="single" w:color="3F3F3F" w:sz="4" w:space="0"/>
            <w:insideV w:val="single" w:color="3F3F3F" w:sz="4" w:space="0"/>
          </w:tblBorders>
          <w:tblCellMar>
            <w:top w:w="0" w:type="dxa"/>
            <w:left w:w="108" w:type="dxa"/>
            <w:bottom w:w="0" w:type="dxa"/>
            <w:right w:w="108" w:type="dxa"/>
          </w:tblCellMar>
        </w:tblPrEx>
        <w:trPr>
          <w:trHeight w:val="508" w:hRule="atLeast"/>
          <w:jc w:val="center"/>
        </w:trPr>
        <w:tc>
          <w:tcPr>
            <w:tcW w:w="660" w:type="dxa"/>
            <w:vMerge w:val="continue"/>
            <w:shd w:val="clear" w:color="000000" w:fill="FFFFFF"/>
            <w:vAlign w:val="center"/>
          </w:tcPr>
          <w:p>
            <w:pPr>
              <w:widowControl/>
              <w:jc w:val="left"/>
              <w:rPr>
                <w:rFonts w:ascii="宋体" w:hAnsi="宋体" w:cs="宋体"/>
                <w:b/>
                <w:bCs/>
                <w:color w:val="3F3F3F"/>
                <w:kern w:val="0"/>
                <w:sz w:val="22"/>
              </w:rPr>
            </w:pPr>
          </w:p>
        </w:tc>
        <w:tc>
          <w:tcPr>
            <w:tcW w:w="1132" w:type="dxa"/>
            <w:vMerge w:val="continue"/>
            <w:shd w:val="clear" w:color="000000" w:fill="FFFFFF"/>
            <w:vAlign w:val="center"/>
          </w:tcPr>
          <w:p>
            <w:pPr>
              <w:widowControl/>
              <w:rPr>
                <w:rFonts w:ascii="宋体" w:hAnsi="宋体" w:cs="宋体"/>
                <w:b/>
                <w:bCs/>
                <w:color w:val="3F3F3F"/>
                <w:kern w:val="0"/>
                <w:sz w:val="22"/>
              </w:rPr>
            </w:pPr>
          </w:p>
        </w:tc>
        <w:tc>
          <w:tcPr>
            <w:tcW w:w="7862" w:type="dxa"/>
            <w:shd w:val="clear" w:color="000000" w:fill="FFFFFF"/>
          </w:tcPr>
          <w:p>
            <w:pPr>
              <w:widowControl/>
              <w:jc w:val="left"/>
              <w:rPr>
                <w:rFonts w:ascii="宋体" w:hAnsi="宋体" w:cs="宋体"/>
                <w:color w:val="3F3F3F"/>
                <w:kern w:val="0"/>
                <w:sz w:val="20"/>
                <w:szCs w:val="20"/>
              </w:rPr>
            </w:pPr>
          </w:p>
        </w:tc>
      </w:tr>
    </w:tbl>
    <w:p>
      <w:pPr>
        <w:widowControl/>
        <w:jc w:val="left"/>
        <w:rPr>
          <w:rFonts w:asciiTheme="minorEastAsia" w:hAnsiTheme="minorEastAsia" w:eastAsiaTheme="minorEastAsia"/>
          <w:szCs w:val="21"/>
        </w:rPr>
        <w:sectPr>
          <w:pgSz w:w="11906" w:h="16838"/>
          <w:pgMar w:top="1440" w:right="1080" w:bottom="1440" w:left="1080" w:header="851" w:footer="992" w:gutter="0"/>
          <w:cols w:space="425" w:num="1"/>
          <w:docGrid w:type="lines" w:linePitch="312" w:charSpace="0"/>
        </w:sectPr>
      </w:pPr>
      <w:r>
        <w:rPr>
          <w:rFonts w:hint="eastAsia" w:ascii="微软雅黑" w:hAnsi="微软雅黑" w:eastAsia="微软雅黑" w:cs="宋体"/>
          <w:color w:val="3F3F3F"/>
          <w:kern w:val="0"/>
          <w:szCs w:val="21"/>
        </w:rPr>
        <w:t>注：</w:t>
      </w:r>
      <w:r>
        <w:rPr>
          <w:rFonts w:hint="eastAsia" w:asciiTheme="minorEastAsia" w:hAnsiTheme="minorEastAsia" w:eastAsiaTheme="minorEastAsia"/>
          <w:szCs w:val="21"/>
        </w:rPr>
        <w:t>以上全部技术参数响应需要提供彩页、设备手册、说明书等证明材料</w:t>
      </w:r>
    </w:p>
    <w:p>
      <w:pPr>
        <w:pStyle w:val="2"/>
        <w:jc w:val="center"/>
        <w:rPr>
          <w:kern w:val="0"/>
        </w:rPr>
      </w:pPr>
      <w:r>
        <w:rPr>
          <w:rFonts w:hint="eastAsia"/>
          <w:kern w:val="0"/>
        </w:rPr>
        <w:t>设备配套耗材试剂情况</w:t>
      </w:r>
    </w:p>
    <w:p>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 xml:space="preserve">开放□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专用☑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pPr>
        <w:jc w:val="left"/>
        <w:rPr>
          <w:rFonts w:ascii="宋体" w:hAnsi="宋体" w:cs="宋体"/>
          <w:b/>
          <w:bCs/>
          <w:kern w:val="0"/>
          <w:sz w:val="24"/>
          <w:szCs w:val="24"/>
        </w:rPr>
      </w:pPr>
      <w:r>
        <w:rPr>
          <w:rFonts w:hint="eastAsia" w:ascii="宋体" w:hAnsi="宋体" w:cs="宋体"/>
          <w:b/>
          <w:bCs/>
          <w:kern w:val="0"/>
          <w:sz w:val="24"/>
          <w:szCs w:val="24"/>
        </w:rPr>
        <w:t>配套耗材</w:t>
      </w:r>
    </w:p>
    <w:tbl>
      <w:tblPr>
        <w:tblStyle w:val="7"/>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60"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094"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b/>
                <w:sz w:val="28"/>
                <w:szCs w:val="21"/>
              </w:rPr>
            </w:pPr>
            <w:r>
              <w:rPr>
                <w:rFonts w:hint="eastAsia" w:ascii="黑体" w:hAnsi="黑体" w:eastAsia="黑体"/>
                <w:color w:val="000000"/>
                <w:sz w:val="20"/>
                <w:szCs w:val="20"/>
              </w:rPr>
              <w:t>1</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加盖盖帽</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b/>
                <w:sz w:val="28"/>
                <w:szCs w:val="21"/>
              </w:rPr>
            </w:pPr>
            <w:r>
              <w:rPr>
                <w:rFonts w:hint="eastAsia" w:ascii="黑体" w:hAnsi="黑体" w:eastAsia="黑体"/>
                <w:color w:val="000000"/>
                <w:sz w:val="20"/>
                <w:szCs w:val="20"/>
              </w:rPr>
              <w:t>2</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反应杯</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3,101.00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b/>
                <w:sz w:val="28"/>
                <w:szCs w:val="21"/>
              </w:rPr>
            </w:pPr>
            <w:r>
              <w:rPr>
                <w:rFonts w:hint="eastAsia" w:ascii="黑体" w:hAnsi="黑体" w:eastAsia="黑体"/>
                <w:color w:val="000000"/>
                <w:sz w:val="20"/>
                <w:szCs w:val="20"/>
              </w:rPr>
              <w:t>3</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清洗站针</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780.00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hint="eastAsia" w:ascii="仿宋_GB2312" w:hAnsi="Times New Roman" w:eastAsia="仿宋_GB2312"/>
                <w:b/>
                <w:sz w:val="28"/>
                <w:szCs w:val="21"/>
                <w:lang w:eastAsia="zh-CN"/>
              </w:rPr>
            </w:pPr>
            <w:r>
              <w:rPr>
                <w:rFonts w:hint="eastAsia" w:ascii="黑体" w:hAnsi="黑体" w:eastAsia="黑体"/>
                <w:color w:val="000000"/>
                <w:sz w:val="20"/>
                <w:szCs w:val="20"/>
                <w:lang w:val="en-US" w:eastAsia="zh-CN"/>
              </w:rPr>
              <w:t>4</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试剂探针</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18,100.00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hint="eastAsia" w:ascii="仿宋_GB2312" w:hAnsi="Times New Roman" w:eastAsia="仿宋_GB2312"/>
                <w:b/>
                <w:sz w:val="28"/>
                <w:szCs w:val="21"/>
                <w:lang w:eastAsia="zh-CN"/>
              </w:rPr>
            </w:pPr>
            <w:r>
              <w:rPr>
                <w:rFonts w:hint="eastAsia" w:ascii="黑体" w:hAnsi="黑体" w:eastAsia="黑体"/>
                <w:color w:val="000000"/>
                <w:sz w:val="20"/>
                <w:szCs w:val="20"/>
                <w:lang w:val="en-US" w:eastAsia="zh-CN"/>
              </w:rPr>
              <w:t>5</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移液器探针</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10,100.00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hint="eastAsia" w:ascii="仿宋_GB2312" w:hAnsi="Times New Roman" w:eastAsia="仿宋_GB2312"/>
                <w:b/>
                <w:sz w:val="28"/>
                <w:szCs w:val="21"/>
                <w:lang w:val="en-US" w:eastAsia="zh-CN"/>
              </w:rPr>
            </w:pPr>
            <w:r>
              <w:rPr>
                <w:rFonts w:hint="eastAsia" w:ascii="黑体" w:hAnsi="黑体" w:eastAsia="黑体"/>
                <w:color w:val="000000"/>
                <w:sz w:val="20"/>
                <w:szCs w:val="20"/>
                <w:lang w:val="en-US" w:eastAsia="zh-CN"/>
              </w:rPr>
              <w:t>6</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裂解稀释液</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3,492.00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7</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风琴泵单向阀</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1,125.00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8</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试剂瓶保护膜</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8,052.00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9</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样品杯1000/bag</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1,765.00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10</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样品杯1000ea/pkg</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3,764.00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11</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预处理样本转移管</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1,775.00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12</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手工稀释液</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2,241.00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13</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塑料架AERO样本管配适器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14</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塑料件</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6,985.00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15</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20mL 试剂盒适配器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17,851.00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16</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集线器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6,597.00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17</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塑料头</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4,365.00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18</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标签</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2,037.00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19</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分杯管条码</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2,037.00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20</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管路　　　</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7,082.00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21</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缓冲液液位传感器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8,731.00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22</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缓冲液过滤器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6,888.00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23</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清洗液配置桶</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6,209.00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24</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清洗缓冲液液面感应传感器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11,642.00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25</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激发液液位传感器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7,121.00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26</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预激发液液位传感器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6,985.00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27</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试剂针</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17,464.00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28</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试剂架</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15,523.00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29</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清洗杯　　</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3,201.00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30</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塑料架</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17,754.00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31</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塑料架金属转盘</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16,299.00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32</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塑料瓶</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8,343.00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33</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理化分析仪零件（传感器）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5,336.00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34</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塑料样品杯</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2,619.00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35</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塑料架10 carrier/pkg</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16,299.00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36</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风琴泵组件</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2,396.00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37</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蠕动泵管</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2,375.00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38</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样本针管</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7,082.00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39</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试剂针R1A/R2B</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17,658.00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40</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试剂针R1B/R2A</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17,658.00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41</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比色杯</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1,639.00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42</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泵单向阀</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1,125.00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43</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#1样本针密封圈</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1,241.00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44</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#2样本针密封圈</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1,241.00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45</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#1试剂针密封圈</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1,979.00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46</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#2试剂针密封圈</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1,979.00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47</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注射器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3,492.00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48</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比色杯擦拭器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1,639.00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49</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过滤管</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2,483.00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50</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灯泡</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2,716.00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51</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搅拌器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6,112.00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52</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缓冲液传感器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11,642.00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53</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激发液传感器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7,121.00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54</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预激发液传感器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6,985.00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55</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WZ针</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11,497.00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56</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O圈</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441.00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57</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比色杯擦干棒</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1,639.00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58</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冲洗针</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3,492.00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59</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冲洗针温度传感器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6,500.00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60</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废液针/管路</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4,860.00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61</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管路</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6,878.00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62</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过滤器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2,483.00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63</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搅拌针</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6,112.00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64</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试剂盖</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441.00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65</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塑料盖20/bag</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441.00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66</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探针</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9,410.00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67</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温度管</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6,500.00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68</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样本针</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23,376.00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69</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样品杯</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3,783.00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70</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蠕动头套管</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16,296.00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71</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水浴槽过滤器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15,972.00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72</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Tubing, Pump Head Water Bath Fill</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1,646.00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73</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比色杯擦</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298.00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74</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样本针螺丝</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1,946.00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75</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生化 SAMPLE P</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14,372.00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76</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试剂探针连接管</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2,572.00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77</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生化试剂盒</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13,144.00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78</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生化比色杯</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23,074.00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79</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生化SNSR BSL</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12,868.00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80</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免疫SNSR WB</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17,582.00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81</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免疫清洗站管子</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2,130.00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82</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 xml:space="preserve"> 生化RGT COOLANT</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19,402.00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83</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生化保养清洁容器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2,812.82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84</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生化反应杯雨刷片</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821.62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85</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液体过滤器</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2,612.33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60" w:type="dxa"/>
            <w:vAlign w:val="center"/>
          </w:tcPr>
          <w:p>
            <w:pPr>
              <w:jc w:val="center"/>
              <w:rPr>
                <w:rFonts w:ascii="仿宋_GB2312" w:hAnsi="Times New Roman" w:eastAsia="仿宋_GB2312" w:cs="Times New Roman"/>
                <w:b/>
                <w:kern w:val="2"/>
                <w:sz w:val="28"/>
                <w:szCs w:val="21"/>
                <w:lang w:val="en-US" w:eastAsia="zh-CN" w:bidi="ar-SA"/>
              </w:rPr>
            </w:pPr>
            <w:r>
              <w:rPr>
                <w:rFonts w:hint="eastAsia" w:ascii="黑体" w:hAnsi="黑体" w:eastAsia="黑体"/>
                <w:color w:val="000000"/>
                <w:sz w:val="20"/>
                <w:szCs w:val="20"/>
              </w:rPr>
              <w:t>86</w:t>
            </w:r>
          </w:p>
        </w:tc>
        <w:tc>
          <w:tcPr>
            <w:tcW w:w="5094" w:type="dxa"/>
          </w:tcPr>
          <w:p>
            <w:pPr>
              <w:adjustRightInd w:val="0"/>
              <w:snapToGrid w:val="0"/>
              <w:spacing w:after="200"/>
              <w:jc w:val="center"/>
              <w:rPr>
                <w:rFonts w:ascii="华文楷体" w:hAnsi="华文楷体" w:eastAsia="华文楷体"/>
                <w:sz w:val="24"/>
              </w:rPr>
            </w:pPr>
            <w:r>
              <w:rPr>
                <w:rFonts w:hint="eastAsia" w:ascii="黑体" w:hAnsi="黑体" w:eastAsia="黑体"/>
                <w:color w:val="000000"/>
                <w:sz w:val="20"/>
                <w:szCs w:val="24"/>
              </w:rPr>
              <w:t>封膜铝箔</w:t>
            </w:r>
          </w:p>
        </w:tc>
        <w:tc>
          <w:tcPr>
            <w:tcW w:w="1985"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盒 </w:t>
            </w:r>
          </w:p>
        </w:tc>
        <w:tc>
          <w:tcPr>
            <w:tcW w:w="2126" w:type="dxa"/>
          </w:tcPr>
          <w:p>
            <w:pPr>
              <w:widowControl/>
              <w:jc w:val="center"/>
              <w:rPr>
                <w:rFonts w:ascii="华文楷体" w:hAnsi="华文楷体" w:eastAsia="华文楷体"/>
                <w:sz w:val="24"/>
              </w:rPr>
            </w:pPr>
            <w:r>
              <w:rPr>
                <w:rFonts w:hint="eastAsia" w:ascii="黑体" w:hAnsi="黑体" w:eastAsia="黑体"/>
                <w:color w:val="000000"/>
                <w:sz w:val="20"/>
                <w:szCs w:val="24"/>
              </w:rPr>
              <w:t xml:space="preserve"> 4,750.00 </w:t>
            </w:r>
          </w:p>
        </w:tc>
      </w:tr>
    </w:tbl>
    <w:p>
      <w:pPr>
        <w:jc w:val="left"/>
        <w:rPr>
          <w:rFonts w:ascii="Times New Roman" w:hAnsi="Times New Roman"/>
          <w:szCs w:val="21"/>
        </w:rPr>
      </w:pPr>
    </w:p>
    <w:p>
      <w:pPr>
        <w:jc w:val="left"/>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7"/>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47"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107"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预算单价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甲型肝炎病毒IgG抗体检测试剂盒（化学发光微粒子免疫检测法）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4,672.00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甲型肝炎病毒IgG抗体校准品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甲型肝炎病毒IgG抗体质控品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甲型肝炎病毒IgM抗体检测试剂盒（化学发光微粒子免疫检测法）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甲型肝炎病毒IgM抗体校准品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甲型肝炎病毒IgM抗体质控品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尿中性粒细胞明胶酶相关脂质运载蛋白测定试剂盒（化学发光微粒子免疫检测法）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33,155.00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尿中性粒细胞明胶酶相关脂质运载蛋白校准品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3,120.00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尿中性粒细胞明胶酶相关脂质运载蛋白质控品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3,120.00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促甲状腺激素测定试剂盒（化学发光微粒子免疫检测法）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1,415.50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促甲状腺激素校准品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促甲状腺激素测定试剂盒（化学发光微粒子免疫检测法）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2,831.00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促甲状腺激素测定试剂盒（化学发光微粒子免疫检测法）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16,988.00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促甲状腺激素校准品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总三碘甲状腺原氨酸测定试剂盒（化学发光微粒子免疫检测法）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2,600.00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总三碘甲状腺原氨酸测定试剂盒（化学发光微粒子免疫检测法）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15,600.00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总三碘甲状腺原氨酸校准品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总甲状腺素测定试剂盒（化学发光微粒子免疫检测法）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2,534.00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总甲状腺素测定试剂盒（化学发光微粒子免疫检测法）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15,206.00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总甲状腺素校准品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游离三碘甲状腺原氨酸测定试剂盒（化学发光微粒子免疫检测法）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2,534.00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游离三碘甲状腺原氨酸测定试剂盒（化学发光微粒子免疫检测法）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15,206.00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游离三碘甲状腺原氨酸校准品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肌酸激酶同工酶测定试剂盒（化学发光微粒子免疫检测法）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11,500.00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肌酸激酶同工酶校准品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2,925.00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肌酸激酶同工酶质控品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2,915.00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高敏肌钙蛋白-I测定试剂盒（化学发光微粒子免疫检测法）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15,000.00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高敏肌钙蛋白-I校准品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高敏肌钙蛋白-I质控品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高敏肌钙蛋白-I测定试剂盒（化学发光微粒子免疫检测法）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36,000.00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高敏肌钙蛋白-I校准品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高敏肌钙蛋白-I质控品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肌红蛋白测定试剂盒（化学发光微粒子免疫检测法）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14,000.00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肌红蛋白校准品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肌红蛋白质控品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2,915.00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B-型尿钠肽测定试剂盒（化学发光微粒子免疫检测法）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47,500.00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B-型尿钠肽校准品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4,875.00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B-型尿钠肽测定试剂盒(化学发光微粒子免疫检测法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19,000.00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B-型尿钠肽校准品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4,875.00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甲胎蛋白测定试剂盒（化学发光微粒子免疫检测法）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23,166.00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甲胎蛋白测定试剂盒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3,861.00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甲胎蛋白校准品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1,170.00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癌胚抗原测定试剂盒（化学发光微粒子免疫检测法）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23,166.00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癌胚抗原测定试剂盒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3,861.00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癌胚抗原校准品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总前列腺特异性抗原测定试剂盒（化学发光微粒子免疫检测法）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42,000.00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总前列腺特异性抗原校准品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游离前列腺特异性抗原测定试剂盒（化学发光微粒子免疫检测法）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9,200.00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游离前列腺特异性抗原校准品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50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胃蛋白酶原I测定试剂盒（化学发光微粒子免疫检测法）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51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胃蛋白酶原I校准品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5,460.00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52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胃蛋白酶原I质控品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5,363.00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53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胃蛋白酶原II测定试剂盒（化学发光微粒子免疫检测法）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54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胃蛋白酶原II校准品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6,435.00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55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胃蛋白酶原II质控品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5,850.00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56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细胞角蛋白19片段测定试剂盒（化学发光微粒子免疫检测法）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3,415.00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57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细胞角蛋白19片段校准品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58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细胞角蛋白19片段质控品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59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癌抗原125测定试剂盒（化学发光微粒子免疫检测法）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12,500.00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60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癌抗原125校准品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61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癌抗原15-3测定试剂盒（化学发光微粒子免疫检测法）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10,246.00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62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癌抗原15-3校准品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63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糖类抗原19-9测定试剂盒（化学发光微粒子免疫检测法）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12,000.00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64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糖类抗原19-9校准品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65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鳞状上皮细胞癌抗原测定试剂盒（化学发光微粒子免疫检测法）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52,000.00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66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鳞状上皮细胞癌抗原校准品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67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鳞状上皮细胞癌抗原质控品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3,510.00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68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胃泌素释放肽前体测定试剂盒（化学发光微粒子免疫检测法）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69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胃泌素释放肽前体校准品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8,289.00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70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胃泌素释放肽前体质控品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7,801.00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71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人附睾蛋白4测定试剂盒（化学发光微粒子免疫检测法）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left"/>
              <w:rPr>
                <w:rFonts w:ascii="黑体" w:hAnsi="黑体" w:eastAsia="黑体"/>
                <w:color w:val="000000"/>
                <w:sz w:val="20"/>
                <w:szCs w:val="24"/>
              </w:rPr>
            </w:pPr>
            <w:r>
              <w:rPr>
                <w:rFonts w:hint="eastAsia" w:ascii="黑体" w:hAnsi="黑体" w:eastAsia="黑体"/>
                <w:color w:val="000000"/>
                <w:sz w:val="20"/>
                <w:szCs w:val="24"/>
              </w:rPr>
              <w:t xml:space="preserve"> 3,500.00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72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人附睾蛋白4校准品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975.00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73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人附睾蛋白4质控品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975.00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74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游离甲状腺素测定试剂盒（化学发光微粒子免疫检测法）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3,128.00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75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游离甲状腺素测定试剂盒（化学发光微粒子免疫检测法）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18,770.00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76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游离甲状腺素校准品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77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甲状腺球蛋白抗体测定试剂盒（化学发光微粒子免疫检测法）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78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甲状腺球蛋白抗体校准品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79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甲状腺球蛋白测定试剂盒（化学发光微粒子免疫检测法）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80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甲状腺球蛋白校准品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81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甲状腺球蛋白质控品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82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促甲状腺素受体抗体测定试剂盒（化学发光微粒子免疫检测法）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5,600.00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83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促甲状腺素受体抗体校准品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84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促甲状腺素受体抗体质控品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85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甲状腺过氧化物酶抗体测定试剂盒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86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甲状腺过氧化物酶抗体校准品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87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孕酮测定试剂盒（化学发光微粒子免疫检测法）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3,267.00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88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孕酮校准品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89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雌二醇测定试剂盒（化学发光微粒子免疫检测法）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2,930.00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90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雌二醇测定试剂盒（化学发光微粒子免疫检测法）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14,652.00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91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雌二醇校准品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92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卵泡刺激素测定试剂盒（化学发光微粒子免疫检测法）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2,791.00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93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卵泡刺激素测定试剂盒（化学发光微粒子免疫检测法）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16,750.00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94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卵泡刺激素校准品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95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促黄体生成素测定试剂盒（化学发光微粒子免疫检测法）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3,344.00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96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促黄体生成素测定试剂盒（化学发光微粒子免疫检测法）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20,065.00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97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促黄体生成素校准品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98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泌乳素测定试剂盒（化学发光微粒子免疫检测法）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2,791.00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99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泌乳素测定试剂盒（化学发光微粒子免疫检测法）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16,750.00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100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泌乳素校准品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101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硫酸脱氢表雄酮测定试剂盒（化学发光微粒子免疫检测法）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4,672.00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102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硫酸脱氢表雄酮校准品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4,875.00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103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性激素结合球蛋白测定试剂盒（化学发光微粒子免疫检测法）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6,930.00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104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性激素结合球蛋白校准品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4,875.00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105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睾酮测定试剂盒（化学发光微粒子免疫检测法）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3,603.00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106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睾酮测定试剂盒（化学发光微粒子免疫检测法）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14,414.00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107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睾酮校准品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1,755.00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108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总β人绒毛膜促性腺激素测定试剂盒（化学发光微粒子免疫检测法）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7,326.00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109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总β人绒毛膜促性腺激素校准品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110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总β人绒毛膜促性腺激素测定试剂盒（化学发光微粒子免疫检测法）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2,930.00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111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总β人绒毛膜促性腺激素测定试剂盒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17,582.40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112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总β人绒毛膜促性腺激素校准品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113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25-羟基维生素D测定试剂盒（化学发光微粒子免疫检测法）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35,000.00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114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25-羟基维生素D校准品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115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25-羟基维生素D质控品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116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抗环状胍氨酸多肽抗体测定试剂盒（化学发光微粒子免疫检测法）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8,830.00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117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抗环状胍氨酸多肽抗体校准品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1,865.00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118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抗环状胍氨酸多肽抗体质控品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1,643.00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119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同型半胱氨酸测定试剂盒（化学发光微粒子免疫检测法）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6,336.00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120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同型半胱氨酸校准品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1,560.00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121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同型半胱氨酸测定试剂盒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left"/>
              <w:rPr>
                <w:rFonts w:ascii="黑体" w:hAnsi="黑体" w:eastAsia="黑体"/>
                <w:color w:val="000000"/>
                <w:sz w:val="20"/>
                <w:szCs w:val="24"/>
              </w:rPr>
            </w:pPr>
            <w:r>
              <w:rPr>
                <w:rFonts w:hint="eastAsia" w:ascii="黑体" w:hAnsi="黑体" w:eastAsia="黑体"/>
                <w:color w:val="000000"/>
                <w:sz w:val="20"/>
                <w:szCs w:val="24"/>
              </w:rPr>
              <w:t xml:space="preserve"> 12,672.00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122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同型半胱氨酸校准品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1,560.00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123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铁蛋白测定试剂盒（化学发光微粒子免疫检测法）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124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铁蛋白测定试剂盒（化学发光微粒子免疫检测法）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14,850.00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125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铁蛋白校准品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126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维生素B12测定试剂盒（化学发光微粒子免疫检测法）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4,296.00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127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维生素B12校准品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128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叶酸测定试剂盒（化学发光微粒子免疫检测法）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129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叶酸校准品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3,315.00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130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全型甲状旁腺激素测定试剂盒（化学发光微粒子免疫检测法）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8,197.00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131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全型甲状旁腺激素测定试剂盒（化学发光微粒子免疫检测法）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40,986.00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132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全型甲状旁腺激素校准品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4,680.00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133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胰岛素测定试剂盒（化学发光微粒子免疫检测法）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134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胰岛素校准品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135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C肽测定试剂盒（化学发光微粒子免疫检测法）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6,831.00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136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C肽校准品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4,095.00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137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C肽质控品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4,095.00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138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皮质醇校准品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3,413.00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139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皮质醇测定试剂盒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7,702.00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140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皮质醇测定试剂盒(1000T)</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38,510.00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141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降钙素原测定试剂盒（化学发光微粒子免疫检测法）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43,906.00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142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降钙素原测定试剂盒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left"/>
              <w:rPr>
                <w:rFonts w:ascii="黑体" w:hAnsi="黑体" w:eastAsia="黑体"/>
                <w:color w:val="000000"/>
                <w:sz w:val="20"/>
                <w:szCs w:val="24"/>
              </w:rPr>
            </w:pPr>
            <w:r>
              <w:rPr>
                <w:rFonts w:hint="eastAsia" w:ascii="黑体" w:hAnsi="黑体" w:eastAsia="黑体"/>
                <w:color w:val="000000"/>
                <w:sz w:val="20"/>
                <w:szCs w:val="24"/>
              </w:rPr>
              <w:t xml:space="preserve"> 8,781.20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143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降钙素原校准品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144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降钙素原质控品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145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降钙素测定试剂盒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16,400.00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146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降钙素校准品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147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降钙素质控品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148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异常凝血酶原（PIVKA-II）测定试剂盒（化学发光微粒子免疫检测法）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149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异常凝血酶原（PIVKA-II）校准品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1,755.00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150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异常凝血酶原（PIVKA-II）质控品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1,755.00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151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梅毒螺旋体抗体测定试剂盒（化学发光微粒子免疫检测法）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28,155.00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152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梅毒螺旋体抗体校准品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3,852.00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153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梅毒螺旋体抗体质控品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3,852.00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乙型肝炎病毒表面抗原测定试剂盒（化学发光微粒子免疫检测法）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18,532.00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160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乙型肝炎病毒表面抗原校准品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3,803.00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161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乙型肝炎病毒表面抗原质控品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3,803.00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乙型肝炎病毒核心抗体测定试剂盒（化学发光微粒子免疫检测法）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20,671.00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162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乙型肝炎病毒核心抗体校准品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3,803.00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163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乙型肝炎病毒核心抗体质控品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2,999.00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乙型肝炎病毒表面抗体测定试剂盒（化学发光微粒子免疫检测法）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18,651.00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164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乙型肝炎病毒表面抗体校准品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3,803.00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165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乙型肝炎病毒表面抗体质控品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3,803.00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乙型肝炎病毒e抗原测定试剂盒（化学发光微粒子免疫检测法）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3,187.00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166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乙型肝炎病毒e抗原校准品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3,803.00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167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乙型肝炎病毒e抗原质控品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3,799.00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乙型肝炎病毒e抗体测定试剂盒（化学发光微粒子免疫检测法）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3,187.00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168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乙型肝炎病毒e抗体校准品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3,803.00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169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乙型肝炎病毒e抗体质控品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2,999.00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170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乙型肝炎病毒核心抗体IgM测定试剂盒（化学发光微粒子免疫检测法）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1,623.00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171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乙型肝炎病毒核心抗体IgM校准品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3,803.00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172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乙型肝炎病毒核心抗体IgM质控品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3,803.00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丙型肝炎病毒抗体测定试剂盒（化学发光微粒子免疫检测法）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9,464.00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丙型肝炎病毒抗体测定试剂盒（化学发光微粒子免疫检测法）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7,316.00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173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丙型肝炎病毒抗体校准品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174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丙型肝炎病毒抗体质控品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3,803.00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175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丙型肝炎病毒抗原校准品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2,535.00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176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丙型肝炎病毒抗原质控品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2,535.00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177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人类免疫缺陷病毒抗原及抗体联合测定试剂盒（化学发光微粒子免疫检测法）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49,183.00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178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人类免疫缺陷病毒抗原及抗体联合测定校准品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3,745.00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179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人类免疫缺陷病毒抗原及抗体联合测定质控品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3,599.00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180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环孢霉素测定试剂盒（化学发光微粒子免疫检测法）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10,500.00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181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环孢霉素校准品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182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雷帕霉素测定试剂盒（化学发光微粒子免疫检测法）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10,731.00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183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雷帕霉素校准品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184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普乐可复测定试剂盒（化学发光微粒子免疫检测法）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18,240.00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185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普乐可复校准品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186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卡马西平测定试剂盒（化学发光微粒子免疫检测法）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9,000.00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187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卡马西平校准品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9,166.00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188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弓形体IgG校准品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4,100.00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189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弓形体IgG质控品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190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弓形体IgG测定试剂盒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8,000.00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191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弓形虫IgG亲合力测定试剂盒(200T)</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10,400.00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192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弓形体IgM校准品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3,120.00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193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弓形体IgM质控品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3,120.00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194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弓形体IgM测定试剂盒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195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风疹病毒IgG校准品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5,265.00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196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风疹病毒IgG质控品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5,265.00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197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风疹病毒IgG测定试剂盒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198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风疹病毒IgM校准品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5,265.00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199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风疹病毒IgM质控品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5,265.00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200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风疹病毒IgM测定试剂盒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201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巨细胞病毒IgG校准品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202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巨细胞病毒IgG质控品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203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巨细胞病毒IgG测定试剂盒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204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巨细胞病毒IgG亲合力测定试剂盒(200T)</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205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巨细胞病毒IgM校准品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6,240.00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206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巨细胞病毒IgM质控品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6,240.00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207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巨细胞病毒IgM测定试剂盒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208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地高辛测定试剂盒（化学发光微粒子免疫检测法）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209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地高辛校准品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210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庆大霉素测定试剂盒（化学发光微粒子免疫检测法）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3,118.00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211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庆大霉素校准品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5,070.00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212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茶碱测定试剂盒（化学发光微粒子免疫检测法）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3,118.00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213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茶碱校准品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214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丙戊酸测定试剂盒（化学发光微粒子免疫检测法）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3,514.00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215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丙戊酸校准品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216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万古霉素测定试剂盒（化学发光微粒子免疫检测法）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3,118.00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217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万古霉素校准品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4,485.00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218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甲氨蝶呤校准品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219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甲氨蝶呤质控品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220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甲氨蝶呤质控品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221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甲氨蝶呤测定试剂盒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9,000.00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222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苯巴比妥测定试剂盒（化学发光微粒子免疫检测法）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223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苯巴比妥校准品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224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苯妥英测定试剂盒（化学发光微粒子免疫检测法）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3,118.00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225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苯妥英校准品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226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心肌标记质控品水平1</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227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心肌标记质控品水平3</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228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EB病毒核抗原IgG抗体测定试剂盒（化学发光微粒子免疫检测法）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229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EB病毒壳抗原IgG抗体测定试剂盒（化学发光微粒子免疫检测法）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230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EB病毒壳抗原IgM抗体检测试剂盒（化学发光微粒子免疫检测法）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20,000.00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231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EB病毒核抗原IgG抗体校准品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232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EB病毒核抗原IgG抗体质控品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233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EB病毒壳抗原IgG抗体校准品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234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EB病毒壳抗原IgG抗体质控品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235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EB病毒壳抗原IgM抗体校准品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236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EB病毒壳抗原IgM抗体质控品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3,900.00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237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碱性磷酸酶测定试剂盒(NPP底物-AMP缓冲液法、液体I型)</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35.73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238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丙氨酸氨基转移酶测定试剂盒（丙氨酸底物法）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93.60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239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甘胆酸测定试剂盒（乳胶免疫比浊法）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1,144.00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240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胆碱酯酶测定试剂盒（丁酰硫代胆碱底物法）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188.35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241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氨测定试剂盒（谷氨酸脱氢酶法）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696.00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242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亮氨酸氨基肽酶测定试剂盒（L-亮氨酰对硝基苯胺底物法）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341.57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243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腺苷脱氨酶测定试剂盒（过氧化物酶法）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574.02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244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a-L-岩藻糖苷酶测定试剂盒（CNPF底物法）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552.29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245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谷氨酸脱氢酶测定试剂盒(α-酮戊二酸底物法）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168.54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246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总胆汁酸测定试剂盒（酶循环法）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595.35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247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总胆汁酸校准品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248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天门冬氨酸氨基转移酶测定试剂盒(天门冬氨酸底物法、液体I型)</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83.41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249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总蛋白测定试剂盒(大包装)</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24.64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250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白蛋白测定试剂盒(大包装)</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27.20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251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前白蛋白测定试剂盒(大包装)</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204.36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252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γ-谷氨酰基转移酶测定试剂盒（GCANA底物法、液体I型）</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49.98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253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总胆红素测定试剂盒(钒酸盐氧化法)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90.00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254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直接胆红素测定试剂盒（钒酸盐法）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255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乳酸脱氢酶测定试剂盒（乳酸底物法、液体I型）</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56.41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256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甘油三酯测定试剂盒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75.01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257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胆固醇测定试剂盒(酶试剂法)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81.61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258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高密度脂蛋白胆固醇测定试剂盒(直接法-过氧化氢酶清除法）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387.13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259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低密度脂蛋白胆固醇测定试剂盒（直接法-表面活性剂清除法）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1,080.26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260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铜蓝蛋白</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1,045.20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261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谷胱甘肽还原酶测定试剂盒（酶法）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1,355.66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262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单氨氧化酶检测试剂盒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673.50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263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5’-核苷酸酶测定试剂盒（过氧化物酶法）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1,518.05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264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5’-核苷酸酶质控品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265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液体免疫学和蛋白质控品水平1</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266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液体免疫学和蛋白质控品水平3</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268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钙测定试剂盒(偶氮胂法)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10,186.63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269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钙测定试剂盒（邻甲酚酞络合酮法、液体I型）</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980.00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271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尿素氮测定试剂盒（尿素酶法）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9,897.33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273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肌酐测定试剂盒(碱性苦味酸法)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12,000.00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275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样品稀释液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left"/>
              <w:rPr>
                <w:rFonts w:ascii="黑体" w:hAnsi="黑体" w:eastAsia="黑体"/>
                <w:color w:val="000000"/>
                <w:sz w:val="20"/>
                <w:szCs w:val="24"/>
              </w:rPr>
            </w:pPr>
            <w:r>
              <w:rPr>
                <w:rFonts w:hint="eastAsia" w:ascii="黑体" w:hAnsi="黑体" w:eastAsia="黑体"/>
                <w:color w:val="000000"/>
                <w:sz w:val="20"/>
                <w:szCs w:val="24"/>
              </w:rPr>
              <w:t xml:space="preserve"> 21,000.00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276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二氧化碳测定试剂盒（PEPC酶法）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1,358.00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277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二氧化碳测定试剂盒（磷酸烯醇式丙酮酸羧化酶法）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9,022.80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279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二氧化碳校准品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280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镁测定试剂盒（二甲苯胺蓝法、液体I型）</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744.00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281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尿酸测定试剂盒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right"/>
              <w:rPr>
                <w:rFonts w:ascii="黑体" w:hAnsi="黑体" w:eastAsia="黑体"/>
                <w:color w:val="000000"/>
                <w:sz w:val="20"/>
                <w:szCs w:val="24"/>
              </w:rPr>
            </w:pPr>
            <w:r>
              <w:rPr>
                <w:rFonts w:hint="eastAsia" w:ascii="黑体" w:hAnsi="黑体" w:eastAsia="黑体"/>
                <w:color w:val="000000"/>
                <w:sz w:val="20"/>
                <w:szCs w:val="24"/>
              </w:rPr>
              <w:t>949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283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尿酸测定试剂盒（尿酸酶法）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284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无机磷测定试剂盒（磷钼酸盐法、液体I型）</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247.00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286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无机磷测定试剂盒（磷钼酸盐法）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5,670.71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287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肌酸激酶测定试剂盒（磷酸肌酸底物法）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2,424.00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288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肌酸激酶同工酶校准品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left"/>
              <w:rPr>
                <w:rFonts w:ascii="黑体" w:hAnsi="黑体" w:eastAsia="黑体"/>
                <w:color w:val="000000"/>
                <w:sz w:val="20"/>
                <w:szCs w:val="24"/>
              </w:rPr>
            </w:pPr>
            <w:r>
              <w:rPr>
                <w:rFonts w:hint="eastAsia" w:ascii="黑体" w:hAnsi="黑体" w:eastAsia="黑体"/>
                <w:color w:val="000000"/>
                <w:sz w:val="20"/>
                <w:szCs w:val="24"/>
              </w:rPr>
              <w:t xml:space="preserve"> 2,555.00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289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肌酸激酶同工酶测定试剂盒(免疫抑制法)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left"/>
              <w:rPr>
                <w:rFonts w:ascii="黑体" w:hAnsi="黑体" w:eastAsia="黑体"/>
                <w:color w:val="000000"/>
                <w:sz w:val="20"/>
                <w:szCs w:val="24"/>
              </w:rPr>
            </w:pPr>
            <w:r>
              <w:rPr>
                <w:rFonts w:hint="eastAsia" w:ascii="黑体" w:hAnsi="黑体" w:eastAsia="黑体"/>
                <w:color w:val="000000"/>
                <w:sz w:val="20"/>
                <w:szCs w:val="24"/>
              </w:rPr>
              <w:t xml:space="preserve"> 1,594.80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290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肌酸激酶MB同工酶测定试剂盒（免疫抑制法）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9,548.00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292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葡萄糖测定试剂盒（己糖激酶法）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13,200.00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293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葡萄糖测定试剂盒（葡萄糖氧化酶法）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401.52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294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N-乙酰-β-D-氨基葡萄糖苷酶校准品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295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N-乙酰-β-D-氨基葡萄糖苷酶质控品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296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N-乙酰-β-D-氨基葡萄糖苷酶测定试剂盒 (MNP-G1CNAc底物法)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2,365.78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298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葡萄糖-6-磷酸脱氢酶（G-6-PD)检测试剂盒（比值法）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1,241.00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299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α-淀粉酶测定试剂盒（EPS法、液体Ⅰ型）</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1,567.00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300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α-淀粉酶测定试剂盒(CNPG3 底物法)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left"/>
              <w:rPr>
                <w:rFonts w:ascii="黑体" w:hAnsi="黑体" w:eastAsia="黑体"/>
                <w:color w:val="000000"/>
                <w:sz w:val="20"/>
                <w:szCs w:val="24"/>
              </w:rPr>
            </w:pPr>
            <w:r>
              <w:rPr>
                <w:rFonts w:hint="eastAsia" w:ascii="黑体" w:hAnsi="黑体" w:eastAsia="黑体"/>
                <w:color w:val="000000"/>
                <w:sz w:val="20"/>
                <w:szCs w:val="24"/>
              </w:rPr>
              <w:t xml:space="preserve"> 1,400.00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304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蛋白测定试剂盒(比浊法)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left"/>
              <w:rPr>
                <w:rFonts w:ascii="黑体" w:hAnsi="黑体" w:eastAsia="黑体"/>
                <w:color w:val="000000"/>
                <w:sz w:val="20"/>
                <w:szCs w:val="24"/>
              </w:rPr>
            </w:pPr>
            <w:r>
              <w:rPr>
                <w:rFonts w:hint="eastAsia" w:ascii="黑体" w:hAnsi="黑体" w:eastAsia="黑体"/>
                <w:color w:val="000000"/>
                <w:sz w:val="20"/>
                <w:szCs w:val="24"/>
              </w:rPr>
              <w:t xml:space="preserve"> 1,039.93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305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尿液/脑脊液蛋白校准品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left"/>
              <w:rPr>
                <w:rFonts w:ascii="黑体" w:hAnsi="黑体" w:eastAsia="黑体"/>
                <w:color w:val="000000"/>
                <w:sz w:val="20"/>
                <w:szCs w:val="24"/>
              </w:rPr>
            </w:pPr>
            <w:r>
              <w:rPr>
                <w:rFonts w:hint="eastAsia" w:ascii="黑体" w:hAnsi="黑体" w:eastAsia="黑体"/>
                <w:color w:val="000000"/>
                <w:sz w:val="20"/>
                <w:szCs w:val="24"/>
              </w:rPr>
              <w:t xml:space="preserve"> 3,007.00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301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脂肪酶测定试剂盒（甲基试卤灵底物法)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left"/>
              <w:rPr>
                <w:rFonts w:ascii="黑体" w:hAnsi="黑体" w:eastAsia="黑体"/>
                <w:color w:val="000000"/>
                <w:sz w:val="20"/>
                <w:szCs w:val="24"/>
              </w:rPr>
            </w:pPr>
            <w:r>
              <w:rPr>
                <w:rFonts w:hint="eastAsia" w:ascii="黑体" w:hAnsi="黑体" w:eastAsia="黑体"/>
                <w:color w:val="000000"/>
                <w:sz w:val="20"/>
                <w:szCs w:val="24"/>
              </w:rPr>
              <w:t xml:space="preserve"> 4,390.28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302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脂肪酶校准品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left"/>
              <w:rPr>
                <w:rFonts w:ascii="黑体" w:hAnsi="黑体" w:eastAsia="黑体"/>
                <w:color w:val="000000"/>
                <w:sz w:val="20"/>
                <w:szCs w:val="24"/>
              </w:rPr>
            </w:pPr>
            <w:r>
              <w:rPr>
                <w:rFonts w:hint="eastAsia" w:ascii="黑体" w:hAnsi="黑体" w:eastAsia="黑体"/>
                <w:color w:val="000000"/>
                <w:sz w:val="20"/>
                <w:szCs w:val="24"/>
              </w:rPr>
              <w:t xml:space="preserve"> 676.00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303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脂肪酶质控品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left"/>
              <w:rPr>
                <w:rFonts w:ascii="黑体" w:hAnsi="黑体" w:eastAsia="黑体"/>
                <w:color w:val="000000"/>
                <w:sz w:val="20"/>
                <w:szCs w:val="24"/>
              </w:rPr>
            </w:pPr>
            <w:r>
              <w:rPr>
                <w:rFonts w:hint="eastAsia" w:ascii="黑体" w:hAnsi="黑体" w:eastAsia="黑体"/>
                <w:color w:val="000000"/>
                <w:sz w:val="20"/>
                <w:szCs w:val="24"/>
              </w:rPr>
              <w:t xml:space="preserve"> 676.00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306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铁测定试剂盒（亚铁嗪法、液体I型）</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543.00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308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C-反应蛋白校准品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5,724.00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309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C-反应蛋白测定试剂盒（免疫比浊法）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2,109.00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310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C-反应蛋白测定试剂盒(胶乳免疫比浊法)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28,700.00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311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C-反应蛋白校准品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312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抗链球菌溶血素O测定试剂盒(胶乳免疫比浊法)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2,793.00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313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抗链球菌溶血素O校准品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2,134.00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314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抗链球菌溶血素O、类风湿因子质控品（水平2）</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1,730.00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315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抗链球菌溶血素O、类风湿因子质控品（水平1）</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1,004.00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316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抗链球菌溶血素O测定试剂盒（乳胶免疫比浊法）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2,479.00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317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类风湿因子测定试剂盒（胶乳免疫比浊法）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2,178.00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318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类风湿因子校准品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1,164.00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319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类风湿因子测定试剂盒(胶乳免疫比浊法)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4,029.00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320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类风湿因子测定试剂盒（胶乳免疫比浊法）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321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补体C3测定试剂盒（免疫比浊法）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1,229.00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322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补体C4测定试剂盒（免疫比浊法）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1,213.00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323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补体C1q测定试剂盒（免疫比浊法）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4,998.00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324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补体C1q测定试剂盒（免疫比浊法）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5,194.00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325</w:t>
            </w:r>
          </w:p>
        </w:tc>
        <w:tc>
          <w:tcPr>
            <w:tcW w:w="5107" w:type="dxa"/>
          </w:tcPr>
          <w:p>
            <w:pPr>
              <w:jc w:val="left"/>
              <w:rPr>
                <w:rFonts w:ascii="ΊΪΜε" w:hAnsi="ΊΪΜε" w:eastAsia="ΊΪΜε"/>
                <w:color w:val="000000"/>
                <w:sz w:val="20"/>
                <w:szCs w:val="24"/>
              </w:rPr>
            </w:pPr>
            <w:r>
              <w:rPr>
                <w:rFonts w:ascii="ΊΪΜε" w:hAnsi="ΊΪΜε" w:eastAsia="ΊΪΜε"/>
                <w:color w:val="000000"/>
                <w:sz w:val="20"/>
                <w:szCs w:val="24"/>
              </w:rPr>
              <w:t>α-羟丁酸脱氢酶检测试剂盒（含校准）</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1,740.00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326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免疫球蛋白A测定试剂盒（免疫比浊法）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3,663.00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327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免疫球蛋白G测定试剂盒（免疫比浊法）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2,963.00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328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免疫球蛋白M测定试剂盒（免疫比浊法）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3,549.00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329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果糖胺检测试剂盒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330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丙酮酸测定试剂盒(乳酸脱氢酶法）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331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丙酮酸测定试剂盒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785.00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332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丙酮酸测定试剂盒(乳酸脱氢酶法)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1,180.00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333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视黄醇结合蛋白测定试剂盒（乳胶免疫比浊法）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12,990.00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334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胱抑素C测定试剂盒（乳胶免疫比浊法）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19,839.00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335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α1-微量球蛋白校准品（血清）</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336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α1-微量球蛋白校准品（尿液）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337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α1-微量球蛋白质控品（血清）</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338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α1-微量球蛋白质控品（尿液）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240.00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339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α1-微量球蛋白测定试剂盒（胶乳免疫比浊法）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4,114.00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340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β2-微量球蛋白测定试剂盒（胶乳免疫比浊法）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2,371.00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341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β2-微量球蛋白标准（尿）</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156.00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342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D-二聚体测定试剂盒（乳胶免疫比浊法）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6,927.00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343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D-二聚体校准品（6点）</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1,997.00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344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D-二聚体校准品（2水平）</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1,730.00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345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游离脂肪酸测定试剂盒（ACS-ACOD法）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1,653.00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346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游离脂肪酸测定试剂盒（酶法）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4,365.00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347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游离脂肪酸校准品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348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游离脂肪酸质控品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349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游离脂肪酸测定试剂盒（ACS-ACOD法）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3,416.20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350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脂蛋白（a）检测试剂盒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351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1,5-脱水-D-山梨醇测定试剂盒(吡喃糖氧化酶法）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9,352.00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352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血管紧张素转化酶测定试剂盒(FAPGG底物法）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3,291.00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353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血管紧张素转化酶测定试剂盒（速率法）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2,888.00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354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载脂蛋白A1/B测定试剂盒（透射比浊法）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2,723.00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355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载脂蛋白A1测定试剂盒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2,208.00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356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载脂蛋白A1定标液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254.00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357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载脂蛋白B测定试剂盒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2,208.00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358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载脂蛋白B定标液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254.00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359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转铁蛋白测定试剂盒（免疫比浊法）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446.00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360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转铁蛋白测定试剂盒(免疫比浊法)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7,077.24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361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触珠蛋白测定试剂盒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3,200.00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362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尿微量白蛋白测定试剂盒（免疫比浊法）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1,528.00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363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尿微量白蛋白测定试剂盒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2,160.00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364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锌测定试剂盒（PAPS显色剂法）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7,567.00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365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铜测定试剂盒（PAPS显色剂法）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3,427.00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366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心型脂肪酸结合蛋白测定试剂盒（免疫比浊法）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23,285.00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367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特异性生长因子测定试剂盒（酶法）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6,985.00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368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香草扁桃酸检测试剂盒（均相酶免疫法）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left"/>
              <w:rPr>
                <w:rFonts w:ascii="黑体" w:hAnsi="黑体" w:eastAsia="黑体"/>
                <w:color w:val="000000"/>
                <w:sz w:val="20"/>
                <w:szCs w:val="24"/>
              </w:rPr>
            </w:pPr>
            <w:r>
              <w:rPr>
                <w:rFonts w:hint="eastAsia" w:ascii="黑体" w:hAnsi="黑体" w:eastAsia="黑体"/>
                <w:color w:val="000000"/>
                <w:sz w:val="20"/>
                <w:szCs w:val="24"/>
              </w:rPr>
              <w:t xml:space="preserve"> 5,500.00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369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乳酸检测试剂盒（乳酸氧化酶法）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914.00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370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不饱合铁结合力测定试剂盒（呋喃三嗪法）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2,452.00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371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可溶性转铁蛋白受体测定试剂盒（胶乳免疫比浊法）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8,820.00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372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总铁结合力检测试剂盒（亚铁嗪法）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2,244.00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373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血清淀粉样蛋白 A 测定试剂盒（胶乳免疫比浊法）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14,112.00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374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唾液酸测定试剂盒(乳酸脱氢酶法）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3,488.00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375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唾液酸化糖链抗原测定试剂盒（胶乳凝聚法）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7,056.00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376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唾液酸化糖链抗原测定试剂盒（胶乳凝聚法）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7,056.00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377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唾液酸化糖链抗原校准品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3,430.00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378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唾液酸化糖链抗原质控品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3,430.00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379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小而密低密度脂蛋白胆固醇测定试剂盒</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7,056.00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380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血浆蛋白校准品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2,425.00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381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血脂多项校准品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1,746.00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382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特殊蛋白多项校准品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1,164.00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383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铁蛋白／肌红蛋白／免疫球蛋白E质控品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3,686.00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384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铁蛋白／肌红蛋白／免疫球蛋白E质控品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3,686.00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385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免疫抑制剂复合质控品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8,731.00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386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免疫复合质控品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8,828.00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387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生化质控品（水平1）</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2,910.00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388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生化质控品（水平2）</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2,910.00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389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生化校准品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2,215.00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390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免疫质控品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4,851.00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391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免疫质控品1</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4,851.00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392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免疫质控品2</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4,851.00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393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电解质血清校准品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8,731.00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394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电解质尿液校准品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6,112.00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395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生化多项质控血清</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3,729.00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396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生化多项质控血清</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3,729.00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397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生化多项质控血清</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3,729.00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398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特定蛋白多项质控品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8,731.00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399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生化尿液多项质控品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1,631.00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400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特种蛋白八项校准品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1,164.00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401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特定蛋白校准品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1,860.00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402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生化多项校准品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2,700.00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403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生化多项校准品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701.00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404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生化多项校准品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1,854.00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405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中生生化多项质控品水平1</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701.00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406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中生生化多项质控品水平1</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1,854.00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407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中生生化多项质控品水平2</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701.00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408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中生生化多项质控品水平2</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1,854.00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409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C反应蛋白质控品水平2</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4,423.00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410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C反应蛋白质控品水平3</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4,423.00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411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质控血清</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3,250.00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412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质控血清</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3,250.00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413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超强免疫质控水平1</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6,752.00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414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超强免疫质控水平2</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6,752.00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415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超强免疫质控水平3</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6,752.00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416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免疫质控品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3,539.00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417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免疫质控品</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3,539.00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418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糖化白蛋白测定试剂盒（过氧化物酶法）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7,780.53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419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糖化白蛋白测定试剂盒（过氧化物酶法）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450.62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420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糖化白蛋白测定试剂盒（过氧化物酶法）</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600.82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421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浓缩清洗缓冲液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1,477.00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422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浓缩清洗缓冲液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1,365.00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423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样本萃取液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2,496.00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424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样本萃取液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2,496.00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425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样本萃取液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2,496.00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426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试剂瓶</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427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试剂瓶</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428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试剂盒/白</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2,300.00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429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试剂盒/黑</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2,300.00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430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电解质检测电极块</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34,927.00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431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电解质参比液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7,079.00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432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激发液检测器</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2,867.00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433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预激发液检测器</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2,915.00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434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酸性探针清洗液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5,107.00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435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去污剂A</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3,589.00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436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去污剂a</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3,100.00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437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去污剂B</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5,336.00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438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去污剂b</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4,800.00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439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保养液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14,188.00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440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保养液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11,000.00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441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电解质清洗液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7,043.00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442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酸性清洗液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6,403.00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443</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酸性清洗液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5,600.00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444</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碱性清洗液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4,365.00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445</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碱性清洗液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3,700.00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446</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激发液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1,365.00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447</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激发液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1,365.00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448</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探针冲洗液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4,485.00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449</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探针冲洗液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4,485.00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450</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探针冲洗液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3,600.00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451</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预激发液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3,120.00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tcPr>
          <w:p>
            <w:pPr>
              <w:jc w:val="center"/>
              <w:rPr>
                <w:rFonts w:ascii="黑体" w:hAnsi="黑体" w:eastAsia="黑体"/>
                <w:color w:val="000000"/>
                <w:sz w:val="20"/>
                <w:szCs w:val="24"/>
              </w:rPr>
            </w:pPr>
            <w:r>
              <w:rPr>
                <w:rFonts w:hint="eastAsia" w:ascii="黑体" w:hAnsi="黑体" w:eastAsia="黑体"/>
                <w:color w:val="000000"/>
                <w:sz w:val="20"/>
                <w:szCs w:val="24"/>
              </w:rPr>
              <w:t>452</w:t>
            </w:r>
          </w:p>
        </w:tc>
        <w:tc>
          <w:tcPr>
            <w:tcW w:w="5107" w:type="dxa"/>
          </w:tcPr>
          <w:p>
            <w:pPr>
              <w:jc w:val="left"/>
              <w:rPr>
                <w:rFonts w:ascii="黑体" w:hAnsi="黑体" w:eastAsia="黑体"/>
                <w:color w:val="000000"/>
                <w:sz w:val="20"/>
                <w:szCs w:val="24"/>
              </w:rPr>
            </w:pPr>
            <w:r>
              <w:rPr>
                <w:rFonts w:hint="eastAsia" w:ascii="黑体" w:hAnsi="黑体" w:eastAsia="黑体"/>
                <w:color w:val="000000"/>
                <w:sz w:val="20"/>
                <w:szCs w:val="24"/>
              </w:rPr>
              <w:t>预激发液</w:t>
            </w:r>
          </w:p>
        </w:tc>
        <w:tc>
          <w:tcPr>
            <w:tcW w:w="1985"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盒 </w:t>
            </w:r>
          </w:p>
        </w:tc>
        <w:tc>
          <w:tcPr>
            <w:tcW w:w="2126" w:type="dxa"/>
          </w:tcPr>
          <w:p>
            <w:pPr>
              <w:jc w:val="center"/>
              <w:rPr>
                <w:rFonts w:ascii="黑体" w:hAnsi="黑体" w:eastAsia="黑体"/>
                <w:color w:val="000000"/>
                <w:sz w:val="20"/>
                <w:szCs w:val="24"/>
              </w:rPr>
            </w:pPr>
            <w:r>
              <w:rPr>
                <w:rFonts w:hint="eastAsia" w:ascii="黑体" w:hAnsi="黑体" w:eastAsia="黑体"/>
                <w:color w:val="000000"/>
                <w:sz w:val="20"/>
                <w:szCs w:val="24"/>
              </w:rPr>
              <w:t xml:space="preserve"> 3,120.00 </w:t>
            </w:r>
          </w:p>
        </w:tc>
      </w:tr>
    </w:tbl>
    <w:p>
      <w:pPr>
        <w:rPr>
          <w:rFonts w:ascii="微软雅黑" w:hAnsi="微软雅黑" w:eastAsia="微软雅黑" w:cs="宋体"/>
          <w:color w:val="3F3F3F"/>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华文楷体">
    <w:panose1 w:val="02010600040101010101"/>
    <w:charset w:val="86"/>
    <w:family w:val="auto"/>
    <w:pitch w:val="default"/>
    <w:sig w:usb0="00000287" w:usb1="080F0000" w:usb2="00000000" w:usb3="00000000" w:csb0="0004009F" w:csb1="DFD70000"/>
  </w:font>
  <w:font w:name="ΊΪΜε">
    <w:altName w:val="Segoe Print"/>
    <w:panose1 w:val="00000000000000000000"/>
    <w:charset w:val="A1"/>
    <w:family w:val="auto"/>
    <w:pitch w:val="default"/>
    <w:sig w:usb0="00000000" w:usb1="00000000" w:usb2="00000000" w:usb3="00000000" w:csb0="00000008"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6E6146"/>
    <w:multiLevelType w:val="multilevel"/>
    <w:tmpl w:val="786E61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72A27"/>
    <w:rsid w:val="00031B84"/>
    <w:rsid w:val="0007571F"/>
    <w:rsid w:val="00086401"/>
    <w:rsid w:val="000B3A24"/>
    <w:rsid w:val="000C088D"/>
    <w:rsid w:val="000E0A0A"/>
    <w:rsid w:val="00100D1E"/>
    <w:rsid w:val="001041DD"/>
    <w:rsid w:val="0012370B"/>
    <w:rsid w:val="00123BA9"/>
    <w:rsid w:val="00153A42"/>
    <w:rsid w:val="0015678E"/>
    <w:rsid w:val="00172A27"/>
    <w:rsid w:val="00180716"/>
    <w:rsid w:val="0018661F"/>
    <w:rsid w:val="00195F5D"/>
    <w:rsid w:val="001B0A84"/>
    <w:rsid w:val="001D5E72"/>
    <w:rsid w:val="00206936"/>
    <w:rsid w:val="002617DE"/>
    <w:rsid w:val="002738F1"/>
    <w:rsid w:val="002C0BFD"/>
    <w:rsid w:val="002C6C45"/>
    <w:rsid w:val="002C75D6"/>
    <w:rsid w:val="002D02F7"/>
    <w:rsid w:val="002D59FE"/>
    <w:rsid w:val="003141BC"/>
    <w:rsid w:val="0031707A"/>
    <w:rsid w:val="00333E2E"/>
    <w:rsid w:val="003407BA"/>
    <w:rsid w:val="00362036"/>
    <w:rsid w:val="0036311E"/>
    <w:rsid w:val="003938A4"/>
    <w:rsid w:val="003B5D40"/>
    <w:rsid w:val="003D4CEF"/>
    <w:rsid w:val="003E15A0"/>
    <w:rsid w:val="003F19FE"/>
    <w:rsid w:val="004112AE"/>
    <w:rsid w:val="00437E27"/>
    <w:rsid w:val="00444F09"/>
    <w:rsid w:val="00447FAF"/>
    <w:rsid w:val="004607A8"/>
    <w:rsid w:val="0046248D"/>
    <w:rsid w:val="00470F6F"/>
    <w:rsid w:val="004777CE"/>
    <w:rsid w:val="00485E99"/>
    <w:rsid w:val="004B2BE5"/>
    <w:rsid w:val="004B4DC1"/>
    <w:rsid w:val="004B79FD"/>
    <w:rsid w:val="004C6FD8"/>
    <w:rsid w:val="004E09F3"/>
    <w:rsid w:val="004E51B4"/>
    <w:rsid w:val="004E6075"/>
    <w:rsid w:val="004F46EC"/>
    <w:rsid w:val="00536070"/>
    <w:rsid w:val="005576B7"/>
    <w:rsid w:val="005B4177"/>
    <w:rsid w:val="00610316"/>
    <w:rsid w:val="006161EF"/>
    <w:rsid w:val="00627CBC"/>
    <w:rsid w:val="00667C4B"/>
    <w:rsid w:val="006933BA"/>
    <w:rsid w:val="00694F0B"/>
    <w:rsid w:val="00696C5E"/>
    <w:rsid w:val="006B7040"/>
    <w:rsid w:val="006C1BAB"/>
    <w:rsid w:val="006C428C"/>
    <w:rsid w:val="006F1FD9"/>
    <w:rsid w:val="0071790B"/>
    <w:rsid w:val="00735F7B"/>
    <w:rsid w:val="007610A6"/>
    <w:rsid w:val="00766032"/>
    <w:rsid w:val="00787AF2"/>
    <w:rsid w:val="00787C5D"/>
    <w:rsid w:val="007930F3"/>
    <w:rsid w:val="007A6834"/>
    <w:rsid w:val="008046EB"/>
    <w:rsid w:val="00812AE4"/>
    <w:rsid w:val="008143CB"/>
    <w:rsid w:val="00890077"/>
    <w:rsid w:val="00893A00"/>
    <w:rsid w:val="00895307"/>
    <w:rsid w:val="008C5084"/>
    <w:rsid w:val="008D4020"/>
    <w:rsid w:val="008F18EF"/>
    <w:rsid w:val="0091437C"/>
    <w:rsid w:val="00917BB5"/>
    <w:rsid w:val="00917CA2"/>
    <w:rsid w:val="0092593E"/>
    <w:rsid w:val="00967D50"/>
    <w:rsid w:val="009731C4"/>
    <w:rsid w:val="00973FA0"/>
    <w:rsid w:val="00980851"/>
    <w:rsid w:val="00982F84"/>
    <w:rsid w:val="009836A4"/>
    <w:rsid w:val="009852C7"/>
    <w:rsid w:val="0098649A"/>
    <w:rsid w:val="00992628"/>
    <w:rsid w:val="009E2F42"/>
    <w:rsid w:val="00A15F96"/>
    <w:rsid w:val="00A53A87"/>
    <w:rsid w:val="00A70CB8"/>
    <w:rsid w:val="00A75EBB"/>
    <w:rsid w:val="00AA10B5"/>
    <w:rsid w:val="00AA2A2D"/>
    <w:rsid w:val="00AB3ABF"/>
    <w:rsid w:val="00AB43D9"/>
    <w:rsid w:val="00AB686E"/>
    <w:rsid w:val="00AF2364"/>
    <w:rsid w:val="00B04F86"/>
    <w:rsid w:val="00B16C5C"/>
    <w:rsid w:val="00B36BC4"/>
    <w:rsid w:val="00B37A82"/>
    <w:rsid w:val="00B4185B"/>
    <w:rsid w:val="00BA151E"/>
    <w:rsid w:val="00BC064C"/>
    <w:rsid w:val="00BE5B4B"/>
    <w:rsid w:val="00C046E8"/>
    <w:rsid w:val="00C70023"/>
    <w:rsid w:val="00C70D64"/>
    <w:rsid w:val="00C717A1"/>
    <w:rsid w:val="00CA1F88"/>
    <w:rsid w:val="00D1471E"/>
    <w:rsid w:val="00D14837"/>
    <w:rsid w:val="00D2285F"/>
    <w:rsid w:val="00D5527C"/>
    <w:rsid w:val="00D567B3"/>
    <w:rsid w:val="00D577BE"/>
    <w:rsid w:val="00D650DC"/>
    <w:rsid w:val="00D736F6"/>
    <w:rsid w:val="00D73D7E"/>
    <w:rsid w:val="00D90205"/>
    <w:rsid w:val="00DA2A6D"/>
    <w:rsid w:val="00DB3248"/>
    <w:rsid w:val="00DB5160"/>
    <w:rsid w:val="00DF4FA5"/>
    <w:rsid w:val="00E100C3"/>
    <w:rsid w:val="00E13D8B"/>
    <w:rsid w:val="00E43D98"/>
    <w:rsid w:val="00E62586"/>
    <w:rsid w:val="00E712C1"/>
    <w:rsid w:val="00E84839"/>
    <w:rsid w:val="00E87DEE"/>
    <w:rsid w:val="00EA0AF4"/>
    <w:rsid w:val="00EA3933"/>
    <w:rsid w:val="00EB5DA7"/>
    <w:rsid w:val="00F128E8"/>
    <w:rsid w:val="00F176BB"/>
    <w:rsid w:val="00F3782E"/>
    <w:rsid w:val="00F40917"/>
    <w:rsid w:val="00F47DA3"/>
    <w:rsid w:val="00F749F5"/>
    <w:rsid w:val="00F84832"/>
    <w:rsid w:val="00FB4825"/>
    <w:rsid w:val="00FD02B5"/>
    <w:rsid w:val="00FD584F"/>
    <w:rsid w:val="00FE351E"/>
    <w:rsid w:val="02775C44"/>
    <w:rsid w:val="0E9D7094"/>
    <w:rsid w:val="16A6796B"/>
    <w:rsid w:val="1A265DBE"/>
    <w:rsid w:val="20527BD7"/>
    <w:rsid w:val="27981421"/>
    <w:rsid w:val="2F7028B6"/>
    <w:rsid w:val="33D14A98"/>
    <w:rsid w:val="45511525"/>
    <w:rsid w:val="4E0A44C1"/>
    <w:rsid w:val="4EB014B3"/>
    <w:rsid w:val="510C231B"/>
    <w:rsid w:val="59F77683"/>
    <w:rsid w:val="5A9D7120"/>
    <w:rsid w:val="60A81C41"/>
    <w:rsid w:val="6C46529C"/>
    <w:rsid w:val="73C43FBE"/>
    <w:rsid w:val="7D337EF4"/>
    <w:rsid w:val="7E145337"/>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2"/>
    <w:unhideWhenUsed/>
    <w:qFormat/>
    <w:uiPriority w:val="99"/>
    <w:pPr>
      <w:jc w:val="left"/>
    </w:pPr>
  </w:style>
  <w:style w:type="paragraph" w:styleId="4">
    <w:name w:val="Balloon Text"/>
    <w:basedOn w:val="1"/>
    <w:link w:val="13"/>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kern w:val="0"/>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unhideWhenUsed/>
    <w:qFormat/>
    <w:uiPriority w:val="99"/>
    <w:rPr>
      <w:sz w:val="21"/>
      <w:szCs w:val="21"/>
    </w:rPr>
  </w:style>
  <w:style w:type="character" w:customStyle="1" w:styleId="11">
    <w:name w:val="标题 1 字符"/>
    <w:link w:val="2"/>
    <w:qFormat/>
    <w:uiPriority w:val="9"/>
    <w:rPr>
      <w:b/>
      <w:bCs/>
      <w:kern w:val="44"/>
      <w:sz w:val="44"/>
      <w:szCs w:val="44"/>
    </w:rPr>
  </w:style>
  <w:style w:type="character" w:customStyle="1" w:styleId="12">
    <w:name w:val="批注文字 字符"/>
    <w:link w:val="3"/>
    <w:semiHidden/>
    <w:qFormat/>
    <w:uiPriority w:val="99"/>
    <w:rPr>
      <w:kern w:val="2"/>
      <w:sz w:val="21"/>
      <w:szCs w:val="22"/>
    </w:rPr>
  </w:style>
  <w:style w:type="character" w:customStyle="1" w:styleId="13">
    <w:name w:val="批注框文本 字符"/>
    <w:link w:val="4"/>
    <w:semiHidden/>
    <w:qFormat/>
    <w:uiPriority w:val="99"/>
    <w:rPr>
      <w:kern w:val="2"/>
      <w:sz w:val="18"/>
      <w:szCs w:val="18"/>
    </w:rPr>
  </w:style>
  <w:style w:type="character" w:customStyle="1" w:styleId="14">
    <w:name w:val="页脚 字符"/>
    <w:link w:val="5"/>
    <w:qFormat/>
    <w:uiPriority w:val="99"/>
    <w:rPr>
      <w:sz w:val="18"/>
      <w:szCs w:val="18"/>
    </w:rPr>
  </w:style>
  <w:style w:type="character" w:customStyle="1" w:styleId="15">
    <w:name w:val="页眉 字符"/>
    <w:link w:val="6"/>
    <w:qFormat/>
    <w:uiPriority w:val="99"/>
    <w:rPr>
      <w:sz w:val="18"/>
      <w:szCs w:val="18"/>
    </w:rPr>
  </w:style>
  <w:style w:type="paragraph" w:styleId="16">
    <w:name w:val="List Paragraph"/>
    <w:basedOn w:val="1"/>
    <w:qFormat/>
    <w:uiPriority w:val="99"/>
    <w:pPr>
      <w:spacing w:after="160" w:line="259" w:lineRule="auto"/>
      <w:ind w:left="720"/>
      <w:contextualSpacing/>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26</Pages>
  <Words>11711</Words>
  <Characters>17207</Characters>
  <Lines>161</Lines>
  <Paragraphs>45</Paragraphs>
  <TotalTime>3</TotalTime>
  <ScaleCrop>false</ScaleCrop>
  <LinksUpToDate>false</LinksUpToDate>
  <CharactersWithSpaces>19466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2023-11-22T03:06:00Z</dcterms:created>
  <dc:creator>Sky123.Org</dc:creator>
  <cp:lastModifiedBy>WE</cp:lastModifiedBy>
  <cp:lastPrinted>2020-06-15T03:32:00Z</cp:lastPrinted>
  <dcterms:modified xsi:type="dcterms:W3CDTF">2024-06-28T07:52:28Z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0070F627B1484F98B6B5D4A1BEE267A5_13</vt:lpwstr>
  </property>
</Properties>
</file>