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黑体" w:hAnsi="黑体" w:eastAsia="黑体" w:cs="黑体"/>
        </w:rPr>
      </w:pPr>
      <w:r>
        <w:rPr>
          <w:rFonts w:hint="eastAsia" w:ascii="黑体" w:hAnsi="黑体" w:eastAsia="黑体" w:cs="黑体"/>
        </w:rPr>
        <w:t>深圳市儿童医院设备采购需求参数表</w:t>
      </w:r>
    </w:p>
    <w:tbl>
      <w:tblPr>
        <w:tblStyle w:val="8"/>
        <w:tblW w:w="97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4"/>
        <w:gridCol w:w="1236"/>
        <w:gridCol w:w="7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44" w:type="dxa"/>
            <w:shd w:val="clear" w:color="000000" w:fill="FFFFFF"/>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序号</w:t>
            </w:r>
          </w:p>
        </w:tc>
        <w:tc>
          <w:tcPr>
            <w:tcW w:w="1236" w:type="dxa"/>
            <w:shd w:val="clear" w:color="000000" w:fill="FFFFFF"/>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项目名称</w:t>
            </w:r>
          </w:p>
        </w:tc>
        <w:tc>
          <w:tcPr>
            <w:tcW w:w="7786" w:type="dxa"/>
            <w:shd w:val="clear" w:color="000000" w:fill="FFFFFF"/>
            <w:vAlign w:val="center"/>
          </w:tcPr>
          <w:p>
            <w:pPr>
              <w:widowControl/>
              <w:jc w:val="center"/>
              <w:rPr>
                <w:rFonts w:ascii="宋体" w:hAnsi="宋体" w:cs="宋体"/>
                <w:b/>
                <w:bCs/>
                <w:color w:val="000000" w:themeColor="text1"/>
                <w:kern w:val="0"/>
                <w:sz w:val="22"/>
                <w:szCs w:val="22"/>
                <w14:textFill>
                  <w14:solidFill>
                    <w14:schemeClr w14:val="tx1"/>
                  </w14:solidFill>
                </w14:textFill>
              </w:rPr>
            </w:pPr>
            <w:r>
              <w:rPr>
                <w:rFonts w:hint="eastAsia" w:ascii="宋体" w:hAnsi="宋体" w:cs="宋体"/>
                <w:b/>
                <w:bCs/>
                <w:color w:val="000000" w:themeColor="text1"/>
                <w:kern w:val="0"/>
                <w:sz w:val="22"/>
                <w:szCs w:val="22"/>
                <w14:textFill>
                  <w14:solidFill>
                    <w14:schemeClr w14:val="tx1"/>
                  </w14:solidFill>
                </w14:textFill>
              </w:rPr>
              <w:t>招标事项及要求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restart"/>
            <w:shd w:val="clear" w:color="000000" w:fill="FFFFFF"/>
            <w:vAlign w:val="center"/>
          </w:tcPr>
          <w:p>
            <w:pPr>
              <w:jc w:val="center"/>
              <w:rPr>
                <w:rFonts w:ascii="Times New Roman" w:hAnsi="Times New Roman"/>
                <w:b/>
                <w:bCs/>
                <w:color w:val="3F3F3F"/>
                <w:kern w:val="0"/>
                <w:sz w:val="22"/>
              </w:rPr>
            </w:pPr>
            <w:r>
              <w:rPr>
                <w:rFonts w:ascii="Times New Roman" w:hAnsi="Times New Roman"/>
                <w:b/>
                <w:bCs/>
                <w:color w:val="3F3F3F"/>
                <w:kern w:val="0"/>
                <w:sz w:val="22"/>
              </w:rPr>
              <w:t>1</w:t>
            </w:r>
          </w:p>
        </w:tc>
        <w:tc>
          <w:tcPr>
            <w:tcW w:w="1236" w:type="dxa"/>
            <w:vMerge w:val="restart"/>
            <w:shd w:val="clear" w:color="000000" w:fill="FFFFFF"/>
            <w:vAlign w:val="center"/>
          </w:tcPr>
          <w:p>
            <w:pPr>
              <w:jc w:val="center"/>
              <w:rPr>
                <w:rFonts w:ascii="Times New Roman" w:hAnsi="Times New Roman"/>
                <w:b/>
                <w:bCs/>
                <w:color w:val="3F3F3F"/>
                <w:kern w:val="0"/>
                <w:sz w:val="22"/>
              </w:rPr>
            </w:pPr>
            <w:r>
              <w:rPr>
                <w:rFonts w:ascii="Times New Roman" w:hAnsi="Times New Roman"/>
                <w:b/>
                <w:bCs/>
                <w:color w:val="3F3F3F"/>
                <w:kern w:val="0"/>
                <w:sz w:val="22"/>
              </w:rPr>
              <w:t>通风柜</w:t>
            </w:r>
          </w:p>
        </w:tc>
        <w:tc>
          <w:tcPr>
            <w:tcW w:w="7786" w:type="dxa"/>
            <w:shd w:val="clear" w:color="000000" w:fill="FFFFFF"/>
            <w:vAlign w:val="center"/>
          </w:tcPr>
          <w:p>
            <w:pPr>
              <w:widowControl/>
              <w:jc w:val="left"/>
              <w:rPr>
                <w:rFonts w:ascii="宋体" w:hAnsi="宋体" w:cs="宋体"/>
                <w:b/>
                <w:bCs/>
                <w:color w:val="3F3F3F"/>
                <w:kern w:val="0"/>
                <w:sz w:val="22"/>
              </w:rPr>
            </w:pPr>
            <w:r>
              <w:rPr>
                <w:rFonts w:hint="eastAsia" w:ascii="宋体" w:hAnsi="宋体" w:cs="宋体"/>
                <w:b/>
                <w:bCs/>
                <w:color w:val="3F3F3F"/>
                <w:kern w:val="0"/>
                <w:sz w:val="22"/>
              </w:rPr>
              <w:t>一、技术参数：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shd w:val="clear" w:color="000000" w:fill="FFFFFF"/>
            <w:vAlign w:val="center"/>
          </w:tcPr>
          <w:p>
            <w:pPr>
              <w:widowControl/>
              <w:jc w:val="center"/>
              <w:rPr>
                <w:rFonts w:ascii="宋体" w:hAnsi="宋体" w:cs="宋体"/>
                <w:color w:val="3F3F3F"/>
                <w:kern w:val="0"/>
                <w:sz w:val="24"/>
                <w:szCs w:val="24"/>
              </w:rPr>
            </w:pPr>
          </w:p>
        </w:tc>
        <w:tc>
          <w:tcPr>
            <w:tcW w:w="1236" w:type="dxa"/>
            <w:vMerge w:val="continue"/>
            <w:shd w:val="clear" w:color="000000" w:fill="FFFFFF"/>
            <w:vAlign w:val="center"/>
          </w:tcPr>
          <w:p>
            <w:pPr>
              <w:widowControl/>
              <w:jc w:val="center"/>
              <w:rPr>
                <w:rFonts w:ascii="宋体" w:hAnsi="宋体" w:cs="宋体"/>
                <w:color w:val="3F3F3F"/>
                <w:kern w:val="0"/>
                <w:sz w:val="24"/>
                <w:szCs w:val="24"/>
              </w:rPr>
            </w:pPr>
          </w:p>
        </w:tc>
        <w:tc>
          <w:tcPr>
            <w:tcW w:w="7786" w:type="dxa"/>
            <w:shd w:val="clear" w:color="000000" w:fill="FFFFFF"/>
            <w:vAlign w:val="center"/>
          </w:tcPr>
          <w:p>
            <w:pPr>
              <w:rPr>
                <w:rFonts w:ascii="宋体" w:hAnsi="宋体" w:cs="宋体"/>
                <w:color w:val="3F3F3F"/>
                <w:kern w:val="0"/>
                <w:sz w:val="22"/>
              </w:rPr>
            </w:pPr>
            <w:r>
              <w:rPr>
                <w:rFonts w:hint="eastAsia" w:ascii="宋体" w:hAnsi="宋体" w:cs="宋体"/>
                <w:sz w:val="22"/>
              </w:rPr>
              <w:t>1.产品规格： 按场地尺寸可定制，约1500*900*2350(长*宽*高)。用电：220V.排风口:约250mm.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sz w:val="22"/>
              </w:rPr>
            </w:pPr>
            <w:r>
              <w:rPr>
                <w:rFonts w:hint="eastAsia" w:ascii="宋体" w:hAnsi="宋体" w:cs="宋体"/>
                <w:sz w:val="22"/>
              </w:rPr>
              <w:t>2.功能：有效排除实验室过程中有毒有害气体,保护操作人员的安全。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color w:val="3F3F3F"/>
                <w:kern w:val="0"/>
                <w:sz w:val="22"/>
              </w:rPr>
            </w:pPr>
            <w:r>
              <w:rPr>
                <w:rFonts w:hint="eastAsia" w:ascii="宋体" w:hAnsi="宋体" w:cs="宋体"/>
                <w:sz w:val="22"/>
              </w:rPr>
              <w:t xml:space="preserve">3.风速：0.3-0.8米/秒,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widowControl/>
              <w:jc w:val="left"/>
              <w:rPr>
                <w:rFonts w:ascii="宋体" w:hAnsi="宋体" w:cs="宋体"/>
                <w:color w:val="3F3F3F"/>
                <w:kern w:val="0"/>
                <w:sz w:val="22"/>
              </w:rPr>
            </w:pPr>
            <w:r>
              <w:rPr>
                <w:rFonts w:hint="eastAsia" w:ascii="宋体" w:hAnsi="宋体" w:cs="宋体"/>
                <w:sz w:val="22"/>
              </w:rPr>
              <w:t>4.噪音：≤60db（国标）；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widowControl/>
              <w:jc w:val="left"/>
              <w:rPr>
                <w:rFonts w:ascii="宋体" w:hAnsi="宋体" w:cs="宋体"/>
                <w:color w:val="3F3F3F"/>
                <w:kern w:val="0"/>
                <w:sz w:val="22"/>
              </w:rPr>
            </w:pPr>
            <w:r>
              <w:rPr>
                <w:rFonts w:hint="eastAsia" w:ascii="宋体" w:hAnsi="宋体" w:cs="宋体"/>
                <w:b/>
                <w:sz w:val="22"/>
              </w:rPr>
              <w:t>5.上部结构：</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1" w:firstLineChars="128"/>
              <w:rPr>
                <w:rFonts w:ascii="宋体" w:hAnsi="宋体" w:cs="宋体"/>
                <w:color w:val="3F3F3F"/>
                <w:kern w:val="0"/>
                <w:sz w:val="22"/>
              </w:rPr>
            </w:pPr>
            <w:r>
              <w:rPr>
                <w:rFonts w:hint="eastAsia" w:ascii="宋体" w:hAnsi="宋体" w:cs="宋体"/>
                <w:sz w:val="22"/>
              </w:rPr>
              <w:t>5.1.外层为厚度≥1.2mm</w:t>
            </w:r>
            <w:r>
              <w:rPr>
                <w:rFonts w:hint="eastAsia" w:ascii="宋体" w:hAnsi="宋体" w:cs="宋体"/>
                <w:kern w:val="0"/>
                <w:sz w:val="22"/>
              </w:rPr>
              <w:t>国标</w:t>
            </w:r>
            <w:r>
              <w:rPr>
                <w:rFonts w:hint="eastAsia" w:ascii="宋体" w:hAnsi="宋体" w:cs="宋体"/>
                <w:sz w:val="22"/>
              </w:rPr>
              <w:t>冷轧钢板表面经耐酸碱环氧树脂粉末喷涂处理；内层为≥5mm厚抗腐蚀抗倍特板；</w:t>
            </w:r>
            <w:r>
              <w:rPr>
                <w:rFonts w:hint="eastAsia" w:ascii="宋体" w:hAnsi="宋体" w:cs="宋体"/>
                <w:color w:val="000000"/>
                <w:kern w:val="0"/>
                <w:sz w:val="22"/>
              </w:rPr>
              <w:t>两层之间为全钢框架、全钢固定件和公用设备管道、配件等</w:t>
            </w:r>
            <w:r>
              <w:rPr>
                <w:rFonts w:hint="eastAsia" w:ascii="宋体" w:hAnsi="宋体" w:cs="宋体"/>
                <w:sz w:val="22"/>
              </w:rPr>
              <w:t>，经耐酸碱环氧树脂粉末喷涂处理。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1" w:firstLineChars="128"/>
              <w:rPr>
                <w:rFonts w:ascii="宋体" w:hAnsi="宋体" w:cs="宋体"/>
                <w:color w:val="3F3F3F"/>
                <w:kern w:val="0"/>
                <w:sz w:val="22"/>
              </w:rPr>
            </w:pPr>
            <w:r>
              <w:rPr>
                <w:rFonts w:hint="eastAsia" w:ascii="宋体" w:hAnsi="宋体" w:cs="宋体"/>
                <w:sz w:val="22"/>
              </w:rPr>
              <w:t>5.2.</w:t>
            </w:r>
            <w:r>
              <w:rPr>
                <w:rFonts w:hint="eastAsia" w:ascii="宋体" w:hAnsi="宋体" w:cs="宋体"/>
                <w:color w:val="000000"/>
                <w:kern w:val="0"/>
                <w:sz w:val="22"/>
              </w:rPr>
              <w:t>框架、采用约60*40*2.0mm钢制方通，表面采用环氧树脂粉末静电喷涂。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1" w:firstLineChars="128"/>
              <w:rPr>
                <w:rFonts w:ascii="宋体" w:hAnsi="宋体" w:cs="宋体"/>
                <w:sz w:val="22"/>
              </w:rPr>
            </w:pPr>
            <w:r>
              <w:rPr>
                <w:rFonts w:hint="eastAsia" w:ascii="宋体" w:hAnsi="宋体" w:cs="宋体"/>
                <w:sz w:val="22"/>
              </w:rPr>
              <w:t>5.3台面要求：黑色</w:t>
            </w:r>
          </w:p>
          <w:p>
            <w:pPr>
              <w:rPr>
                <w:rFonts w:ascii="宋体" w:hAnsi="宋体" w:cs="宋体"/>
                <w:sz w:val="22"/>
              </w:rPr>
            </w:pPr>
            <w:r>
              <w:rPr>
                <w:rFonts w:hint="eastAsia" w:ascii="宋体" w:hAnsi="宋体" w:cs="宋体"/>
                <w:sz w:val="22"/>
              </w:rPr>
              <w:t>5.3.1实验台采用≥15mm厚一体实芯烧制实验室专用陶瓷台面,耐强腐蚀，耐高温，耐磨，便于清洁，不变形变色，美观大方，安全环保，免维护。为确保产品的稳定性：投标人投标时须提供 ：台面板生产厂家出具的产品授权使用证明及符合以上所有台面技术参数指标的检测报告复印件，并加盖生产厂家公章；并在复印件上有标明本项目专用的字样。</w:t>
            </w:r>
          </w:p>
          <w:p>
            <w:pPr>
              <w:ind w:firstLine="281" w:firstLineChars="128"/>
              <w:rPr>
                <w:rFonts w:ascii="宋体" w:hAnsi="宋体" w:cs="宋体"/>
                <w:sz w:val="22"/>
              </w:rPr>
            </w:pPr>
            <w:r>
              <w:rPr>
                <w:rFonts w:hint="eastAsia" w:ascii="宋体" w:hAnsi="宋体" w:cs="宋体"/>
                <w:sz w:val="22"/>
              </w:rPr>
              <w:t>5.3.2、耐酸碱腐蚀性：参照SEFA 3-2010要求，共计49种试剂，其中48种试剂结果为0级，需提供第三方权威检测机构出具的检测报告。</w:t>
            </w:r>
          </w:p>
          <w:p>
            <w:pPr>
              <w:ind w:firstLine="281" w:firstLineChars="128"/>
              <w:rPr>
                <w:rFonts w:ascii="宋体" w:hAnsi="宋体" w:cs="宋体"/>
                <w:sz w:val="22"/>
              </w:rPr>
            </w:pPr>
            <w:r>
              <w:rPr>
                <w:rFonts w:hint="eastAsia" w:ascii="宋体" w:hAnsi="宋体" w:cs="宋体"/>
                <w:sz w:val="22"/>
              </w:rPr>
              <w:t>▲5.3.3、抗冲击性要求：参照GB/T 3810.5-2016要求，检测结果为：≥0.86，需提供第三方权威检测机构出具的有CMA或CNAS标识的检测报告</w:t>
            </w:r>
          </w:p>
          <w:p>
            <w:pPr>
              <w:ind w:firstLine="281" w:firstLineChars="128"/>
              <w:rPr>
                <w:rFonts w:ascii="宋体" w:hAnsi="宋体" w:cs="宋体"/>
                <w:sz w:val="22"/>
              </w:rPr>
            </w:pPr>
            <w:r>
              <w:rPr>
                <w:rFonts w:hint="eastAsia" w:ascii="宋体" w:hAnsi="宋体" w:cs="宋体"/>
                <w:sz w:val="22"/>
              </w:rPr>
              <w:t>▲5.3.4、断裂模数要求：参照GB/T 3810.4-2016要求，检测结果为：平均值为≥60Mpa，需提供第三方权威检测机构出具的有CMA或CNAS标识的检测报告</w:t>
            </w:r>
          </w:p>
          <w:p>
            <w:pPr>
              <w:ind w:firstLine="281" w:firstLineChars="128"/>
              <w:rPr>
                <w:rFonts w:ascii="宋体" w:hAnsi="宋体" w:cs="宋体"/>
                <w:sz w:val="22"/>
              </w:rPr>
            </w:pPr>
            <w:r>
              <w:rPr>
                <w:rFonts w:hint="eastAsia" w:ascii="宋体" w:hAnsi="宋体" w:cs="宋体"/>
                <w:sz w:val="22"/>
              </w:rPr>
              <w:t>5.3.5、耐磨要求：参照GB/T 3810.7-2016要求，检测结果为：≥4级/2100转，需提供第三方权威检测机构出具的有CMA或CNAS标识的检测报告</w:t>
            </w:r>
          </w:p>
          <w:p>
            <w:pPr>
              <w:ind w:firstLine="281" w:firstLineChars="128"/>
              <w:rPr>
                <w:rFonts w:ascii="宋体" w:hAnsi="宋体" w:cs="宋体"/>
                <w:sz w:val="22"/>
              </w:rPr>
            </w:pPr>
            <w:r>
              <w:rPr>
                <w:rFonts w:hint="eastAsia" w:ascii="宋体" w:hAnsi="宋体" w:cs="宋体"/>
                <w:sz w:val="22"/>
              </w:rPr>
              <w:t>5.3.6、放射性要求：参照GB 6566-2010要求，检测结果为：內照指数为：≤0.1，外照指数为：≤0.1，需提供第三方权威检测机构出具的有CMA或CNAS标识的检测报告</w:t>
            </w:r>
          </w:p>
          <w:p>
            <w:pPr>
              <w:ind w:firstLine="281" w:firstLineChars="128"/>
              <w:rPr>
                <w:rFonts w:ascii="宋体" w:hAnsi="宋体" w:cs="宋体"/>
                <w:color w:val="3F3F3F"/>
                <w:kern w:val="0"/>
                <w:sz w:val="22"/>
              </w:rPr>
            </w:pPr>
            <w:r>
              <w:rPr>
                <w:rFonts w:hint="eastAsia" w:ascii="宋体" w:hAnsi="宋体" w:cs="宋体"/>
                <w:color w:val="FF0000"/>
                <w:sz w:val="22"/>
              </w:rPr>
              <w:t>▲</w:t>
            </w:r>
            <w:r>
              <w:rPr>
                <w:rFonts w:hint="eastAsia" w:ascii="宋体" w:hAnsi="宋体" w:cs="宋体"/>
                <w:sz w:val="22"/>
              </w:rPr>
              <w:t>5.3.7、承载性能要求：参照T/CIQA 10-2020要求，在样品上均匀施加≥720kg载荷，保载≥600H，样品未破损，需提供第三方权威检测机构出具的有CMA或CNAS标识的检测报告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1" w:firstLineChars="128"/>
              <w:rPr>
                <w:rFonts w:ascii="宋体" w:hAnsi="宋体" w:cs="宋体"/>
                <w:color w:val="3F3F3F"/>
                <w:kern w:val="0"/>
                <w:sz w:val="22"/>
              </w:rPr>
            </w:pPr>
            <w:r>
              <w:rPr>
                <w:rFonts w:hint="eastAsia" w:ascii="宋体" w:hAnsi="宋体" w:cs="宋体"/>
                <w:sz w:val="22"/>
              </w:rPr>
              <w:t>5.4.视窗：采用≥5mm厚钢化防爆玻璃，采用垂体平衡装置可悬停在任何开启高度。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1" w:firstLineChars="128"/>
              <w:rPr>
                <w:rFonts w:ascii="宋体" w:hAnsi="宋体" w:cs="宋体"/>
                <w:sz w:val="22"/>
              </w:rPr>
            </w:pPr>
            <w:r>
              <w:rPr>
                <w:rFonts w:hint="eastAsia" w:ascii="宋体" w:hAnsi="宋体" w:cs="宋体"/>
                <w:sz w:val="22"/>
              </w:rPr>
              <w:t>5.5自动门：带自动门控制系统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1" w:firstLineChars="128"/>
              <w:rPr>
                <w:rFonts w:ascii="宋体" w:hAnsi="宋体" w:cs="宋体"/>
                <w:color w:val="3F3F3F"/>
                <w:kern w:val="0"/>
                <w:sz w:val="22"/>
              </w:rPr>
            </w:pPr>
            <w:r>
              <w:rPr>
                <w:rFonts w:hint="eastAsia" w:ascii="宋体" w:hAnsi="宋体" w:cs="宋体"/>
                <w:sz w:val="22"/>
              </w:rPr>
              <w:t>5.6.</w:t>
            </w:r>
            <w:r>
              <w:rPr>
                <w:rFonts w:hint="eastAsia" w:ascii="宋体" w:hAnsi="宋体" w:cs="宋体"/>
                <w:color w:val="000000"/>
                <w:kern w:val="0"/>
                <w:sz w:val="22"/>
              </w:rPr>
              <w:t>移门拉手：和移门同宽，材质可以是塑料、不锈钢或环氧树脂漆喷涂金属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1" w:firstLineChars="128"/>
              <w:rPr>
                <w:rFonts w:ascii="宋体" w:hAnsi="宋体" w:cs="宋体"/>
                <w:color w:val="3F3F3F"/>
                <w:kern w:val="0"/>
                <w:sz w:val="22"/>
              </w:rPr>
            </w:pPr>
            <w:r>
              <w:rPr>
                <w:rFonts w:hint="eastAsia" w:ascii="宋体" w:hAnsi="宋体" w:cs="宋体"/>
                <w:sz w:val="22"/>
              </w:rPr>
              <w:t>5.7.照明：采用LED节能灯管装于通风柜顶部，由玻璃罩与通风柜内部隔离，防蒸汽，照度照度300LUX。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1" w:firstLineChars="128"/>
              <w:rPr>
                <w:rFonts w:ascii="宋体" w:hAnsi="宋体" w:cs="宋体"/>
                <w:sz w:val="22"/>
              </w:rPr>
            </w:pPr>
            <w:r>
              <w:rPr>
                <w:rFonts w:hint="eastAsia" w:ascii="宋体" w:hAnsi="宋体" w:cs="宋体"/>
                <w:sz w:val="22"/>
              </w:rPr>
              <w:t>5.8电 源：采用220V/10A实验室二三插座。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3" w:firstLineChars="128"/>
              <w:rPr>
                <w:rFonts w:ascii="宋体" w:hAnsi="宋体" w:cs="宋体"/>
                <w:sz w:val="22"/>
              </w:rPr>
            </w:pPr>
            <w:r>
              <w:rPr>
                <w:rFonts w:hint="eastAsia" w:ascii="宋体" w:hAnsi="宋体" w:cs="宋体"/>
                <w:b/>
                <w:sz w:val="22"/>
              </w:rPr>
              <w:t>6.下部结构：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ind w:firstLine="281" w:firstLineChars="128"/>
              <w:rPr>
                <w:rFonts w:ascii="宋体" w:hAnsi="宋体" w:cs="宋体"/>
                <w:sz w:val="22"/>
              </w:rPr>
            </w:pPr>
            <w:r>
              <w:rPr>
                <w:rFonts w:hint="eastAsia" w:ascii="宋体" w:hAnsi="宋体" w:cs="宋体"/>
                <w:sz w:val="22"/>
              </w:rPr>
              <w:t>6.1底柜采用≥1.0mm厚优质冷轧钢板，防爆阻燃,底柜内设有一层活动搁板，以便分层放置器材等物品；下柜背板为活动可拆式，方便水、电维修；底柜隔板采用≥1.0mm厚优质冷轧钢板。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sz w:val="22"/>
              </w:rPr>
            </w:pPr>
            <w:r>
              <w:rPr>
                <w:rFonts w:hint="eastAsia" w:ascii="宋体" w:hAnsi="宋体" w:cs="宋体"/>
                <w:b/>
                <w:sz w:val="22"/>
              </w:rPr>
              <w:t>7.通风柜VAV控制系统：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sz w:val="22"/>
              </w:rPr>
            </w:pPr>
            <w:r>
              <w:rPr>
                <w:rFonts w:hint="eastAsia" w:ascii="宋体" w:hAnsi="宋体" w:cs="宋体"/>
                <w:kern w:val="0"/>
                <w:sz w:val="22"/>
              </w:rPr>
              <w:t>7.1</w:t>
            </w:r>
            <w:r>
              <w:rPr>
                <w:rFonts w:hint="eastAsia" w:ascii="宋体" w:hAnsi="宋体" w:cs="宋体"/>
                <w:sz w:val="22"/>
              </w:rPr>
              <w:t>控制系统满足以下功能要求:</w:t>
            </w:r>
          </w:p>
          <w:p>
            <w:pPr>
              <w:rPr>
                <w:rFonts w:ascii="宋体" w:hAnsi="宋体" w:cs="宋体"/>
                <w:sz w:val="22"/>
              </w:rPr>
            </w:pPr>
            <w:r>
              <w:rPr>
                <w:rFonts w:hint="eastAsia" w:ascii="宋体" w:hAnsi="宋体" w:cs="宋体"/>
                <w:sz w:val="22"/>
              </w:rPr>
              <w:t>7.1.1、自动调节以恒定不同状态下的安全面风速控制要求；</w:t>
            </w:r>
          </w:p>
          <w:p>
            <w:pPr>
              <w:rPr>
                <w:rFonts w:ascii="宋体" w:hAnsi="宋体" w:cs="宋体"/>
                <w:sz w:val="22"/>
              </w:rPr>
            </w:pPr>
            <w:r>
              <w:rPr>
                <w:rFonts w:hint="eastAsia" w:ascii="宋体" w:hAnsi="宋体" w:cs="宋体"/>
                <w:sz w:val="22"/>
              </w:rPr>
              <w:t>7.1.2、通风柜变风量控制提升通风柜安全性能，同时有效降低运行费用；</w:t>
            </w:r>
          </w:p>
          <w:p>
            <w:pPr>
              <w:rPr>
                <w:rFonts w:ascii="宋体" w:hAnsi="宋体" w:cs="宋体"/>
                <w:sz w:val="22"/>
              </w:rPr>
            </w:pPr>
            <w:r>
              <w:rPr>
                <w:rFonts w:hint="eastAsia" w:ascii="宋体" w:hAnsi="宋体" w:cs="宋体"/>
                <w:sz w:val="22"/>
              </w:rPr>
              <w:t>7.1.3、快速响应变风量蝶阀提升系统的稳定性、快速响应及控制精度；</w:t>
            </w:r>
          </w:p>
          <w:p>
            <w:pPr>
              <w:rPr>
                <w:rFonts w:ascii="宋体" w:hAnsi="宋体" w:cs="宋体"/>
                <w:sz w:val="22"/>
              </w:rPr>
            </w:pPr>
            <w:r>
              <w:rPr>
                <w:rFonts w:hint="eastAsia" w:ascii="宋体" w:hAnsi="宋体" w:cs="宋体"/>
                <w:sz w:val="22"/>
              </w:rPr>
              <w:t>7.1.4、不安全状态下报警提醒用户；</w:t>
            </w:r>
          </w:p>
          <w:p>
            <w:pPr>
              <w:rPr>
                <w:rFonts w:ascii="宋体" w:hAnsi="宋体" w:cs="宋体"/>
                <w:sz w:val="22"/>
              </w:rPr>
            </w:pPr>
            <w:r>
              <w:rPr>
                <w:rFonts w:hint="eastAsia" w:ascii="宋体" w:hAnsi="宋体" w:cs="宋体"/>
                <w:sz w:val="22"/>
              </w:rPr>
              <w:t>7.1.5、支持意外一键紧急排放和一键节能功能；</w:t>
            </w:r>
          </w:p>
          <w:p>
            <w:pPr>
              <w:rPr>
                <w:rFonts w:ascii="宋体" w:hAnsi="宋体" w:cs="宋体"/>
                <w:sz w:val="22"/>
              </w:rPr>
            </w:pPr>
            <w:r>
              <w:rPr>
                <w:rFonts w:hint="eastAsia" w:ascii="宋体" w:hAnsi="宋体" w:cs="宋体"/>
                <w:sz w:val="22"/>
              </w:rPr>
              <w:t>7.1.6、支持移门开度过高报警提醒用户；</w:t>
            </w:r>
          </w:p>
          <w:p>
            <w:pPr>
              <w:rPr>
                <w:rFonts w:ascii="宋体" w:hAnsi="宋体" w:cs="宋体"/>
                <w:sz w:val="22"/>
              </w:rPr>
            </w:pPr>
            <w:r>
              <w:rPr>
                <w:rFonts w:hint="eastAsia" w:ascii="宋体" w:hAnsi="宋体" w:cs="宋体"/>
                <w:sz w:val="22"/>
              </w:rPr>
              <w:t>7.1.7、支持面风速过低报警、缺风报警等功能；</w:t>
            </w:r>
          </w:p>
          <w:p>
            <w:pPr>
              <w:rPr>
                <w:rFonts w:ascii="宋体" w:hAnsi="宋体" w:cs="宋体"/>
                <w:sz w:val="22"/>
              </w:rPr>
            </w:pPr>
            <w:r>
              <w:rPr>
                <w:rFonts w:hint="eastAsia" w:ascii="宋体" w:hAnsi="宋体" w:cs="宋体"/>
                <w:sz w:val="22"/>
              </w:rPr>
              <w:t>7.1.8、便捷的触摸屏操作、支持就地参数设置；</w:t>
            </w:r>
          </w:p>
          <w:p>
            <w:pPr>
              <w:rPr>
                <w:rFonts w:ascii="宋体" w:hAnsi="宋体" w:cs="宋体"/>
                <w:sz w:val="22"/>
              </w:rPr>
            </w:pPr>
            <w:r>
              <w:rPr>
                <w:rFonts w:hint="eastAsia" w:ascii="宋体" w:hAnsi="宋体" w:cs="宋体"/>
                <w:sz w:val="22"/>
              </w:rPr>
              <w:t>7.1.9、系统具备开放式通讯协议，便捷接入自控系统和智慧实验室系统；</w:t>
            </w:r>
          </w:p>
          <w:p>
            <w:pPr>
              <w:rPr>
                <w:rFonts w:ascii="宋体" w:hAnsi="宋体" w:cs="宋体"/>
                <w:kern w:val="0"/>
                <w:sz w:val="22"/>
              </w:rPr>
            </w:pPr>
            <w:r>
              <w:rPr>
                <w:rFonts w:hint="eastAsia" w:ascii="宋体" w:hAnsi="宋体" w:cs="宋体"/>
                <w:sz w:val="22"/>
              </w:rPr>
              <w:t>7.1.10、投标单位提供承诺书或相关证明。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sz w:val="22"/>
              </w:rPr>
            </w:pPr>
            <w:r>
              <w:rPr>
                <w:rFonts w:hint="eastAsia" w:ascii="宋体" w:hAnsi="宋体" w:cs="宋体"/>
                <w:sz w:val="22"/>
              </w:rPr>
              <w:t>7.2变风量蝶阀</w:t>
            </w:r>
          </w:p>
          <w:p>
            <w:pPr>
              <w:rPr>
                <w:rFonts w:ascii="宋体" w:hAnsi="宋体" w:cs="宋体"/>
                <w:sz w:val="22"/>
              </w:rPr>
            </w:pPr>
            <w:r>
              <w:rPr>
                <w:rFonts w:hint="eastAsia" w:ascii="宋体" w:hAnsi="宋体" w:cs="宋体"/>
                <w:sz w:val="22"/>
              </w:rPr>
              <w:t>▲7.2.1、变风量蝶阀通过GB/T11547-2008耐化学试剂检测，并在投标文件中提供第三方权威机构出具的检测报告；</w:t>
            </w:r>
          </w:p>
          <w:p>
            <w:pPr>
              <w:rPr>
                <w:rFonts w:ascii="宋体" w:hAnsi="宋体" w:cs="宋体"/>
                <w:sz w:val="22"/>
              </w:rPr>
            </w:pPr>
            <w:r>
              <w:rPr>
                <w:rFonts w:hint="eastAsia" w:ascii="宋体" w:hAnsi="宋体" w:cs="宋体"/>
                <w:sz w:val="22"/>
              </w:rPr>
              <w:t>7.2.2、变风量蝶阀需获得JG/T436-2014风量与阀前静压无关性检测报告及漏风量检测报告，并在投标文件中提供第三方权威机构出具的检测报告；</w:t>
            </w:r>
          </w:p>
          <w:p>
            <w:pPr>
              <w:rPr>
                <w:rFonts w:ascii="宋体" w:hAnsi="宋体" w:cs="宋体"/>
                <w:sz w:val="22"/>
              </w:rPr>
            </w:pPr>
            <w:r>
              <w:rPr>
                <w:rFonts w:hint="eastAsia" w:ascii="宋体" w:hAnsi="宋体" w:cs="宋体"/>
                <w:sz w:val="22"/>
              </w:rPr>
              <w:t>7.2.3、变风量蝶阀阀体及控制盒需满足国标GB8624-2012，B1级防火规范要求，并在投标文件中提供第三方权威机构出具的检测报告；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sz w:val="22"/>
              </w:rPr>
            </w:pPr>
            <w:r>
              <w:rPr>
                <w:rFonts w:hint="eastAsia" w:ascii="宋体" w:hAnsi="宋体" w:cs="宋体"/>
                <w:sz w:val="22"/>
              </w:rPr>
              <w:t>7.3定风量排风蝶阀</w:t>
            </w:r>
          </w:p>
          <w:p>
            <w:pPr>
              <w:rPr>
                <w:rFonts w:ascii="宋体" w:hAnsi="宋体" w:cs="宋体"/>
                <w:sz w:val="22"/>
              </w:rPr>
            </w:pPr>
            <w:r>
              <w:rPr>
                <w:rFonts w:hint="eastAsia" w:ascii="宋体" w:hAnsi="宋体" w:cs="宋体"/>
                <w:sz w:val="22"/>
              </w:rPr>
              <w:t>▲7.3.1、定风量排风蝶阀需获得JG/T436-2014风量与阀前静压无关性检测报告，并在投标文件中提供第三方权威机构出具的检测报告。</w:t>
            </w:r>
          </w:p>
          <w:p>
            <w:pPr>
              <w:rPr>
                <w:rFonts w:ascii="宋体" w:hAnsi="宋体" w:cs="宋体"/>
                <w:sz w:val="22"/>
              </w:rPr>
            </w:pPr>
            <w:r>
              <w:rPr>
                <w:rFonts w:hint="eastAsia" w:ascii="宋体" w:hAnsi="宋体" w:cs="宋体"/>
                <w:sz w:val="22"/>
              </w:rPr>
              <w:t>7.3.2、变风量蝶阀执行器需满足：</w:t>
            </w:r>
          </w:p>
          <w:p>
            <w:pPr>
              <w:pStyle w:val="18"/>
              <w:numPr>
                <w:ilvl w:val="0"/>
                <w:numId w:val="1"/>
              </w:numPr>
              <w:snapToGrid w:val="0"/>
              <w:ind w:firstLineChars="0"/>
              <w:rPr>
                <w:rFonts w:ascii="宋体" w:hAnsi="宋体" w:cs="宋体"/>
                <w:sz w:val="22"/>
              </w:rPr>
            </w:pPr>
            <w:r>
              <w:rPr>
                <w:rFonts w:hint="eastAsia" w:ascii="宋体" w:hAnsi="宋体" w:cs="宋体"/>
                <w:kern w:val="0"/>
                <w:sz w:val="22"/>
              </w:rPr>
              <w:t>运行时间：执行器运行时间（0-90度）≤0.5S；</w:t>
            </w:r>
          </w:p>
          <w:p>
            <w:pPr>
              <w:pStyle w:val="18"/>
              <w:numPr>
                <w:ilvl w:val="0"/>
                <w:numId w:val="1"/>
              </w:numPr>
              <w:snapToGrid w:val="0"/>
              <w:ind w:firstLineChars="0"/>
              <w:rPr>
                <w:rFonts w:ascii="宋体" w:hAnsi="宋体" w:cs="宋体"/>
                <w:sz w:val="22"/>
              </w:rPr>
            </w:pPr>
            <w:r>
              <w:rPr>
                <w:rFonts w:hint="eastAsia" w:ascii="宋体" w:hAnsi="宋体" w:cs="宋体"/>
                <w:kern w:val="0"/>
                <w:sz w:val="22"/>
              </w:rPr>
              <w:t>老化等级：1000000次（连续运行老化测试一百万次）以上表示执行器之耐久性能；</w:t>
            </w:r>
          </w:p>
          <w:p>
            <w:pPr>
              <w:pStyle w:val="18"/>
              <w:numPr>
                <w:ilvl w:val="0"/>
                <w:numId w:val="1"/>
              </w:numPr>
              <w:snapToGrid w:val="0"/>
              <w:ind w:firstLineChars="0"/>
              <w:rPr>
                <w:rFonts w:ascii="宋体" w:hAnsi="宋体" w:cs="宋体"/>
                <w:sz w:val="22"/>
              </w:rPr>
            </w:pPr>
            <w:r>
              <w:rPr>
                <w:rFonts w:hint="eastAsia" w:ascii="宋体" w:hAnsi="宋体" w:cs="宋体"/>
                <w:kern w:val="0"/>
                <w:sz w:val="22"/>
              </w:rPr>
              <w:t>扭矩：≥5N.m表示其扭矩足够驱动风门；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kern w:val="0"/>
                <w:sz w:val="22"/>
              </w:rPr>
            </w:pPr>
            <w:r>
              <w:rPr>
                <w:rFonts w:hint="eastAsia" w:ascii="宋体" w:hAnsi="宋体" w:cs="宋体"/>
                <w:sz w:val="22"/>
              </w:rPr>
              <w:t>▲7.4以上参数需要求出具国际权威第三方检测机构出具之检测报告表示以上性能参数有效性；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sz w:val="22"/>
              </w:rPr>
            </w:pPr>
            <w:r>
              <w:rPr>
                <w:rFonts w:hint="eastAsia" w:ascii="宋体" w:hAnsi="宋体" w:cs="宋体"/>
                <w:sz w:val="22"/>
              </w:rPr>
              <w:t>7.5为保证产品质量及售后服务维修需要，需要提供原厂家的授权委托书</w:t>
            </w:r>
          </w:p>
          <w:p>
            <w:pPr>
              <w:rPr>
                <w:rFonts w:ascii="宋体" w:hAnsi="宋体" w:cs="宋体"/>
                <w:sz w:val="22"/>
              </w:rPr>
            </w:pPr>
            <w:r>
              <w:rPr>
                <w:rFonts w:hint="eastAsia" w:ascii="宋体" w:hAnsi="宋体" w:cs="宋体"/>
                <w:sz w:val="22"/>
              </w:rPr>
              <w:t>注：①为确保系统的稳定性和产品一致性，通风柜数显面板、柜门位移传感器、变风量蝶阀、压力无关型定风量排风蝶阀为同一品牌产品，投标厂家不可任意搭配，投标厂家需提供针对本项目的投标承诺书及供货产品履约保证书；</w:t>
            </w:r>
          </w:p>
          <w:p>
            <w:pPr>
              <w:rPr>
                <w:rFonts w:ascii="宋体" w:hAnsi="宋体" w:cs="宋体"/>
                <w:sz w:val="22"/>
              </w:rPr>
            </w:pPr>
            <w:r>
              <w:rPr>
                <w:rFonts w:hint="eastAsia" w:ascii="宋体" w:hAnsi="宋体" w:cs="宋体"/>
                <w:sz w:val="22"/>
              </w:rPr>
              <w:t>②投标单位需提供由控制系统制造商出具的针对本项目产品供货履约承诺书原件，售后承诺书原件并加盖制造商公章；</w:t>
            </w:r>
          </w:p>
          <w:p>
            <w:pPr>
              <w:rPr>
                <w:rFonts w:ascii="宋体" w:hAnsi="宋体" w:cs="宋体"/>
                <w:sz w:val="22"/>
              </w:rPr>
            </w:pPr>
            <w:r>
              <w:rPr>
                <w:rFonts w:hint="eastAsia" w:ascii="宋体" w:hAnsi="宋体" w:cs="宋体"/>
                <w:sz w:val="22"/>
              </w:rPr>
              <w:t>③需提供通风柜数显面板、柜门位移传感器、变风量蝶阀、压力无关型定风量排风蝶阀已公布的产品彩页，证明其性能符合标书要求；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sz w:val="22"/>
              </w:rPr>
            </w:pPr>
            <w:r>
              <w:rPr>
                <w:rFonts w:hint="eastAsia" w:ascii="宋体" w:hAnsi="宋体" w:cs="宋体"/>
                <w:sz w:val="22"/>
              </w:rPr>
              <w:t>7.6通风柜VAV控制系统其它要求</w:t>
            </w:r>
          </w:p>
          <w:p>
            <w:pPr>
              <w:rPr>
                <w:rFonts w:ascii="宋体" w:hAnsi="宋体" w:cs="宋体"/>
                <w:sz w:val="22"/>
              </w:rPr>
            </w:pPr>
            <w:r>
              <w:rPr>
                <w:rFonts w:hint="eastAsia" w:ascii="宋体" w:hAnsi="宋体" w:cs="宋体"/>
                <w:sz w:val="22"/>
              </w:rPr>
              <w:t>7.6.1、系统通风柜面风速控制器必须获得</w:t>
            </w:r>
            <w:r>
              <w:rPr>
                <w:rFonts w:hint="eastAsia" w:ascii="宋体" w:hAnsi="宋体" w:cs="宋体"/>
                <w:color w:val="FF0000"/>
                <w:sz w:val="22"/>
              </w:rPr>
              <w:t>CCC/CQC</w:t>
            </w:r>
            <w:r>
              <w:rPr>
                <w:rFonts w:hint="eastAsia" w:ascii="宋体" w:hAnsi="宋体" w:cs="宋体"/>
                <w:sz w:val="22"/>
              </w:rPr>
              <w:t>、CE、ROHS,FCC,电磁兼容试验检测报告；原件备查</w:t>
            </w:r>
          </w:p>
          <w:p>
            <w:pPr>
              <w:rPr>
                <w:rFonts w:ascii="宋体" w:hAnsi="宋体" w:cs="宋体"/>
                <w:sz w:val="22"/>
              </w:rPr>
            </w:pPr>
            <w:r>
              <w:rPr>
                <w:rFonts w:hint="eastAsia" w:ascii="宋体" w:hAnsi="宋体" w:cs="宋体"/>
                <w:sz w:val="22"/>
              </w:rPr>
              <w:t>7.6.2、变风量蝶阀（含执行器）必须获得</w:t>
            </w:r>
            <w:r>
              <w:rPr>
                <w:rFonts w:hint="eastAsia" w:ascii="宋体" w:hAnsi="宋体" w:cs="宋体"/>
                <w:color w:val="FF0000"/>
                <w:sz w:val="22"/>
              </w:rPr>
              <w:t>CCC/CQC</w:t>
            </w:r>
            <w:r>
              <w:rPr>
                <w:rFonts w:hint="eastAsia" w:ascii="宋体" w:hAnsi="宋体" w:cs="宋体"/>
                <w:sz w:val="22"/>
              </w:rPr>
              <w:t>、CE、ROHS,FCC认证，原件备查</w:t>
            </w:r>
          </w:p>
          <w:p>
            <w:pPr>
              <w:rPr>
                <w:rFonts w:ascii="宋体" w:hAnsi="宋体" w:cs="宋体"/>
                <w:sz w:val="22"/>
              </w:rPr>
            </w:pPr>
            <w:r>
              <w:rPr>
                <w:rFonts w:hint="eastAsia" w:ascii="宋体" w:hAnsi="宋体" w:cs="宋体"/>
                <w:sz w:val="22"/>
              </w:rPr>
              <w:t>7.6.3、面风速传感器必须获得</w:t>
            </w:r>
            <w:r>
              <w:rPr>
                <w:rFonts w:hint="eastAsia" w:ascii="宋体" w:hAnsi="宋体" w:cs="宋体"/>
                <w:color w:val="FF0000"/>
                <w:sz w:val="22"/>
              </w:rPr>
              <w:t>CCC/CQC</w:t>
            </w:r>
            <w:r>
              <w:rPr>
                <w:rFonts w:hint="eastAsia" w:ascii="宋体" w:hAnsi="宋体" w:cs="宋体"/>
                <w:sz w:val="22"/>
              </w:rPr>
              <w:t>、CE、ROHS,FCC认证，风速测量校准报告，原件备查</w:t>
            </w:r>
          </w:p>
          <w:p>
            <w:pPr>
              <w:rPr>
                <w:rFonts w:ascii="宋体" w:hAnsi="宋体" w:cs="宋体"/>
                <w:sz w:val="22"/>
              </w:rPr>
            </w:pPr>
            <w:r>
              <w:rPr>
                <w:rFonts w:hint="eastAsia" w:ascii="宋体" w:hAnsi="宋体" w:cs="宋体"/>
                <w:sz w:val="22"/>
              </w:rPr>
              <w:t>7.6.4、位移传感器必须获得</w:t>
            </w:r>
            <w:r>
              <w:rPr>
                <w:rFonts w:hint="eastAsia" w:ascii="宋体" w:hAnsi="宋体" w:cs="宋体"/>
                <w:color w:val="FF0000"/>
                <w:sz w:val="22"/>
              </w:rPr>
              <w:t>CCC/CQC</w:t>
            </w:r>
            <w:r>
              <w:rPr>
                <w:rFonts w:hint="eastAsia" w:ascii="宋体" w:hAnsi="宋体" w:cs="宋体"/>
                <w:sz w:val="22"/>
              </w:rPr>
              <w:t>、CE、ROHS,FCC认证，原件备查</w:t>
            </w:r>
          </w:p>
          <w:p>
            <w:pPr>
              <w:rPr>
                <w:rFonts w:ascii="宋体" w:hAnsi="宋体" w:cs="宋体"/>
                <w:sz w:val="22"/>
              </w:rPr>
            </w:pPr>
            <w:r>
              <w:rPr>
                <w:rFonts w:hint="eastAsia" w:ascii="宋体" w:hAnsi="宋体" w:cs="宋体"/>
                <w:sz w:val="22"/>
              </w:rPr>
              <w:t>7.6.5、区域存在传感器产品必须获得</w:t>
            </w:r>
            <w:r>
              <w:rPr>
                <w:rFonts w:hint="eastAsia" w:ascii="宋体" w:hAnsi="宋体" w:cs="宋体"/>
                <w:color w:val="FF0000"/>
                <w:sz w:val="22"/>
              </w:rPr>
              <w:t>CCC/CQC</w:t>
            </w:r>
            <w:r>
              <w:rPr>
                <w:rFonts w:hint="eastAsia" w:ascii="宋体" w:hAnsi="宋体" w:cs="宋体"/>
                <w:sz w:val="22"/>
              </w:rPr>
              <w:t>、CE、ROHS,FCC认证，原件备查</w:t>
            </w:r>
          </w:p>
          <w:p>
            <w:pPr>
              <w:rPr>
                <w:rFonts w:ascii="宋体" w:hAnsi="宋体" w:cs="宋体"/>
                <w:sz w:val="22"/>
              </w:rPr>
            </w:pPr>
            <w:r>
              <w:rPr>
                <w:rFonts w:hint="eastAsia" w:ascii="宋体" w:hAnsi="宋体" w:cs="宋体"/>
                <w:sz w:val="22"/>
              </w:rPr>
              <w:t>7.6.6、提供中国国家版权局颁发的（实验室智能VAV感应面风速控制系统）软件著作权登记证书，原件备查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44" w:type="dxa"/>
            <w:vMerge w:val="continue"/>
            <w:vAlign w:val="center"/>
          </w:tcPr>
          <w:p>
            <w:pPr>
              <w:widowControl/>
              <w:jc w:val="left"/>
              <w:rPr>
                <w:rFonts w:ascii="宋体" w:hAnsi="宋体" w:cs="宋体"/>
                <w:color w:val="3F3F3F"/>
                <w:kern w:val="0"/>
                <w:sz w:val="24"/>
                <w:szCs w:val="24"/>
              </w:rPr>
            </w:pPr>
          </w:p>
        </w:tc>
        <w:tc>
          <w:tcPr>
            <w:tcW w:w="1236" w:type="dxa"/>
            <w:vMerge w:val="continue"/>
            <w:vAlign w:val="center"/>
          </w:tcPr>
          <w:p>
            <w:pPr>
              <w:widowControl/>
              <w:jc w:val="left"/>
              <w:rPr>
                <w:rFonts w:ascii="宋体" w:hAnsi="宋体" w:cs="宋体"/>
                <w:color w:val="3F3F3F"/>
                <w:kern w:val="0"/>
                <w:sz w:val="24"/>
                <w:szCs w:val="24"/>
              </w:rPr>
            </w:pPr>
          </w:p>
        </w:tc>
        <w:tc>
          <w:tcPr>
            <w:tcW w:w="7786" w:type="dxa"/>
            <w:shd w:val="clear" w:color="000000" w:fill="FFFFFF"/>
            <w:vAlign w:val="center"/>
          </w:tcPr>
          <w:p>
            <w:pPr>
              <w:rPr>
                <w:rFonts w:ascii="宋体" w:hAnsi="宋体" w:cs="宋体"/>
                <w:b/>
                <w:bCs/>
                <w:kern w:val="0"/>
                <w:sz w:val="22"/>
              </w:rPr>
            </w:pPr>
            <w:r>
              <w:rPr>
                <w:rFonts w:hint="eastAsia" w:ascii="宋体" w:hAnsi="宋体" w:cs="宋体"/>
                <w:b/>
                <w:bCs/>
                <w:kern w:val="0"/>
                <w:sz w:val="22"/>
              </w:rPr>
              <w:t>配置清单：</w:t>
            </w:r>
          </w:p>
          <w:p>
            <w:pPr>
              <w:numPr>
                <w:ilvl w:val="0"/>
                <w:numId w:val="2"/>
              </w:numPr>
              <w:rPr>
                <w:rFonts w:ascii="宋体" w:hAnsi="宋体" w:cs="宋体"/>
                <w:sz w:val="22"/>
              </w:rPr>
            </w:pPr>
            <w:r>
              <w:rPr>
                <w:rFonts w:hint="eastAsia" w:ascii="宋体" w:hAnsi="宋体" w:cs="宋体"/>
                <w:sz w:val="22"/>
              </w:rPr>
              <w:t>通风柜上柜体           1台</w:t>
            </w:r>
          </w:p>
          <w:p>
            <w:pPr>
              <w:numPr>
                <w:ilvl w:val="0"/>
                <w:numId w:val="2"/>
              </w:numPr>
              <w:rPr>
                <w:rFonts w:ascii="宋体" w:hAnsi="宋体" w:cs="宋体"/>
                <w:sz w:val="22"/>
              </w:rPr>
            </w:pPr>
            <w:r>
              <w:rPr>
                <w:rFonts w:hint="eastAsia" w:ascii="宋体" w:hAnsi="宋体" w:cs="宋体"/>
                <w:sz w:val="22"/>
              </w:rPr>
              <w:t>通风柜下柜体           1台</w:t>
            </w:r>
          </w:p>
          <w:p>
            <w:pPr>
              <w:numPr>
                <w:ilvl w:val="0"/>
                <w:numId w:val="2"/>
              </w:numPr>
              <w:rPr>
                <w:rFonts w:ascii="宋体" w:hAnsi="宋体" w:cs="宋体"/>
                <w:sz w:val="22"/>
              </w:rPr>
            </w:pPr>
            <w:r>
              <w:rPr>
                <w:rFonts w:hint="eastAsia" w:ascii="宋体" w:hAnsi="宋体" w:cs="宋体"/>
                <w:sz w:val="22"/>
              </w:rPr>
              <w:t>LED灯                 1套</w:t>
            </w:r>
          </w:p>
          <w:p>
            <w:pPr>
              <w:numPr>
                <w:ilvl w:val="0"/>
                <w:numId w:val="2"/>
              </w:numPr>
              <w:rPr>
                <w:rFonts w:ascii="宋体" w:hAnsi="宋体" w:cs="宋体"/>
                <w:sz w:val="22"/>
              </w:rPr>
            </w:pPr>
            <w:r>
              <w:rPr>
                <w:rFonts w:hint="eastAsia" w:ascii="宋体" w:hAnsi="宋体" w:cs="宋体"/>
                <w:sz w:val="22"/>
              </w:rPr>
              <w:t>陶瓷台面               1块</w:t>
            </w:r>
          </w:p>
          <w:p>
            <w:pPr>
              <w:numPr>
                <w:ilvl w:val="0"/>
                <w:numId w:val="2"/>
              </w:numPr>
              <w:rPr>
                <w:rFonts w:ascii="宋体" w:hAnsi="宋体" w:cs="宋体"/>
                <w:sz w:val="22"/>
              </w:rPr>
            </w:pPr>
            <w:r>
              <w:rPr>
                <w:rFonts w:hint="eastAsia" w:ascii="宋体" w:hAnsi="宋体" w:cs="宋体"/>
                <w:sz w:val="22"/>
              </w:rPr>
              <w:t>水槽 （选配）          1套</w:t>
            </w:r>
          </w:p>
          <w:p>
            <w:pPr>
              <w:numPr>
                <w:ilvl w:val="0"/>
                <w:numId w:val="2"/>
              </w:numPr>
              <w:rPr>
                <w:rFonts w:ascii="宋体" w:hAnsi="宋体" w:cs="宋体"/>
                <w:sz w:val="22"/>
              </w:rPr>
            </w:pPr>
            <w:r>
              <w:rPr>
                <w:rFonts w:hint="eastAsia" w:ascii="宋体" w:hAnsi="宋体" w:cs="宋体"/>
                <w:sz w:val="22"/>
              </w:rPr>
              <w:t>水龙头（选配）         1套</w:t>
            </w:r>
          </w:p>
          <w:p>
            <w:pPr>
              <w:numPr>
                <w:ilvl w:val="0"/>
                <w:numId w:val="2"/>
              </w:numPr>
              <w:rPr>
                <w:rFonts w:ascii="宋体" w:hAnsi="宋体" w:cs="宋体"/>
                <w:sz w:val="22"/>
              </w:rPr>
            </w:pPr>
            <w:r>
              <w:rPr>
                <w:rFonts w:hint="eastAsia" w:ascii="宋体" w:hAnsi="宋体" w:cs="宋体"/>
                <w:sz w:val="22"/>
              </w:rPr>
              <w:t>钢化玻璃视窗           1套</w:t>
            </w:r>
          </w:p>
          <w:p>
            <w:pPr>
              <w:numPr>
                <w:ilvl w:val="0"/>
                <w:numId w:val="2"/>
              </w:numPr>
              <w:rPr>
                <w:rFonts w:ascii="宋体" w:hAnsi="宋体" w:cs="宋体"/>
                <w:sz w:val="22"/>
              </w:rPr>
            </w:pPr>
            <w:r>
              <w:rPr>
                <w:rFonts w:hint="eastAsia" w:ascii="宋体" w:hAnsi="宋体" w:cs="宋体"/>
                <w:sz w:val="22"/>
              </w:rPr>
              <w:t>电源插座               4个</w:t>
            </w:r>
          </w:p>
          <w:p>
            <w:pPr>
              <w:numPr>
                <w:ilvl w:val="0"/>
                <w:numId w:val="2"/>
              </w:numPr>
              <w:rPr>
                <w:rFonts w:ascii="宋体" w:hAnsi="宋体" w:cs="宋体"/>
                <w:sz w:val="22"/>
              </w:rPr>
            </w:pPr>
            <w:r>
              <w:rPr>
                <w:rFonts w:hint="eastAsia" w:ascii="宋体" w:hAnsi="宋体" w:cs="宋体"/>
                <w:sz w:val="22"/>
              </w:rPr>
              <w:t>通风柜VAV控制系统     1套</w:t>
            </w:r>
          </w:p>
        </w:tc>
      </w:tr>
    </w:tbl>
    <w:p>
      <w:pPr>
        <w:pStyle w:val="3"/>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专用□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094"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094" w:type="dxa"/>
            <w:vAlign w:val="center"/>
          </w:tcPr>
          <w:p>
            <w:pPr>
              <w:jc w:val="center"/>
              <w:rPr>
                <w:rFonts w:ascii="仿宋_GB2312" w:hAnsi="Times New Roman" w:eastAsia="仿宋_GB2312"/>
                <w:b/>
                <w:sz w:val="28"/>
                <w:szCs w:val="21"/>
              </w:rPr>
            </w:pPr>
          </w:p>
        </w:tc>
        <w:tc>
          <w:tcPr>
            <w:tcW w:w="1985" w:type="dxa"/>
            <w:vAlign w:val="center"/>
          </w:tcPr>
          <w:p>
            <w:pPr>
              <w:jc w:val="center"/>
              <w:rPr>
                <w:rFonts w:ascii="仿宋_GB2312" w:hAnsi="Times New Roman" w:eastAsia="仿宋_GB2312"/>
                <w:b/>
                <w:sz w:val="28"/>
                <w:szCs w:val="21"/>
              </w:rPr>
            </w:pPr>
          </w:p>
        </w:tc>
        <w:tc>
          <w:tcPr>
            <w:tcW w:w="2126" w:type="dxa"/>
            <w:vAlign w:val="center"/>
          </w:tcPr>
          <w:p>
            <w:pPr>
              <w:jc w:val="center"/>
              <w:rPr>
                <w:rFonts w:ascii="仿宋_GB2312" w:hAnsi="Times New Roman" w:eastAsia="仿宋_GB2312"/>
                <w:b/>
                <w:sz w:val="28"/>
                <w:szCs w:val="21"/>
              </w:rPr>
            </w:pPr>
          </w:p>
        </w:tc>
      </w:tr>
    </w:tbl>
    <w:p>
      <w:pPr>
        <w:jc w:val="left"/>
        <w:rPr>
          <w:rFonts w:ascii="Times New Roman" w:hAnsi="Times New Roman"/>
          <w:szCs w:val="21"/>
        </w:rPr>
      </w:pPr>
    </w:p>
    <w:p>
      <w:pPr>
        <w:jc w:val="left"/>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4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序号</w:t>
            </w:r>
          </w:p>
        </w:tc>
        <w:tc>
          <w:tcPr>
            <w:tcW w:w="5107"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名称</w:t>
            </w:r>
          </w:p>
        </w:tc>
        <w:tc>
          <w:tcPr>
            <w:tcW w:w="1985"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单位</w:t>
            </w:r>
          </w:p>
        </w:tc>
        <w:tc>
          <w:tcPr>
            <w:tcW w:w="2126" w:type="dxa"/>
            <w:vAlign w:val="center"/>
          </w:tcPr>
          <w:p>
            <w:pPr>
              <w:jc w:val="center"/>
              <w:rPr>
                <w:rFonts w:ascii="仿宋_GB2312" w:hAnsi="Times New Roman" w:eastAsia="仿宋_GB2312"/>
                <w:b/>
                <w:sz w:val="24"/>
                <w:szCs w:val="21"/>
              </w:rPr>
            </w:pPr>
            <w:r>
              <w:rPr>
                <w:rFonts w:hint="eastAsia" w:ascii="仿宋_GB2312" w:hAnsi="Times New Roman" w:eastAsia="仿宋_GB2312"/>
                <w:b/>
                <w:sz w:val="24"/>
                <w:szCs w:val="21"/>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847" w:type="dxa"/>
            <w:vAlign w:val="center"/>
          </w:tcPr>
          <w:p>
            <w:pPr>
              <w:jc w:val="center"/>
              <w:rPr>
                <w:rFonts w:ascii="仿宋_GB2312" w:hAnsi="Times New Roman" w:eastAsia="仿宋_GB2312"/>
                <w:b/>
                <w:sz w:val="28"/>
                <w:szCs w:val="21"/>
              </w:rPr>
            </w:pPr>
            <w:r>
              <w:rPr>
                <w:rFonts w:hint="eastAsia" w:ascii="仿宋_GB2312" w:hAnsi="Times New Roman" w:eastAsia="仿宋_GB2312"/>
                <w:b/>
                <w:sz w:val="28"/>
                <w:szCs w:val="21"/>
              </w:rPr>
              <w:t>1</w:t>
            </w:r>
          </w:p>
        </w:tc>
        <w:tc>
          <w:tcPr>
            <w:tcW w:w="5107" w:type="dxa"/>
            <w:vAlign w:val="center"/>
          </w:tcPr>
          <w:p>
            <w:pPr>
              <w:jc w:val="center"/>
              <w:rPr>
                <w:rFonts w:ascii="仿宋_GB2312" w:hAnsi="Times New Roman" w:eastAsia="仿宋_GB2312"/>
                <w:sz w:val="24"/>
                <w:szCs w:val="21"/>
              </w:rPr>
            </w:pPr>
          </w:p>
        </w:tc>
        <w:tc>
          <w:tcPr>
            <w:tcW w:w="1985" w:type="dxa"/>
            <w:vAlign w:val="center"/>
          </w:tcPr>
          <w:p>
            <w:pPr>
              <w:jc w:val="center"/>
              <w:rPr>
                <w:rFonts w:ascii="仿宋_GB2312" w:hAnsi="Times New Roman" w:eastAsia="仿宋_GB2312"/>
                <w:sz w:val="24"/>
                <w:szCs w:val="21"/>
              </w:rPr>
            </w:pPr>
          </w:p>
        </w:tc>
        <w:tc>
          <w:tcPr>
            <w:tcW w:w="2126" w:type="dxa"/>
            <w:vAlign w:val="center"/>
          </w:tcPr>
          <w:p>
            <w:pPr>
              <w:jc w:val="center"/>
              <w:rPr>
                <w:rFonts w:ascii="仿宋_GB2312" w:hAnsi="Times New Roman" w:eastAsia="仿宋_GB2312"/>
                <w:sz w:val="24"/>
                <w:szCs w:val="21"/>
              </w:rPr>
            </w:pPr>
          </w:p>
        </w:tc>
      </w:tr>
    </w:tbl>
    <w:p>
      <w:pPr>
        <w:jc w:val="center"/>
        <w:rPr>
          <w:rFonts w:ascii="微软雅黑" w:hAnsi="微软雅黑" w:eastAsia="微软雅黑" w:cs="宋体"/>
          <w:color w:val="3F3F3F"/>
          <w:kern w:val="0"/>
          <w:szCs w:val="21"/>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217FCD"/>
    <w:multiLevelType w:val="multilevel"/>
    <w:tmpl w:val="13217FC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F535A60"/>
    <w:multiLevelType w:val="multilevel"/>
    <w:tmpl w:val="1F535A60"/>
    <w:lvl w:ilvl="0" w:tentative="0">
      <w:start w:val="1"/>
      <w:numFmt w:val="bullet"/>
      <w:lvlText w:val=""/>
      <w:lvlJc w:val="left"/>
      <w:pPr>
        <w:ind w:left="1200" w:hanging="420"/>
      </w:pPr>
      <w:rPr>
        <w:rFonts w:hint="default" w:ascii="Wingdings" w:hAnsi="Wingdings"/>
      </w:rPr>
    </w:lvl>
    <w:lvl w:ilvl="1" w:tentative="0">
      <w:start w:val="1"/>
      <w:numFmt w:val="bullet"/>
      <w:lvlText w:val=""/>
      <w:lvlJc w:val="left"/>
      <w:pPr>
        <w:ind w:left="1620" w:hanging="420"/>
      </w:pPr>
      <w:rPr>
        <w:rFonts w:hint="default" w:ascii="Wingdings" w:hAnsi="Wingdings"/>
      </w:rPr>
    </w:lvl>
    <w:lvl w:ilvl="2" w:tentative="0">
      <w:start w:val="1"/>
      <w:numFmt w:val="bullet"/>
      <w:lvlText w:val=""/>
      <w:lvlJc w:val="left"/>
      <w:pPr>
        <w:ind w:left="2040" w:hanging="420"/>
      </w:pPr>
      <w:rPr>
        <w:rFonts w:hint="default" w:ascii="Wingdings" w:hAnsi="Wingdings"/>
      </w:rPr>
    </w:lvl>
    <w:lvl w:ilvl="3" w:tentative="0">
      <w:start w:val="1"/>
      <w:numFmt w:val="bullet"/>
      <w:lvlText w:val=""/>
      <w:lvlJc w:val="left"/>
      <w:pPr>
        <w:ind w:left="2460" w:hanging="420"/>
      </w:pPr>
      <w:rPr>
        <w:rFonts w:hint="default" w:ascii="Wingdings" w:hAnsi="Wingdings"/>
      </w:rPr>
    </w:lvl>
    <w:lvl w:ilvl="4" w:tentative="0">
      <w:start w:val="1"/>
      <w:numFmt w:val="bullet"/>
      <w:lvlText w:val=""/>
      <w:lvlJc w:val="left"/>
      <w:pPr>
        <w:ind w:left="2880" w:hanging="420"/>
      </w:pPr>
      <w:rPr>
        <w:rFonts w:hint="default" w:ascii="Wingdings" w:hAnsi="Wingdings"/>
      </w:rPr>
    </w:lvl>
    <w:lvl w:ilvl="5" w:tentative="0">
      <w:start w:val="1"/>
      <w:numFmt w:val="bullet"/>
      <w:lvlText w:val=""/>
      <w:lvlJc w:val="left"/>
      <w:pPr>
        <w:ind w:left="3300" w:hanging="420"/>
      </w:pPr>
      <w:rPr>
        <w:rFonts w:hint="default" w:ascii="Wingdings" w:hAnsi="Wingdings"/>
      </w:rPr>
    </w:lvl>
    <w:lvl w:ilvl="6" w:tentative="0">
      <w:start w:val="1"/>
      <w:numFmt w:val="bullet"/>
      <w:lvlText w:val=""/>
      <w:lvlJc w:val="left"/>
      <w:pPr>
        <w:ind w:left="3720" w:hanging="420"/>
      </w:pPr>
      <w:rPr>
        <w:rFonts w:hint="default" w:ascii="Wingdings" w:hAnsi="Wingdings"/>
      </w:rPr>
    </w:lvl>
    <w:lvl w:ilvl="7" w:tentative="0">
      <w:start w:val="1"/>
      <w:numFmt w:val="bullet"/>
      <w:lvlText w:val=""/>
      <w:lvlJc w:val="left"/>
      <w:pPr>
        <w:ind w:left="4140" w:hanging="420"/>
      </w:pPr>
      <w:rPr>
        <w:rFonts w:hint="default" w:ascii="Wingdings" w:hAnsi="Wingdings"/>
      </w:rPr>
    </w:lvl>
    <w:lvl w:ilvl="8" w:tentative="0">
      <w:start w:val="1"/>
      <w:numFmt w:val="bullet"/>
      <w:lvlText w:val=""/>
      <w:lvlJc w:val="left"/>
      <w:pPr>
        <w:ind w:left="456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35AF2"/>
    <w:rsid w:val="0005780F"/>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0B9"/>
    <w:rsid w:val="004E09F3"/>
    <w:rsid w:val="004E51B4"/>
    <w:rsid w:val="004E6075"/>
    <w:rsid w:val="004F46EC"/>
    <w:rsid w:val="00536070"/>
    <w:rsid w:val="005B4177"/>
    <w:rsid w:val="006161EF"/>
    <w:rsid w:val="00621D5E"/>
    <w:rsid w:val="00627CBC"/>
    <w:rsid w:val="0065131D"/>
    <w:rsid w:val="00653408"/>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53C48"/>
    <w:rsid w:val="00890077"/>
    <w:rsid w:val="00893A00"/>
    <w:rsid w:val="00895307"/>
    <w:rsid w:val="008B28B0"/>
    <w:rsid w:val="008C5084"/>
    <w:rsid w:val="008D4020"/>
    <w:rsid w:val="008F18EF"/>
    <w:rsid w:val="0091437C"/>
    <w:rsid w:val="00917BB5"/>
    <w:rsid w:val="00917CA2"/>
    <w:rsid w:val="0092593E"/>
    <w:rsid w:val="00930854"/>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D0AD1"/>
    <w:rsid w:val="00AF2364"/>
    <w:rsid w:val="00B04F86"/>
    <w:rsid w:val="00B16C5C"/>
    <w:rsid w:val="00B36BC4"/>
    <w:rsid w:val="00B37A82"/>
    <w:rsid w:val="00B455C4"/>
    <w:rsid w:val="00BE5B4B"/>
    <w:rsid w:val="00C046E8"/>
    <w:rsid w:val="00C077F0"/>
    <w:rsid w:val="00C70023"/>
    <w:rsid w:val="00C70D64"/>
    <w:rsid w:val="00C717A1"/>
    <w:rsid w:val="00C87DC9"/>
    <w:rsid w:val="00C97B57"/>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611A0"/>
    <w:rsid w:val="00F749F5"/>
    <w:rsid w:val="00F84832"/>
    <w:rsid w:val="00FD02B5"/>
    <w:rsid w:val="00FD584F"/>
    <w:rsid w:val="03172A4C"/>
    <w:rsid w:val="08CC0577"/>
    <w:rsid w:val="0B0240CE"/>
    <w:rsid w:val="0BBC004E"/>
    <w:rsid w:val="0D711D3B"/>
    <w:rsid w:val="20527BD7"/>
    <w:rsid w:val="215533A8"/>
    <w:rsid w:val="265F53DE"/>
    <w:rsid w:val="3D5D7446"/>
    <w:rsid w:val="3F0B2C66"/>
    <w:rsid w:val="43E3619A"/>
    <w:rsid w:val="485E2293"/>
    <w:rsid w:val="4DAB7D28"/>
    <w:rsid w:val="5AB3646E"/>
    <w:rsid w:val="5C4C416E"/>
    <w:rsid w:val="5CF84F24"/>
    <w:rsid w:val="5D2D2508"/>
    <w:rsid w:val="5E182AD5"/>
    <w:rsid w:val="62C51042"/>
    <w:rsid w:val="69F04119"/>
    <w:rsid w:val="6A717B96"/>
    <w:rsid w:val="738B2A82"/>
    <w:rsid w:val="74533041"/>
    <w:rsid w:val="7A2860D9"/>
    <w:rsid w:val="7A3A5E0C"/>
    <w:rsid w:val="7FEC053D"/>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kern w:val="0"/>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i/>
    </w:rPr>
  </w:style>
  <w:style w:type="character" w:styleId="12">
    <w:name w:val="annotation reference"/>
    <w:unhideWhenUsed/>
    <w:qFormat/>
    <w:uiPriority w:val="99"/>
    <w:rPr>
      <w:sz w:val="21"/>
      <w:szCs w:val="21"/>
    </w:rPr>
  </w:style>
  <w:style w:type="character" w:customStyle="1" w:styleId="13">
    <w:name w:val="标题 1 字符"/>
    <w:link w:val="2"/>
    <w:qFormat/>
    <w:uiPriority w:val="9"/>
    <w:rPr>
      <w:b/>
      <w:bCs/>
      <w:kern w:val="44"/>
      <w:sz w:val="44"/>
      <w:szCs w:val="44"/>
    </w:rPr>
  </w:style>
  <w:style w:type="character" w:customStyle="1" w:styleId="14">
    <w:name w:val="批注文字 字符"/>
    <w:link w:val="4"/>
    <w:semiHidden/>
    <w:qFormat/>
    <w:uiPriority w:val="99"/>
    <w:rPr>
      <w:kern w:val="2"/>
      <w:sz w:val="21"/>
      <w:szCs w:val="22"/>
    </w:rPr>
  </w:style>
  <w:style w:type="character" w:customStyle="1" w:styleId="15">
    <w:name w:val="批注框文本 字符"/>
    <w:link w:val="5"/>
    <w:semiHidden/>
    <w:qFormat/>
    <w:uiPriority w:val="99"/>
    <w:rPr>
      <w:kern w:val="2"/>
      <w:sz w:val="18"/>
      <w:szCs w:val="18"/>
    </w:rPr>
  </w:style>
  <w:style w:type="character" w:customStyle="1" w:styleId="16">
    <w:name w:val="页脚 字符"/>
    <w:link w:val="6"/>
    <w:qFormat/>
    <w:uiPriority w:val="99"/>
    <w:rPr>
      <w:sz w:val="18"/>
      <w:szCs w:val="18"/>
    </w:rPr>
  </w:style>
  <w:style w:type="character" w:customStyle="1" w:styleId="17">
    <w:name w:val="页眉 字符"/>
    <w:link w:val="7"/>
    <w:qFormat/>
    <w:uiPriority w:val="99"/>
    <w:rPr>
      <w:sz w:val="18"/>
      <w:szCs w:val="18"/>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3</Pages>
  <Words>2173</Words>
  <Characters>2662</Characters>
  <Lines>45</Lines>
  <Paragraphs>9</Paragraphs>
  <TotalTime>13</TotalTime>
  <ScaleCrop>false</ScaleCrop>
  <LinksUpToDate>false</LinksUpToDate>
  <CharactersWithSpaces>2795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2023-12-01T06:01:00Z</dcterms:created>
  <dc:creator>Sky123.Org</dc:creator>
  <cp:lastModifiedBy>WE</cp:lastModifiedBy>
  <cp:lastPrinted>2020-06-15T03:32:00Z</cp:lastPrinted>
  <dcterms:modified xsi:type="dcterms:W3CDTF">2024-06-28T07:50:17Z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5ECAB3CDAB1E4F2E9F0783FF98891651</vt:lpwstr>
  </property>
</Properties>
</file>