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8"/>
        <w:tblW w:w="9654" w:type="dxa"/>
        <w:jc w:val="center"/>
        <w:tblLayout w:type="autofit"/>
        <w:tblCellMar>
          <w:top w:w="0" w:type="dxa"/>
          <w:left w:w="108" w:type="dxa"/>
          <w:bottom w:w="0" w:type="dxa"/>
          <w:right w:w="108" w:type="dxa"/>
        </w:tblCellMar>
      </w:tblPr>
      <w:tblGrid>
        <w:gridCol w:w="660"/>
        <w:gridCol w:w="1429"/>
        <w:gridCol w:w="7565"/>
      </w:tblGrid>
      <w:tr>
        <w:tblPrEx>
          <w:tblCellMar>
            <w:top w:w="0" w:type="dxa"/>
            <w:left w:w="108" w:type="dxa"/>
            <w:bottom w:w="0" w:type="dxa"/>
            <w:right w:w="108" w:type="dxa"/>
          </w:tblCellMar>
        </w:tblPrEx>
        <w:trPr>
          <w:trHeight w:val="498"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序号</w:t>
            </w:r>
          </w:p>
        </w:tc>
        <w:tc>
          <w:tcPr>
            <w:tcW w:w="1429"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项目名称</w:t>
            </w:r>
          </w:p>
        </w:tc>
        <w:tc>
          <w:tcPr>
            <w:tcW w:w="7565"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招标事项及要求</w:t>
            </w:r>
          </w:p>
        </w:tc>
      </w:tr>
      <w:tr>
        <w:tblPrEx>
          <w:tblCellMar>
            <w:top w:w="0" w:type="dxa"/>
            <w:left w:w="108" w:type="dxa"/>
            <w:bottom w:w="0" w:type="dxa"/>
            <w:right w:w="108" w:type="dxa"/>
          </w:tblCellMar>
        </w:tblPrEx>
        <w:trPr>
          <w:trHeight w:val="645" w:hRule="atLeast"/>
          <w:jc w:val="center"/>
        </w:trPr>
        <w:tc>
          <w:tcPr>
            <w:tcW w:w="660" w:type="dxa"/>
            <w:vMerge w:val="restart"/>
            <w:tcBorders>
              <w:top w:val="single" w:color="auto" w:sz="4" w:space="0"/>
              <w:left w:val="single" w:color="3F3F3F" w:sz="4" w:space="0"/>
              <w:right w:val="single" w:color="3F3F3F" w:sz="4" w:space="0"/>
            </w:tcBorders>
            <w:shd w:val="clear" w:color="000000" w:fill="FFFFFF"/>
            <w:vAlign w:val="center"/>
          </w:tcPr>
          <w:p>
            <w:pPr>
              <w:widowControl/>
              <w:jc w:val="center"/>
              <w:rPr>
                <w:rFonts w:ascii="宋体" w:hAnsi="宋体" w:cs="宋体"/>
                <w:color w:val="3F3F3F"/>
                <w:kern w:val="0"/>
                <w:sz w:val="20"/>
                <w:szCs w:val="20"/>
              </w:rPr>
            </w:pPr>
            <w:r>
              <w:rPr>
                <w:rFonts w:hint="default" w:ascii="Times New Roman" w:hAnsi="Times New Roman" w:cs="Times New Roman"/>
                <w:b/>
                <w:bCs/>
                <w:color w:val="3F3F3F"/>
                <w:kern w:val="0"/>
                <w:sz w:val="22"/>
                <w:szCs w:val="22"/>
              </w:rPr>
              <w:t>1</w:t>
            </w:r>
          </w:p>
        </w:tc>
        <w:tc>
          <w:tcPr>
            <w:tcW w:w="1429"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ascii="宋体" w:hAnsi="宋体" w:cs="宋体"/>
                <w:color w:val="3F3F3F"/>
                <w:kern w:val="0"/>
                <w:sz w:val="20"/>
                <w:szCs w:val="20"/>
              </w:rPr>
            </w:pPr>
            <w:r>
              <w:rPr>
                <w:rFonts w:hint="eastAsia" w:ascii="宋体" w:hAnsi="宋体" w:cs="宋体"/>
                <w:b/>
                <w:bCs/>
                <w:color w:val="3F3F3F"/>
                <w:kern w:val="0"/>
                <w:sz w:val="22"/>
              </w:rPr>
              <w:t>超净工作台</w:t>
            </w:r>
          </w:p>
        </w:tc>
        <w:tc>
          <w:tcPr>
            <w:tcW w:w="7565" w:type="dxa"/>
            <w:tcBorders>
              <w:top w:val="single" w:color="3F3F3F" w:sz="4" w:space="0"/>
              <w:left w:val="nil"/>
              <w:bottom w:val="single" w:color="3F3F3F" w:sz="4" w:space="0"/>
              <w:right w:val="single" w:color="3F3F3F" w:sz="4" w:space="0"/>
            </w:tcBorders>
            <w:shd w:val="clear" w:color="000000" w:fill="FFFFFF"/>
            <w:vAlign w:val="center"/>
          </w:tcPr>
          <w:p>
            <w:pPr>
              <w:widowControl/>
              <w:numPr>
                <w:ilvl w:val="0"/>
                <w:numId w:val="1"/>
              </w:numPr>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内部有效尺寸，宽：</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1690mm--1710mm，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深：</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550mm--570mm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，高：</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710mm--730mm</w:t>
            </w:r>
          </w:p>
          <w:p>
            <w:pPr>
              <w:widowControl/>
              <w:numPr>
                <w:ilvl w:val="0"/>
                <w:numId w:val="1"/>
              </w:numPr>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装置外形尺寸，宽：</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1790mm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1810mm，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深：</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760mm--770mm，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高</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 xml:space="preserve">：1860mm--1880mm      </w:t>
            </w:r>
          </w:p>
          <w:p>
            <w:pPr>
              <w:widowControl/>
              <w:numPr>
                <w:ilvl w:val="0"/>
                <w:numId w:val="1"/>
              </w:numPr>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采用</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HEPA Filter</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　</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高效过滤技术</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国际通用的铝框无隔板高效过滤器</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 xml:space="preserve">过滤效率 </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≧99.995%</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 0.3μm</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颗粒）</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 xml:space="preserve">                    </w:t>
            </w:r>
          </w:p>
          <w:p>
            <w:pPr>
              <w:widowControl/>
              <w:numPr>
                <w:ilvl w:val="0"/>
                <w:numId w:val="1"/>
              </w:numPr>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洁净等级</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 ISO 5</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级（美联邦</w:t>
            </w:r>
            <w:r>
              <w:rPr>
                <w:rStyle w:val="17"/>
                <w:rFonts w:hint="default" w:ascii="Times New Roman" w:hAnsi="Times New Roman" w:eastAsia="宋体" w:cs="Times New Roman"/>
                <w:color w:val="000000" w:themeColor="text1"/>
                <w:sz w:val="22"/>
                <w:szCs w:val="22"/>
                <w:lang w:bidi="ar"/>
                <w14:textFill>
                  <w14:solidFill>
                    <w14:schemeClr w14:val="tx1"/>
                  </w14:solidFill>
                </w14:textFill>
              </w:rPr>
              <w:t>209E 100</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级）</w:t>
            </w:r>
          </w:p>
          <w:p>
            <w:pPr>
              <w:widowControl/>
              <w:numPr>
                <w:ilvl w:val="0"/>
                <w:numId w:val="1"/>
              </w:numPr>
              <w:ind w:left="0" w:leftChars="0" w:firstLine="0" w:firstLineChars="0"/>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每台配备万向脚轮可轻松移动，刹车装置可使设备避免移动，每台配备挂杆和挂钩（挂钩≥10个）</w:t>
            </w:r>
          </w:p>
          <w:p>
            <w:pPr>
              <w:widowControl/>
              <w:numPr>
                <w:ilvl w:val="0"/>
                <w:numId w:val="1"/>
              </w:numPr>
              <w:ind w:left="0" w:leftChars="0" w:firstLine="0" w:firstLineChars="0"/>
              <w:jc w:val="left"/>
              <w:textAlignment w:val="center"/>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内嵌式舱内扫描系统2套，电脑屏×2个（内嵌式，Windows系统或安卓系统）舱内高清监控摄像系统1套</w:t>
            </w:r>
          </w:p>
          <w:p>
            <w:pPr>
              <w:widowControl/>
              <w:numPr>
                <w:ilvl w:val="0"/>
                <w:numId w:val="1"/>
              </w:numPr>
              <w:ind w:left="0" w:leftChars="0" w:firstLine="0" w:firstLineChars="0"/>
              <w:jc w:val="left"/>
              <w:textAlignment w:val="center"/>
              <w:rPr>
                <w:rFonts w:hint="default" w:ascii="Times New Roman" w:hAnsi="Times New Roman" w:eastAsia="宋体" w:cs="Times New Roman"/>
                <w:color w:val="000000" w:themeColor="text1"/>
                <w:sz w:val="22"/>
                <w:szCs w:val="22"/>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接到报修电话后12小时内响应，24小时内上门</w:t>
            </w:r>
          </w:p>
        </w:tc>
      </w:tr>
      <w:tr>
        <w:tblPrEx>
          <w:tblCellMar>
            <w:top w:w="0" w:type="dxa"/>
            <w:left w:w="108" w:type="dxa"/>
            <w:bottom w:w="0" w:type="dxa"/>
            <w:right w:w="108" w:type="dxa"/>
          </w:tblCellMar>
        </w:tblPrEx>
        <w:trPr>
          <w:trHeight w:val="2155" w:hRule="atLeast"/>
          <w:jc w:val="center"/>
        </w:trPr>
        <w:tc>
          <w:tcPr>
            <w:tcW w:w="660"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p>
        </w:tc>
        <w:tc>
          <w:tcPr>
            <w:tcW w:w="1429"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center"/>
              <w:rPr>
                <w:rFonts w:hint="eastAsia" w:ascii="宋体" w:hAnsi="宋体" w:cs="宋体"/>
                <w:b/>
                <w:bCs/>
                <w:color w:val="3F3F3F"/>
                <w:kern w:val="0"/>
                <w:sz w:val="22"/>
              </w:rPr>
            </w:pPr>
          </w:p>
        </w:tc>
        <w:tc>
          <w:tcPr>
            <w:tcW w:w="7565" w:type="dxa"/>
            <w:tcBorders>
              <w:top w:val="single" w:color="3F3F3F" w:sz="4" w:space="0"/>
              <w:left w:val="nil"/>
              <w:bottom w:val="single" w:color="3F3F3F" w:sz="4" w:space="0"/>
              <w:right w:val="single" w:color="3F3F3F" w:sz="4" w:space="0"/>
            </w:tcBorders>
            <w:shd w:val="clear" w:color="000000" w:fill="FFFFFF"/>
            <w:vAlign w:val="center"/>
          </w:tcPr>
          <w:p>
            <w:pPr>
              <w:widowControl/>
              <w:numPr>
                <w:ilvl w:val="0"/>
                <w:numId w:val="0"/>
              </w:numPr>
              <w:spacing w:line="240" w:lineRule="auto"/>
              <w:ind w:leftChars="0"/>
              <w:jc w:val="left"/>
              <w:textAlignment w:val="center"/>
              <w:rPr>
                <w:rStyle w:val="18"/>
                <w:rFonts w:hint="default" w:ascii="Times New Roman" w:hAnsi="Times New Roman" w:eastAsia="宋体" w:cs="Times New Roman"/>
                <w:color w:val="000000" w:themeColor="text1"/>
                <w:sz w:val="22"/>
                <w:szCs w:val="22"/>
                <w:lang w:val="en-US" w:eastAsia="zh-CN"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val="en-US" w:eastAsia="zh-CN" w:bidi="ar"/>
                <w14:textFill>
                  <w14:solidFill>
                    <w14:schemeClr w14:val="tx1"/>
                  </w14:solidFill>
                </w14:textFill>
              </w:rPr>
              <w:t>配置清单：</w:t>
            </w:r>
          </w:p>
          <w:p>
            <w:pPr>
              <w:widowControl/>
              <w:numPr>
                <w:ilvl w:val="0"/>
                <w:numId w:val="0"/>
              </w:numPr>
              <w:spacing w:line="240" w:lineRule="auto"/>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1、主机，固定式支架，荧光灯管，紫外灯管</w:t>
            </w:r>
          </w:p>
          <w:p>
            <w:pPr>
              <w:widowControl/>
              <w:numPr>
                <w:ilvl w:val="0"/>
                <w:numId w:val="0"/>
              </w:numPr>
              <w:spacing w:line="240" w:lineRule="auto"/>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2、每台操作台自带内嵌式仓内扫描显示系统2套：2个电脑屏（10.4寸，触摸屏，Windows系统或安卓系统）、1套高清摄像头。</w:t>
            </w:r>
          </w:p>
          <w:p>
            <w:pPr>
              <w:widowControl/>
              <w:numPr>
                <w:ilvl w:val="0"/>
                <w:numId w:val="0"/>
              </w:numPr>
              <w:spacing w:line="240" w:lineRule="auto"/>
              <w:jc w:val="left"/>
              <w:textAlignment w:val="center"/>
              <w:rPr>
                <w:rStyle w:val="18"/>
                <w:rFonts w:hint="default" w:ascii="Times New Roman" w:hAnsi="Times New Roman" w:eastAsia="宋体" w:cs="Times New Roman"/>
                <w:color w:val="000000" w:themeColor="text1"/>
                <w:sz w:val="22"/>
                <w:szCs w:val="22"/>
                <w:lang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3</w:t>
            </w:r>
            <w:r>
              <w:rPr>
                <w:rStyle w:val="18"/>
                <w:rFonts w:hint="default" w:ascii="Times New Roman" w:hAnsi="Times New Roman" w:eastAsia="宋体" w:cs="Times New Roman"/>
                <w:color w:val="000000" w:themeColor="text1"/>
                <w:sz w:val="22"/>
                <w:szCs w:val="22"/>
                <w:lang w:eastAsia="zh-CN" w:bidi="ar"/>
                <w14:textFill>
                  <w14:solidFill>
                    <w14:schemeClr w14:val="tx1"/>
                  </w14:solidFill>
                </w14:textFill>
              </w:rPr>
              <w:t>、</w:t>
            </w:r>
            <w:r>
              <w:rPr>
                <w:rStyle w:val="18"/>
                <w:rFonts w:hint="default" w:ascii="Times New Roman" w:hAnsi="Times New Roman" w:eastAsia="宋体" w:cs="Times New Roman"/>
                <w:color w:val="000000" w:themeColor="text1"/>
                <w:sz w:val="22"/>
                <w:szCs w:val="22"/>
                <w:lang w:bidi="ar"/>
                <w14:textFill>
                  <w14:solidFill>
                    <w14:schemeClr w14:val="tx1"/>
                  </w14:solidFill>
                </w14:textFill>
              </w:rPr>
              <w:t>舱内监控高清摄像系统，与生物安全柜共用一台摄像监控交换机及电脑一台调配全程实时监控并保存</w:t>
            </w:r>
          </w:p>
          <w:p>
            <w:pPr>
              <w:widowControl/>
              <w:numPr>
                <w:ilvl w:val="0"/>
                <w:numId w:val="0"/>
              </w:numPr>
              <w:spacing w:line="240" w:lineRule="auto"/>
              <w:ind w:leftChars="0"/>
              <w:jc w:val="left"/>
              <w:textAlignment w:val="center"/>
              <w:rPr>
                <w:rStyle w:val="18"/>
                <w:rFonts w:hint="default" w:ascii="Times New Roman" w:hAnsi="Times New Roman" w:eastAsia="宋体" w:cs="Times New Roman"/>
                <w:color w:val="000000" w:themeColor="text1"/>
                <w:sz w:val="22"/>
                <w:szCs w:val="22"/>
                <w:lang w:val="en-US" w:eastAsia="zh-CN" w:bidi="ar"/>
                <w14:textFill>
                  <w14:solidFill>
                    <w14:schemeClr w14:val="tx1"/>
                  </w14:solidFill>
                </w14:textFill>
              </w:rPr>
            </w:pPr>
            <w:r>
              <w:rPr>
                <w:rStyle w:val="18"/>
                <w:rFonts w:hint="default" w:ascii="Times New Roman" w:hAnsi="Times New Roman" w:eastAsia="宋体" w:cs="Times New Roman"/>
                <w:color w:val="000000" w:themeColor="text1"/>
                <w:sz w:val="22"/>
                <w:szCs w:val="22"/>
                <w:lang w:bidi="ar"/>
                <w14:textFill>
                  <w14:solidFill>
                    <w14:schemeClr w14:val="tx1"/>
                  </w14:solidFill>
                </w14:textFill>
              </w:rPr>
              <w:t>4、另附挂杆、挂钩</w:t>
            </w:r>
            <w:bookmarkStart w:id="0" w:name="_GoBack"/>
            <w:bookmarkEnd w:id="0"/>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ascii="Segoe UI Symbol" w:hAnsi="Segoe UI Symbol" w:cs="Segoe UI Symbol"/>
          <w:b/>
          <w:bCs/>
          <w:color w:val="FF0000"/>
          <w:kern w:val="0"/>
          <w:sz w:val="28"/>
          <w:szCs w:val="28"/>
        </w:rPr>
        <w:t>☑</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jc w:val="center"/>
              <w:rPr>
                <w:rFonts w:ascii="仿宋_GB2312" w:hAnsi="Times New Roman" w:eastAsia="仿宋_GB2312"/>
                <w:b/>
                <w:sz w:val="28"/>
                <w:szCs w:val="21"/>
              </w:rPr>
            </w:pPr>
          </w:p>
        </w:tc>
        <w:tc>
          <w:tcPr>
            <w:tcW w:w="1985" w:type="dxa"/>
            <w:vAlign w:val="center"/>
          </w:tcPr>
          <w:p>
            <w:pPr>
              <w:jc w:val="center"/>
              <w:rPr>
                <w:rFonts w:ascii="仿宋_GB2312" w:hAnsi="Times New Roman" w:eastAsia="仿宋_GB2312"/>
                <w:b/>
                <w:sz w:val="28"/>
                <w:szCs w:val="21"/>
              </w:rPr>
            </w:pPr>
          </w:p>
        </w:tc>
        <w:tc>
          <w:tcPr>
            <w:tcW w:w="2126" w:type="dxa"/>
            <w:vAlign w:val="center"/>
          </w:tcPr>
          <w:p>
            <w:pPr>
              <w:jc w:val="center"/>
              <w:rPr>
                <w:rFonts w:ascii="仿宋_GB2312" w:hAnsi="Times New Roman" w:eastAsia="仿宋_GB2312"/>
                <w:b/>
                <w:sz w:val="28"/>
                <w:szCs w:val="21"/>
              </w:rPr>
            </w:pP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widowControl/>
        <w:jc w:val="left"/>
        <w:rPr>
          <w:rFonts w:ascii="微软雅黑" w:hAnsi="微软雅黑" w:eastAsia="微软雅黑" w:cs="宋体"/>
          <w:color w:val="3F3F3F"/>
          <w:kern w:val="0"/>
          <w:szCs w:val="21"/>
        </w:rPr>
      </w:pPr>
    </w:p>
    <w:sectPr>
      <w:footerReference r:id="rId3" w:type="default"/>
      <w:pgSz w:w="11906" w:h="16838"/>
      <w:pgMar w:top="1440" w:right="991"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2CB7F"/>
    <w:multiLevelType w:val="singleLevel"/>
    <w:tmpl w:val="77D2CB7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32A2"/>
    <w:rsid w:val="0071790B"/>
    <w:rsid w:val="00735F7B"/>
    <w:rsid w:val="007610A6"/>
    <w:rsid w:val="00766032"/>
    <w:rsid w:val="00787AF2"/>
    <w:rsid w:val="00787C5D"/>
    <w:rsid w:val="007E7339"/>
    <w:rsid w:val="008046EB"/>
    <w:rsid w:val="00812AE4"/>
    <w:rsid w:val="008143CB"/>
    <w:rsid w:val="00890077"/>
    <w:rsid w:val="00893A00"/>
    <w:rsid w:val="00895307"/>
    <w:rsid w:val="008C5084"/>
    <w:rsid w:val="008D4020"/>
    <w:rsid w:val="008F18EF"/>
    <w:rsid w:val="0091120E"/>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265DB"/>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18CE0399"/>
    <w:rsid w:val="190B2F33"/>
    <w:rsid w:val="20527BD7"/>
    <w:rsid w:val="2A327913"/>
    <w:rsid w:val="2B0A4BBF"/>
    <w:rsid w:val="2D682A10"/>
    <w:rsid w:val="61893602"/>
    <w:rsid w:val="636A1977"/>
    <w:rsid w:val="7B0D46B0"/>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 w:type="character" w:customStyle="1" w:styleId="17">
    <w:name w:val="font21"/>
    <w:basedOn w:val="10"/>
    <w:qFormat/>
    <w:uiPriority w:val="0"/>
    <w:rPr>
      <w:rFonts w:hint="default" w:ascii="Times New Roman" w:hAnsi="Times New Roman" w:cs="Times New Roman"/>
      <w:color w:val="000000"/>
      <w:sz w:val="20"/>
      <w:szCs w:val="20"/>
      <w:u w:val="none"/>
    </w:rPr>
  </w:style>
  <w:style w:type="character" w:customStyle="1" w:styleId="18">
    <w:name w:val="font3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Pages>
  <Words>318</Words>
  <Characters>423</Characters>
  <Lines>4</Lines>
  <Paragraphs>1</Paragraphs>
  <TotalTime>1</TotalTime>
  <ScaleCrop>false</ScaleCrop>
  <LinksUpToDate>false</LinksUpToDate>
  <CharactersWithSpaces>474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2023-11-23T08:49:00Z</cp:lastPrinted>
  <dcterms:modified xsi:type="dcterms:W3CDTF">2024-06-28T06:33:57Z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5ECAB3CDAB1E4F2E9F0783FF98891651</vt:lpwstr>
  </property>
</Properties>
</file>