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方正小标宋简体" w:eastAsia="方正小标宋简体"/>
        </w:rPr>
      </w:pPr>
      <w:r>
        <w:rPr>
          <w:rFonts w:hint="eastAsia" w:ascii="方正小标宋简体" w:hAnsi="宋体" w:eastAsia="方正小标宋简体" w:cs="宋体"/>
          <w:b/>
          <w:bCs/>
          <w:color w:val="3F3F3F"/>
          <w:kern w:val="0"/>
          <w:sz w:val="36"/>
          <w:szCs w:val="36"/>
        </w:rPr>
        <w:t>深圳市儿童医院设备采购需求参数表</w:t>
      </w:r>
    </w:p>
    <w:tbl>
      <w:tblPr>
        <w:tblStyle w:val="7"/>
        <w:tblW w:w="9654" w:type="dxa"/>
        <w:jc w:val="center"/>
        <w:tblBorders>
          <w:top w:val="single" w:color="3F3F3F" w:sz="4" w:space="0"/>
          <w:left w:val="single" w:color="3F3F3F" w:sz="4" w:space="0"/>
          <w:bottom w:val="single" w:color="3F3F3F" w:sz="4" w:space="0"/>
          <w:right w:val="single" w:color="3F3F3F" w:sz="4" w:space="0"/>
          <w:insideH w:val="single" w:color="3F3F3F" w:sz="4" w:space="0"/>
          <w:insideV w:val="single" w:color="3F3F3F" w:sz="4" w:space="0"/>
        </w:tblBorders>
        <w:tblLayout w:type="autofit"/>
        <w:tblCellMar>
          <w:top w:w="0" w:type="dxa"/>
          <w:left w:w="108" w:type="dxa"/>
          <w:bottom w:w="0" w:type="dxa"/>
          <w:right w:w="108" w:type="dxa"/>
        </w:tblCellMar>
      </w:tblPr>
      <w:tblGrid>
        <w:gridCol w:w="660"/>
        <w:gridCol w:w="1323"/>
        <w:gridCol w:w="7671"/>
      </w:tblGrid>
      <w:tr>
        <w:tblPrEx>
          <w:tblBorders>
            <w:top w:val="single" w:color="3F3F3F" w:sz="4" w:space="0"/>
            <w:left w:val="single" w:color="3F3F3F" w:sz="4" w:space="0"/>
            <w:bottom w:val="single" w:color="3F3F3F" w:sz="4" w:space="0"/>
            <w:right w:val="single" w:color="3F3F3F" w:sz="4" w:space="0"/>
            <w:insideH w:val="single" w:color="3F3F3F" w:sz="4" w:space="0"/>
            <w:insideV w:val="single" w:color="3F3F3F" w:sz="4" w:space="0"/>
          </w:tblBorders>
          <w:tblCellMar>
            <w:top w:w="0" w:type="dxa"/>
            <w:left w:w="108" w:type="dxa"/>
            <w:bottom w:w="0" w:type="dxa"/>
            <w:right w:w="108" w:type="dxa"/>
          </w:tblCellMar>
        </w:tblPrEx>
        <w:trPr>
          <w:trHeight w:val="420" w:hRule="atLeast"/>
          <w:jc w:val="center"/>
        </w:trPr>
        <w:tc>
          <w:tcPr>
            <w:tcW w:w="660" w:type="dxa"/>
            <w:tcBorders>
              <w:tl2br w:val="nil"/>
              <w:tr2bl w:val="nil"/>
            </w:tcBorders>
            <w:shd w:val="clear" w:color="000000" w:fill="FFFFFF"/>
            <w:vAlign w:val="center"/>
          </w:tcPr>
          <w:p>
            <w:pPr>
              <w:widowControl/>
              <w:jc w:val="center"/>
              <w:rPr>
                <w:rFonts w:ascii="宋体" w:hAnsi="宋体" w:cs="宋体"/>
                <w:b/>
                <w:bCs/>
                <w:color w:val="3F3F3F"/>
                <w:kern w:val="0"/>
                <w:sz w:val="22"/>
              </w:rPr>
            </w:pPr>
            <w:r>
              <w:rPr>
                <w:rFonts w:hint="eastAsia" w:ascii="宋体" w:hAnsi="宋体" w:cs="宋体"/>
                <w:b/>
                <w:bCs/>
                <w:color w:val="3F3F3F"/>
                <w:kern w:val="0"/>
                <w:sz w:val="22"/>
              </w:rPr>
              <w:t>序号</w:t>
            </w:r>
          </w:p>
        </w:tc>
        <w:tc>
          <w:tcPr>
            <w:tcW w:w="1323" w:type="dxa"/>
            <w:tcBorders>
              <w:tl2br w:val="nil"/>
              <w:tr2bl w:val="nil"/>
            </w:tcBorders>
            <w:shd w:val="clear" w:color="000000" w:fill="FFFFFF"/>
            <w:vAlign w:val="center"/>
          </w:tcPr>
          <w:p>
            <w:pPr>
              <w:widowControl/>
              <w:jc w:val="center"/>
              <w:rPr>
                <w:rFonts w:ascii="宋体" w:hAnsi="宋体" w:cs="宋体"/>
                <w:b/>
                <w:bCs/>
                <w:color w:val="3F3F3F"/>
                <w:kern w:val="0"/>
                <w:sz w:val="22"/>
              </w:rPr>
            </w:pPr>
            <w:r>
              <w:rPr>
                <w:rFonts w:hint="eastAsia" w:ascii="宋体" w:hAnsi="宋体" w:cs="宋体"/>
                <w:b/>
                <w:bCs/>
                <w:color w:val="3F3F3F"/>
                <w:kern w:val="0"/>
                <w:sz w:val="22"/>
              </w:rPr>
              <w:t>项目名称</w:t>
            </w:r>
          </w:p>
        </w:tc>
        <w:tc>
          <w:tcPr>
            <w:tcW w:w="7671" w:type="dxa"/>
            <w:tcBorders>
              <w:tl2br w:val="nil"/>
              <w:tr2bl w:val="nil"/>
            </w:tcBorders>
            <w:shd w:val="clear" w:color="000000" w:fill="FFFFFF"/>
            <w:vAlign w:val="center"/>
          </w:tcPr>
          <w:p>
            <w:pPr>
              <w:widowControl/>
              <w:jc w:val="center"/>
              <w:rPr>
                <w:rFonts w:ascii="宋体" w:hAnsi="宋体" w:cs="宋体"/>
                <w:b/>
                <w:bCs/>
                <w:color w:val="3F3F3F"/>
                <w:kern w:val="0"/>
                <w:sz w:val="22"/>
              </w:rPr>
            </w:pPr>
            <w:r>
              <w:rPr>
                <w:rFonts w:hint="eastAsia" w:ascii="宋体" w:hAnsi="宋体" w:cs="宋体"/>
                <w:b/>
                <w:bCs/>
                <w:color w:val="3F3F3F"/>
                <w:kern w:val="0"/>
                <w:sz w:val="22"/>
              </w:rPr>
              <w:t>招标事项及要求</w:t>
            </w:r>
          </w:p>
        </w:tc>
      </w:tr>
      <w:tr>
        <w:tblPrEx>
          <w:tblBorders>
            <w:top w:val="single" w:color="3F3F3F" w:sz="4" w:space="0"/>
            <w:left w:val="single" w:color="3F3F3F" w:sz="4" w:space="0"/>
            <w:bottom w:val="single" w:color="3F3F3F" w:sz="4" w:space="0"/>
            <w:right w:val="single" w:color="3F3F3F" w:sz="4" w:space="0"/>
            <w:insideH w:val="single" w:color="3F3F3F" w:sz="4" w:space="0"/>
            <w:insideV w:val="single" w:color="3F3F3F" w:sz="4" w:space="0"/>
          </w:tblBorders>
          <w:tblCellMar>
            <w:top w:w="0" w:type="dxa"/>
            <w:left w:w="108" w:type="dxa"/>
            <w:bottom w:w="0" w:type="dxa"/>
            <w:right w:w="108" w:type="dxa"/>
          </w:tblCellMar>
        </w:tblPrEx>
        <w:trPr>
          <w:trHeight w:val="0" w:hRule="atLeast"/>
          <w:jc w:val="center"/>
        </w:trPr>
        <w:tc>
          <w:tcPr>
            <w:tcW w:w="660" w:type="dxa"/>
            <w:vMerge w:val="restart"/>
            <w:tcBorders>
              <w:tl2br w:val="nil"/>
              <w:tr2bl w:val="nil"/>
            </w:tcBorders>
            <w:shd w:val="clear" w:color="000000" w:fill="FFFFFF"/>
            <w:vAlign w:val="center"/>
          </w:tcPr>
          <w:p>
            <w:pPr>
              <w:widowControl/>
              <w:jc w:val="center"/>
              <w:rPr>
                <w:rFonts w:hint="eastAsia" w:ascii="宋体" w:hAnsi="宋体" w:cs="宋体"/>
                <w:color w:val="3F3F3F"/>
                <w:kern w:val="0"/>
                <w:sz w:val="20"/>
                <w:szCs w:val="20"/>
              </w:rPr>
            </w:pPr>
            <w:r>
              <w:rPr>
                <w:rFonts w:hint="eastAsia" w:ascii="宋体" w:hAnsi="宋体" w:cs="宋体"/>
                <w:color w:val="3F3F3F"/>
                <w:kern w:val="0"/>
                <w:sz w:val="20"/>
                <w:szCs w:val="20"/>
              </w:rPr>
              <w:t>1</w:t>
            </w:r>
          </w:p>
          <w:p>
            <w:pPr>
              <w:widowControl/>
              <w:jc w:val="left"/>
              <w:rPr>
                <w:rFonts w:ascii="宋体" w:hAnsi="宋体" w:cs="宋体"/>
                <w:b/>
                <w:bCs/>
                <w:color w:val="3F3F3F"/>
                <w:kern w:val="0"/>
                <w:sz w:val="22"/>
              </w:rPr>
            </w:pPr>
            <w:r>
              <w:rPr>
                <w:rFonts w:hint="eastAsia" w:ascii="宋体" w:hAnsi="宋体" w:cs="宋体"/>
                <w:b/>
                <w:bCs/>
                <w:color w:val="3F3F3F"/>
                <w:kern w:val="0"/>
                <w:sz w:val="22"/>
              </w:rPr>
              <w:t>　</w:t>
            </w:r>
          </w:p>
        </w:tc>
        <w:tc>
          <w:tcPr>
            <w:tcW w:w="1323" w:type="dxa"/>
            <w:vMerge w:val="restart"/>
            <w:tcBorders>
              <w:tl2br w:val="nil"/>
              <w:tr2bl w:val="nil"/>
            </w:tcBorders>
            <w:shd w:val="clear" w:color="000000" w:fill="FFFFFF"/>
            <w:vAlign w:val="center"/>
          </w:tcPr>
          <w:p>
            <w:pPr>
              <w:widowControl/>
              <w:jc w:val="center"/>
              <w:rPr>
                <w:rFonts w:hint="eastAsia" w:ascii="宋体" w:hAnsi="宋体" w:cs="宋体"/>
                <w:b/>
                <w:bCs/>
                <w:color w:val="3F3F3F"/>
                <w:kern w:val="0"/>
                <w:sz w:val="22"/>
              </w:rPr>
            </w:pPr>
            <w:r>
              <w:rPr>
                <w:rFonts w:hint="eastAsia" w:ascii="宋体" w:hAnsi="宋体" w:cs="宋体"/>
                <w:b/>
                <w:bCs/>
                <w:color w:val="3F3F3F"/>
                <w:kern w:val="0"/>
                <w:sz w:val="22"/>
              </w:rPr>
              <w:t>桥架式吊塔</w:t>
            </w:r>
          </w:p>
          <w:p>
            <w:pPr>
              <w:widowControl/>
              <w:jc w:val="center"/>
              <w:rPr>
                <w:rFonts w:ascii="宋体" w:hAnsi="宋体" w:cs="宋体"/>
                <w:b/>
                <w:bCs/>
                <w:color w:val="3F3F3F"/>
                <w:kern w:val="0"/>
                <w:sz w:val="22"/>
              </w:rPr>
            </w:pPr>
            <w:r>
              <w:rPr>
                <w:rFonts w:hint="eastAsia" w:ascii="宋体" w:hAnsi="宋体" w:cs="宋体"/>
                <w:b/>
                <w:bCs/>
                <w:color w:val="3F3F3F"/>
                <w:kern w:val="0"/>
                <w:sz w:val="22"/>
              </w:rPr>
              <w:t>　</w:t>
            </w:r>
          </w:p>
          <w:p>
            <w:pPr>
              <w:widowControl/>
              <w:rPr>
                <w:rFonts w:ascii="宋体" w:hAnsi="宋体" w:cs="宋体"/>
                <w:b/>
                <w:bCs/>
                <w:color w:val="3F3F3F"/>
                <w:kern w:val="0"/>
                <w:sz w:val="22"/>
              </w:rPr>
            </w:pPr>
          </w:p>
        </w:tc>
        <w:tc>
          <w:tcPr>
            <w:tcW w:w="7671" w:type="dxa"/>
            <w:tcBorders>
              <w:tl2br w:val="nil"/>
              <w:tr2bl w:val="nil"/>
            </w:tcBorders>
            <w:shd w:val="clear" w:color="000000" w:fill="FFFFFF"/>
            <w:vAlign w:val="top"/>
          </w:tcPr>
          <w:p>
            <w:pPr>
              <w:keepNext w:val="0"/>
              <w:keepLines w:val="0"/>
              <w:pageBreakBefore w:val="0"/>
              <w:widowControl/>
              <w:kinsoku/>
              <w:wordWrap/>
              <w:overflowPunct/>
              <w:topLinePunct w:val="0"/>
              <w:autoSpaceDE/>
              <w:autoSpaceDN/>
              <w:bidi w:val="0"/>
              <w:adjustRightInd/>
              <w:snapToGrid/>
              <w:spacing w:line="240" w:lineRule="auto"/>
              <w:jc w:val="left"/>
              <w:rPr>
                <w:rFonts w:hint="eastAsia" w:ascii="宋体" w:hAnsi="宋体" w:eastAsia="宋体" w:cs="宋体"/>
                <w:color w:val="3F3F3F"/>
                <w:kern w:val="0"/>
                <w:sz w:val="21"/>
                <w:szCs w:val="21"/>
              </w:rPr>
            </w:pPr>
            <w:r>
              <w:rPr>
                <w:rFonts w:hint="eastAsia" w:ascii="宋体" w:hAnsi="宋体" w:eastAsia="宋体" w:cs="宋体"/>
                <w:sz w:val="21"/>
                <w:szCs w:val="21"/>
              </w:rPr>
              <w:t>1.产品采用国际标准，制造企业通过ISO9001、ISO13485、QC080000认证</w:t>
            </w:r>
          </w:p>
        </w:tc>
      </w:tr>
      <w:tr>
        <w:tblPrEx>
          <w:tblBorders>
            <w:top w:val="single" w:color="3F3F3F" w:sz="4" w:space="0"/>
            <w:left w:val="single" w:color="3F3F3F" w:sz="4" w:space="0"/>
            <w:bottom w:val="single" w:color="3F3F3F" w:sz="4" w:space="0"/>
            <w:right w:val="single" w:color="3F3F3F" w:sz="4" w:space="0"/>
            <w:insideH w:val="single" w:color="3F3F3F" w:sz="4" w:space="0"/>
            <w:insideV w:val="single" w:color="3F3F3F" w:sz="4" w:space="0"/>
          </w:tblBorders>
          <w:tblCellMar>
            <w:top w:w="0" w:type="dxa"/>
            <w:left w:w="108" w:type="dxa"/>
            <w:bottom w:w="0" w:type="dxa"/>
            <w:right w:w="108" w:type="dxa"/>
          </w:tblCellMar>
        </w:tblPrEx>
        <w:trPr>
          <w:trHeight w:val="0" w:hRule="atLeast"/>
          <w:jc w:val="center"/>
        </w:trPr>
        <w:tc>
          <w:tcPr>
            <w:tcW w:w="660" w:type="dxa"/>
            <w:vMerge w:val="continue"/>
            <w:tcBorders>
              <w:tl2br w:val="nil"/>
              <w:tr2bl w:val="nil"/>
            </w:tcBorders>
            <w:shd w:val="clear" w:color="000000" w:fill="FFFFFF"/>
            <w:vAlign w:val="center"/>
          </w:tcPr>
          <w:p>
            <w:pPr>
              <w:widowControl/>
              <w:jc w:val="center"/>
              <w:rPr>
                <w:rFonts w:ascii="宋体" w:hAnsi="宋体" w:cs="宋体"/>
                <w:color w:val="3F3F3F"/>
                <w:kern w:val="0"/>
                <w:sz w:val="20"/>
                <w:szCs w:val="20"/>
              </w:rPr>
            </w:pPr>
          </w:p>
        </w:tc>
        <w:tc>
          <w:tcPr>
            <w:tcW w:w="1323" w:type="dxa"/>
            <w:vMerge w:val="continue"/>
            <w:tcBorders>
              <w:tl2br w:val="nil"/>
              <w:tr2bl w:val="nil"/>
            </w:tcBorders>
            <w:shd w:val="clear" w:color="000000" w:fill="FFFFFF"/>
            <w:vAlign w:val="center"/>
          </w:tcPr>
          <w:p>
            <w:pPr>
              <w:widowControl/>
              <w:jc w:val="center"/>
              <w:rPr>
                <w:rFonts w:ascii="宋体" w:hAnsi="宋体" w:cs="宋体"/>
                <w:color w:val="3F3F3F"/>
                <w:kern w:val="0"/>
                <w:sz w:val="20"/>
                <w:szCs w:val="20"/>
              </w:rPr>
            </w:pPr>
          </w:p>
        </w:tc>
        <w:tc>
          <w:tcPr>
            <w:tcW w:w="7671" w:type="dxa"/>
            <w:tcBorders>
              <w:tl2br w:val="nil"/>
              <w:tr2bl w:val="nil"/>
            </w:tcBorders>
            <w:shd w:val="clear" w:color="000000" w:fill="FFFFFF"/>
            <w:vAlign w:val="top"/>
          </w:tcPr>
          <w:p>
            <w:pPr>
              <w:keepNext w:val="0"/>
              <w:keepLines w:val="0"/>
              <w:pageBreakBefore w:val="0"/>
              <w:widowControl/>
              <w:kinsoku/>
              <w:wordWrap/>
              <w:overflowPunct/>
              <w:topLinePunct w:val="0"/>
              <w:autoSpaceDE/>
              <w:autoSpaceDN/>
              <w:bidi w:val="0"/>
              <w:adjustRightInd/>
              <w:snapToGrid/>
              <w:spacing w:line="240" w:lineRule="auto"/>
              <w:jc w:val="left"/>
              <w:rPr>
                <w:rFonts w:hint="eastAsia" w:ascii="宋体" w:hAnsi="宋体" w:eastAsia="宋体" w:cs="宋体"/>
                <w:color w:val="FF0000"/>
                <w:sz w:val="21"/>
                <w:szCs w:val="21"/>
              </w:rPr>
            </w:pPr>
            <w:r>
              <w:rPr>
                <w:rFonts w:hint="eastAsia" w:ascii="宋体" w:hAnsi="宋体" w:eastAsia="宋体" w:cs="宋体"/>
                <w:sz w:val="21"/>
                <w:szCs w:val="21"/>
              </w:rPr>
              <w:t>2.吊桥主体具备极高的抗拉强度和屈服强度，采用6005高强度铝合金型材，加工级别达到T6。（提供权威第三方检测报告）</w:t>
            </w:r>
          </w:p>
        </w:tc>
      </w:tr>
      <w:tr>
        <w:tblPrEx>
          <w:tblBorders>
            <w:top w:val="single" w:color="3F3F3F" w:sz="4" w:space="0"/>
            <w:left w:val="single" w:color="3F3F3F" w:sz="4" w:space="0"/>
            <w:bottom w:val="single" w:color="3F3F3F" w:sz="4" w:space="0"/>
            <w:right w:val="single" w:color="3F3F3F" w:sz="4" w:space="0"/>
            <w:insideH w:val="single" w:color="3F3F3F" w:sz="4" w:space="0"/>
            <w:insideV w:val="single" w:color="3F3F3F" w:sz="4" w:space="0"/>
          </w:tblBorders>
          <w:tblCellMar>
            <w:top w:w="0" w:type="dxa"/>
            <w:left w:w="108" w:type="dxa"/>
            <w:bottom w:w="0" w:type="dxa"/>
            <w:right w:w="108" w:type="dxa"/>
          </w:tblCellMar>
        </w:tblPrEx>
        <w:trPr>
          <w:trHeight w:val="0" w:hRule="atLeast"/>
          <w:jc w:val="center"/>
        </w:trPr>
        <w:tc>
          <w:tcPr>
            <w:tcW w:w="660" w:type="dxa"/>
            <w:vMerge w:val="continue"/>
            <w:tcBorders>
              <w:tl2br w:val="nil"/>
              <w:tr2bl w:val="nil"/>
            </w:tcBorders>
            <w:vAlign w:val="center"/>
          </w:tcPr>
          <w:p>
            <w:pPr>
              <w:widowControl/>
              <w:jc w:val="left"/>
              <w:rPr>
                <w:rFonts w:ascii="宋体" w:hAnsi="宋体" w:cs="宋体"/>
                <w:color w:val="3F3F3F"/>
                <w:kern w:val="0"/>
                <w:sz w:val="20"/>
                <w:szCs w:val="20"/>
              </w:rPr>
            </w:pPr>
          </w:p>
        </w:tc>
        <w:tc>
          <w:tcPr>
            <w:tcW w:w="1323" w:type="dxa"/>
            <w:vMerge w:val="continue"/>
            <w:tcBorders>
              <w:tl2br w:val="nil"/>
              <w:tr2bl w:val="nil"/>
            </w:tcBorders>
            <w:vAlign w:val="center"/>
          </w:tcPr>
          <w:p>
            <w:pPr>
              <w:widowControl/>
              <w:jc w:val="left"/>
              <w:rPr>
                <w:rFonts w:ascii="宋体" w:hAnsi="宋体" w:cs="宋体"/>
                <w:color w:val="3F3F3F"/>
                <w:kern w:val="0"/>
                <w:sz w:val="20"/>
                <w:szCs w:val="20"/>
              </w:rPr>
            </w:pPr>
          </w:p>
        </w:tc>
        <w:tc>
          <w:tcPr>
            <w:tcW w:w="7671" w:type="dxa"/>
            <w:tcBorders>
              <w:tl2br w:val="nil"/>
              <w:tr2bl w:val="nil"/>
            </w:tcBorders>
            <w:shd w:val="clear" w:color="000000" w:fill="FFFFFF"/>
            <w:vAlign w:val="top"/>
          </w:tcPr>
          <w:p>
            <w:pPr>
              <w:keepNext w:val="0"/>
              <w:keepLines w:val="0"/>
              <w:pageBreakBefore w:val="0"/>
              <w:widowControl/>
              <w:kinsoku/>
              <w:wordWrap/>
              <w:overflowPunct/>
              <w:topLinePunct w:val="0"/>
              <w:autoSpaceDE/>
              <w:autoSpaceDN/>
              <w:bidi w:val="0"/>
              <w:adjustRightInd/>
              <w:snapToGrid/>
              <w:spacing w:line="240" w:lineRule="auto"/>
              <w:jc w:val="left"/>
              <w:rPr>
                <w:rFonts w:hint="eastAsia" w:ascii="宋体" w:hAnsi="宋体" w:eastAsia="宋体" w:cs="宋体"/>
                <w:sz w:val="21"/>
                <w:szCs w:val="21"/>
              </w:rPr>
            </w:pPr>
            <w:r>
              <w:rPr>
                <w:rFonts w:hint="eastAsia" w:ascii="宋体" w:hAnsi="宋体" w:eastAsia="宋体" w:cs="宋体"/>
                <w:sz w:val="21"/>
                <w:szCs w:val="21"/>
              </w:rPr>
              <w:t>3.吊塔承载最大工作承重时相对于空载时。终端箱体底部沿垂直方向的方向位移量≤25mm；根据额定承重，负载时箱体倾斜角度≤0.7°。（提供权威第三方检测报告）</w:t>
            </w:r>
          </w:p>
        </w:tc>
      </w:tr>
      <w:tr>
        <w:tblPrEx>
          <w:tblBorders>
            <w:top w:val="single" w:color="3F3F3F" w:sz="4" w:space="0"/>
            <w:left w:val="single" w:color="3F3F3F" w:sz="4" w:space="0"/>
            <w:bottom w:val="single" w:color="3F3F3F" w:sz="4" w:space="0"/>
            <w:right w:val="single" w:color="3F3F3F" w:sz="4" w:space="0"/>
            <w:insideH w:val="single" w:color="3F3F3F" w:sz="4" w:space="0"/>
            <w:insideV w:val="single" w:color="3F3F3F" w:sz="4" w:space="0"/>
          </w:tblBorders>
          <w:tblCellMar>
            <w:top w:w="0" w:type="dxa"/>
            <w:left w:w="108" w:type="dxa"/>
            <w:bottom w:w="0" w:type="dxa"/>
            <w:right w:w="108" w:type="dxa"/>
          </w:tblCellMar>
        </w:tblPrEx>
        <w:trPr>
          <w:trHeight w:val="0" w:hRule="atLeast"/>
          <w:jc w:val="center"/>
        </w:trPr>
        <w:tc>
          <w:tcPr>
            <w:tcW w:w="660" w:type="dxa"/>
            <w:vMerge w:val="continue"/>
            <w:tcBorders>
              <w:tl2br w:val="nil"/>
              <w:tr2bl w:val="nil"/>
            </w:tcBorders>
            <w:vAlign w:val="center"/>
          </w:tcPr>
          <w:p>
            <w:pPr>
              <w:widowControl/>
              <w:jc w:val="left"/>
              <w:rPr>
                <w:rFonts w:ascii="宋体" w:hAnsi="宋体" w:cs="宋体"/>
                <w:color w:val="3F3F3F"/>
                <w:kern w:val="0"/>
                <w:sz w:val="20"/>
                <w:szCs w:val="20"/>
              </w:rPr>
            </w:pPr>
          </w:p>
        </w:tc>
        <w:tc>
          <w:tcPr>
            <w:tcW w:w="1323" w:type="dxa"/>
            <w:vMerge w:val="continue"/>
            <w:tcBorders>
              <w:tl2br w:val="nil"/>
              <w:tr2bl w:val="nil"/>
            </w:tcBorders>
            <w:vAlign w:val="center"/>
          </w:tcPr>
          <w:p>
            <w:pPr>
              <w:widowControl/>
              <w:jc w:val="left"/>
              <w:rPr>
                <w:rFonts w:ascii="宋体" w:hAnsi="宋体" w:cs="宋体"/>
                <w:color w:val="3F3F3F"/>
                <w:kern w:val="0"/>
                <w:sz w:val="20"/>
                <w:szCs w:val="20"/>
              </w:rPr>
            </w:pPr>
          </w:p>
        </w:tc>
        <w:tc>
          <w:tcPr>
            <w:tcW w:w="7671" w:type="dxa"/>
            <w:tcBorders>
              <w:tl2br w:val="nil"/>
              <w:tr2bl w:val="nil"/>
            </w:tcBorders>
            <w:shd w:val="clear" w:color="000000" w:fill="FFFFFF"/>
            <w:vAlign w:val="top"/>
          </w:tcPr>
          <w:p>
            <w:pPr>
              <w:keepNext w:val="0"/>
              <w:keepLines w:val="0"/>
              <w:pageBreakBefore w:val="0"/>
              <w:kinsoku/>
              <w:wordWrap/>
              <w:overflowPunct/>
              <w:topLinePunct w:val="0"/>
              <w:autoSpaceDE/>
              <w:autoSpaceDN/>
              <w:bidi w:val="0"/>
              <w:adjustRightInd/>
              <w:snapToGrid/>
              <w:spacing w:line="240" w:lineRule="auto"/>
              <w:rPr>
                <w:rFonts w:hint="eastAsia" w:ascii="宋体" w:hAnsi="宋体" w:eastAsia="宋体" w:cs="宋体"/>
                <w:sz w:val="21"/>
                <w:szCs w:val="21"/>
              </w:rPr>
            </w:pPr>
            <w:r>
              <w:rPr>
                <w:rFonts w:hint="eastAsia" w:ascii="宋体" w:hAnsi="宋体" w:eastAsia="宋体" w:cs="宋体"/>
                <w:sz w:val="21"/>
                <w:szCs w:val="21"/>
              </w:rPr>
              <w:t>4.▲箱体采用全模块化设计，电源，气源，网口等终端安装在独立的模块上，模块尺寸不大于150×200mm，节省空间。支持预制白板模块，后期可将白板模块拆卸更换为临床所需的功能模块。（提供权威第三方检测报告）</w:t>
            </w:r>
          </w:p>
        </w:tc>
      </w:tr>
      <w:tr>
        <w:tblPrEx>
          <w:tblBorders>
            <w:top w:val="single" w:color="3F3F3F" w:sz="4" w:space="0"/>
            <w:left w:val="single" w:color="3F3F3F" w:sz="4" w:space="0"/>
            <w:bottom w:val="single" w:color="3F3F3F" w:sz="4" w:space="0"/>
            <w:right w:val="single" w:color="3F3F3F" w:sz="4" w:space="0"/>
            <w:insideH w:val="single" w:color="3F3F3F" w:sz="4" w:space="0"/>
            <w:insideV w:val="single" w:color="3F3F3F" w:sz="4" w:space="0"/>
          </w:tblBorders>
          <w:tblCellMar>
            <w:top w:w="0" w:type="dxa"/>
            <w:left w:w="108" w:type="dxa"/>
            <w:bottom w:w="0" w:type="dxa"/>
            <w:right w:w="108" w:type="dxa"/>
          </w:tblCellMar>
        </w:tblPrEx>
        <w:trPr>
          <w:trHeight w:val="0" w:hRule="atLeast"/>
          <w:jc w:val="center"/>
        </w:trPr>
        <w:tc>
          <w:tcPr>
            <w:tcW w:w="660" w:type="dxa"/>
            <w:vMerge w:val="continue"/>
            <w:tcBorders>
              <w:tl2br w:val="nil"/>
              <w:tr2bl w:val="nil"/>
            </w:tcBorders>
            <w:vAlign w:val="center"/>
          </w:tcPr>
          <w:p>
            <w:pPr>
              <w:widowControl/>
              <w:jc w:val="left"/>
              <w:rPr>
                <w:rFonts w:ascii="宋体" w:hAnsi="宋体" w:cs="宋体"/>
                <w:color w:val="3F3F3F"/>
                <w:kern w:val="0"/>
                <w:sz w:val="20"/>
                <w:szCs w:val="20"/>
              </w:rPr>
            </w:pPr>
          </w:p>
        </w:tc>
        <w:tc>
          <w:tcPr>
            <w:tcW w:w="1323" w:type="dxa"/>
            <w:vMerge w:val="continue"/>
            <w:tcBorders>
              <w:tl2br w:val="nil"/>
              <w:tr2bl w:val="nil"/>
            </w:tcBorders>
            <w:vAlign w:val="center"/>
          </w:tcPr>
          <w:p>
            <w:pPr>
              <w:widowControl/>
              <w:jc w:val="left"/>
              <w:rPr>
                <w:rFonts w:ascii="宋体" w:hAnsi="宋体" w:cs="宋体"/>
                <w:color w:val="3F3F3F"/>
                <w:kern w:val="0"/>
                <w:sz w:val="20"/>
                <w:szCs w:val="20"/>
              </w:rPr>
            </w:pPr>
          </w:p>
        </w:tc>
        <w:tc>
          <w:tcPr>
            <w:tcW w:w="7671" w:type="dxa"/>
            <w:tcBorders>
              <w:tl2br w:val="nil"/>
              <w:tr2bl w:val="nil"/>
            </w:tcBorders>
            <w:shd w:val="clear" w:color="000000" w:fill="FFFFFF"/>
            <w:vAlign w:val="top"/>
          </w:tcPr>
          <w:p>
            <w:pPr>
              <w:keepNext w:val="0"/>
              <w:keepLines w:val="0"/>
              <w:pageBreakBefore w:val="0"/>
              <w:widowControl/>
              <w:kinsoku/>
              <w:wordWrap/>
              <w:overflowPunct/>
              <w:topLinePunct w:val="0"/>
              <w:autoSpaceDE/>
              <w:autoSpaceDN/>
              <w:bidi w:val="0"/>
              <w:adjustRightInd/>
              <w:snapToGrid/>
              <w:spacing w:line="240" w:lineRule="auto"/>
              <w:jc w:val="left"/>
              <w:rPr>
                <w:rFonts w:hint="eastAsia" w:ascii="宋体" w:hAnsi="宋体" w:eastAsia="宋体" w:cs="宋体"/>
                <w:color w:val="3F3F3F"/>
                <w:kern w:val="0"/>
                <w:sz w:val="21"/>
                <w:szCs w:val="21"/>
              </w:rPr>
            </w:pPr>
            <w:r>
              <w:rPr>
                <w:rFonts w:hint="eastAsia" w:ascii="宋体" w:hAnsi="宋体" w:eastAsia="宋体" w:cs="宋体"/>
                <w:sz w:val="21"/>
                <w:szCs w:val="21"/>
              </w:rPr>
              <w:t>5.所有吊桥上承载的设备的电源线及气源管路和塔体之间不会发生相对移动，所有电源线路及气源管路在吊桥内不外露，保证箱体在移动过程中，不会因位置的改变导致线路的脱落。</w:t>
            </w:r>
          </w:p>
        </w:tc>
      </w:tr>
      <w:tr>
        <w:tblPrEx>
          <w:tblBorders>
            <w:top w:val="single" w:color="3F3F3F" w:sz="4" w:space="0"/>
            <w:left w:val="single" w:color="3F3F3F" w:sz="4" w:space="0"/>
            <w:bottom w:val="single" w:color="3F3F3F" w:sz="4" w:space="0"/>
            <w:right w:val="single" w:color="3F3F3F" w:sz="4" w:space="0"/>
            <w:insideH w:val="single" w:color="3F3F3F" w:sz="4" w:space="0"/>
            <w:insideV w:val="single" w:color="3F3F3F" w:sz="4" w:space="0"/>
          </w:tblBorders>
          <w:tblCellMar>
            <w:top w:w="0" w:type="dxa"/>
            <w:left w:w="108" w:type="dxa"/>
            <w:bottom w:w="0" w:type="dxa"/>
            <w:right w:w="108" w:type="dxa"/>
          </w:tblCellMar>
        </w:tblPrEx>
        <w:trPr>
          <w:trHeight w:val="0" w:hRule="atLeast"/>
          <w:jc w:val="center"/>
        </w:trPr>
        <w:tc>
          <w:tcPr>
            <w:tcW w:w="660" w:type="dxa"/>
            <w:vMerge w:val="continue"/>
            <w:tcBorders>
              <w:tl2br w:val="nil"/>
              <w:tr2bl w:val="nil"/>
            </w:tcBorders>
            <w:vAlign w:val="center"/>
          </w:tcPr>
          <w:p>
            <w:pPr>
              <w:widowControl/>
              <w:jc w:val="left"/>
              <w:rPr>
                <w:rFonts w:ascii="宋体" w:hAnsi="宋体" w:cs="宋体"/>
                <w:color w:val="3F3F3F"/>
                <w:kern w:val="0"/>
                <w:sz w:val="20"/>
                <w:szCs w:val="20"/>
              </w:rPr>
            </w:pPr>
          </w:p>
        </w:tc>
        <w:tc>
          <w:tcPr>
            <w:tcW w:w="1323" w:type="dxa"/>
            <w:vMerge w:val="continue"/>
            <w:tcBorders>
              <w:tl2br w:val="nil"/>
              <w:tr2bl w:val="nil"/>
            </w:tcBorders>
            <w:vAlign w:val="center"/>
          </w:tcPr>
          <w:p>
            <w:pPr>
              <w:widowControl/>
              <w:jc w:val="left"/>
              <w:rPr>
                <w:rFonts w:ascii="宋体" w:hAnsi="宋体" w:cs="宋体"/>
                <w:color w:val="3F3F3F"/>
                <w:kern w:val="0"/>
                <w:sz w:val="20"/>
                <w:szCs w:val="20"/>
              </w:rPr>
            </w:pPr>
          </w:p>
        </w:tc>
        <w:tc>
          <w:tcPr>
            <w:tcW w:w="7671" w:type="dxa"/>
            <w:tcBorders>
              <w:tl2br w:val="nil"/>
              <w:tr2bl w:val="nil"/>
            </w:tcBorders>
            <w:shd w:val="clear" w:color="000000" w:fill="FFFFFF"/>
            <w:vAlign w:val="top"/>
          </w:tcPr>
          <w:p>
            <w:pPr>
              <w:keepNext w:val="0"/>
              <w:keepLines w:val="0"/>
              <w:pageBreakBefore w:val="0"/>
              <w:tabs>
                <w:tab w:val="left" w:pos="425"/>
              </w:tabs>
              <w:kinsoku/>
              <w:wordWrap/>
              <w:overflowPunct/>
              <w:topLinePunct w:val="0"/>
              <w:autoSpaceDE/>
              <w:autoSpaceDN/>
              <w:bidi w:val="0"/>
              <w:adjustRightInd/>
              <w:snapToGrid/>
              <w:spacing w:line="240" w:lineRule="auto"/>
              <w:jc w:val="left"/>
              <w:textAlignment w:val="baseline"/>
              <w:rPr>
                <w:rFonts w:hint="eastAsia" w:ascii="宋体" w:hAnsi="宋体" w:eastAsia="宋体" w:cs="宋体"/>
                <w:sz w:val="21"/>
                <w:szCs w:val="21"/>
              </w:rPr>
            </w:pPr>
            <w:r>
              <w:rPr>
                <w:rFonts w:hint="eastAsia" w:ascii="宋体" w:hAnsi="宋体" w:eastAsia="宋体" w:cs="宋体"/>
                <w:sz w:val="21"/>
                <w:szCs w:val="21"/>
              </w:rPr>
              <w:t>6.托盘采用铝合金一体压铸，厚度≥20mm，表面喷涂防滑荔枝纹。托盘两侧有封闭式铝合金边轨，无开口。</w:t>
            </w:r>
          </w:p>
        </w:tc>
      </w:tr>
      <w:tr>
        <w:tblPrEx>
          <w:tblBorders>
            <w:top w:val="single" w:color="3F3F3F" w:sz="4" w:space="0"/>
            <w:left w:val="single" w:color="3F3F3F" w:sz="4" w:space="0"/>
            <w:bottom w:val="single" w:color="3F3F3F" w:sz="4" w:space="0"/>
            <w:right w:val="single" w:color="3F3F3F" w:sz="4" w:space="0"/>
            <w:insideH w:val="single" w:color="3F3F3F" w:sz="4" w:space="0"/>
            <w:insideV w:val="single" w:color="3F3F3F" w:sz="4" w:space="0"/>
          </w:tblBorders>
          <w:tblCellMar>
            <w:top w:w="0" w:type="dxa"/>
            <w:left w:w="108" w:type="dxa"/>
            <w:bottom w:w="0" w:type="dxa"/>
            <w:right w:w="108" w:type="dxa"/>
          </w:tblCellMar>
        </w:tblPrEx>
        <w:trPr>
          <w:trHeight w:val="0" w:hRule="atLeast"/>
          <w:jc w:val="center"/>
        </w:trPr>
        <w:tc>
          <w:tcPr>
            <w:tcW w:w="660" w:type="dxa"/>
            <w:vMerge w:val="continue"/>
            <w:tcBorders>
              <w:tl2br w:val="nil"/>
              <w:tr2bl w:val="nil"/>
            </w:tcBorders>
            <w:vAlign w:val="center"/>
          </w:tcPr>
          <w:p>
            <w:pPr>
              <w:widowControl/>
              <w:jc w:val="left"/>
              <w:rPr>
                <w:rFonts w:ascii="宋体" w:hAnsi="宋体" w:cs="宋体"/>
                <w:color w:val="3F3F3F"/>
                <w:kern w:val="0"/>
                <w:sz w:val="20"/>
                <w:szCs w:val="20"/>
              </w:rPr>
            </w:pPr>
          </w:p>
        </w:tc>
        <w:tc>
          <w:tcPr>
            <w:tcW w:w="1323" w:type="dxa"/>
            <w:vMerge w:val="continue"/>
            <w:tcBorders>
              <w:tl2br w:val="nil"/>
              <w:tr2bl w:val="nil"/>
            </w:tcBorders>
            <w:vAlign w:val="center"/>
          </w:tcPr>
          <w:p>
            <w:pPr>
              <w:widowControl/>
              <w:jc w:val="left"/>
              <w:rPr>
                <w:rFonts w:ascii="宋体" w:hAnsi="宋体" w:cs="宋体"/>
                <w:color w:val="3F3F3F"/>
                <w:kern w:val="0"/>
                <w:sz w:val="20"/>
                <w:szCs w:val="20"/>
              </w:rPr>
            </w:pPr>
          </w:p>
        </w:tc>
        <w:tc>
          <w:tcPr>
            <w:tcW w:w="7671" w:type="dxa"/>
            <w:tcBorders>
              <w:tl2br w:val="nil"/>
              <w:tr2bl w:val="nil"/>
            </w:tcBorders>
            <w:shd w:val="clear" w:color="000000" w:fill="FFFFFF"/>
            <w:vAlign w:val="top"/>
          </w:tcPr>
          <w:p>
            <w:pPr>
              <w:keepNext w:val="0"/>
              <w:keepLines w:val="0"/>
              <w:pageBreakBefore w:val="0"/>
              <w:tabs>
                <w:tab w:val="left" w:pos="425"/>
              </w:tabs>
              <w:kinsoku/>
              <w:wordWrap/>
              <w:overflowPunct/>
              <w:topLinePunct w:val="0"/>
              <w:autoSpaceDE/>
              <w:autoSpaceDN/>
              <w:bidi w:val="0"/>
              <w:adjustRightInd/>
              <w:snapToGrid/>
              <w:spacing w:line="240" w:lineRule="auto"/>
              <w:jc w:val="left"/>
              <w:textAlignment w:val="baseline"/>
              <w:rPr>
                <w:rFonts w:hint="eastAsia" w:ascii="宋体" w:hAnsi="宋体" w:eastAsia="宋体" w:cs="宋体"/>
                <w:sz w:val="21"/>
                <w:szCs w:val="21"/>
              </w:rPr>
            </w:pPr>
            <w:r>
              <w:rPr>
                <w:rFonts w:hint="eastAsia" w:ascii="宋体" w:hAnsi="宋体" w:eastAsia="宋体" w:cs="宋体"/>
                <w:sz w:val="21"/>
                <w:szCs w:val="21"/>
              </w:rPr>
              <w:t>7.输液杆可升级一体式输液泵架，双杆设计，套泵和输液瓶分杆挂置，且配有套泵集线卡扣。（提供彩页证明）</w:t>
            </w:r>
          </w:p>
        </w:tc>
      </w:tr>
      <w:tr>
        <w:tblPrEx>
          <w:tblBorders>
            <w:top w:val="single" w:color="3F3F3F" w:sz="4" w:space="0"/>
            <w:left w:val="single" w:color="3F3F3F" w:sz="4" w:space="0"/>
            <w:bottom w:val="single" w:color="3F3F3F" w:sz="4" w:space="0"/>
            <w:right w:val="single" w:color="3F3F3F" w:sz="4" w:space="0"/>
            <w:insideH w:val="single" w:color="3F3F3F" w:sz="4" w:space="0"/>
            <w:insideV w:val="single" w:color="3F3F3F" w:sz="4" w:space="0"/>
          </w:tblBorders>
          <w:tblCellMar>
            <w:top w:w="0" w:type="dxa"/>
            <w:left w:w="108" w:type="dxa"/>
            <w:bottom w:w="0" w:type="dxa"/>
            <w:right w:w="108" w:type="dxa"/>
          </w:tblCellMar>
        </w:tblPrEx>
        <w:trPr>
          <w:trHeight w:val="0" w:hRule="atLeast"/>
          <w:jc w:val="center"/>
        </w:trPr>
        <w:tc>
          <w:tcPr>
            <w:tcW w:w="660" w:type="dxa"/>
            <w:vMerge w:val="continue"/>
            <w:tcBorders>
              <w:tl2br w:val="nil"/>
              <w:tr2bl w:val="nil"/>
            </w:tcBorders>
            <w:vAlign w:val="center"/>
          </w:tcPr>
          <w:p>
            <w:pPr>
              <w:widowControl/>
              <w:jc w:val="left"/>
              <w:rPr>
                <w:rFonts w:ascii="宋体" w:hAnsi="宋体" w:cs="宋体"/>
                <w:color w:val="3F3F3F"/>
                <w:kern w:val="0"/>
                <w:sz w:val="20"/>
                <w:szCs w:val="20"/>
              </w:rPr>
            </w:pPr>
          </w:p>
        </w:tc>
        <w:tc>
          <w:tcPr>
            <w:tcW w:w="1323" w:type="dxa"/>
            <w:vMerge w:val="continue"/>
            <w:tcBorders>
              <w:tl2br w:val="nil"/>
              <w:tr2bl w:val="nil"/>
            </w:tcBorders>
            <w:vAlign w:val="center"/>
          </w:tcPr>
          <w:p>
            <w:pPr>
              <w:widowControl/>
              <w:jc w:val="left"/>
              <w:rPr>
                <w:rFonts w:ascii="宋体" w:hAnsi="宋体" w:cs="宋体"/>
                <w:color w:val="3F3F3F"/>
                <w:kern w:val="0"/>
                <w:sz w:val="20"/>
                <w:szCs w:val="20"/>
              </w:rPr>
            </w:pPr>
          </w:p>
        </w:tc>
        <w:tc>
          <w:tcPr>
            <w:tcW w:w="7671" w:type="dxa"/>
            <w:tcBorders>
              <w:tl2br w:val="nil"/>
              <w:tr2bl w:val="nil"/>
            </w:tcBorders>
            <w:shd w:val="clear" w:color="000000" w:fill="FFFFFF"/>
            <w:vAlign w:val="top"/>
          </w:tcPr>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bidi="ar"/>
              </w:rPr>
              <w:t>8.▲</w:t>
            </w:r>
            <w:r>
              <w:rPr>
                <w:rFonts w:hint="eastAsia" w:ascii="宋体" w:hAnsi="宋体" w:eastAsia="宋体" w:cs="宋体"/>
                <w:sz w:val="21"/>
                <w:szCs w:val="21"/>
              </w:rPr>
              <w:t>抽屉托盘木箱以及悬梁木箱通过冲击试验后，外包装及产品均完好无损。（提供权威第三方检测报告）</w:t>
            </w:r>
          </w:p>
        </w:tc>
      </w:tr>
      <w:tr>
        <w:tblPrEx>
          <w:tblBorders>
            <w:top w:val="single" w:color="3F3F3F" w:sz="4" w:space="0"/>
            <w:left w:val="single" w:color="3F3F3F" w:sz="4" w:space="0"/>
            <w:bottom w:val="single" w:color="3F3F3F" w:sz="4" w:space="0"/>
            <w:right w:val="single" w:color="3F3F3F" w:sz="4" w:space="0"/>
            <w:insideH w:val="single" w:color="3F3F3F" w:sz="4" w:space="0"/>
            <w:insideV w:val="single" w:color="3F3F3F" w:sz="4" w:space="0"/>
          </w:tblBorders>
          <w:tblCellMar>
            <w:top w:w="0" w:type="dxa"/>
            <w:left w:w="108" w:type="dxa"/>
            <w:bottom w:w="0" w:type="dxa"/>
            <w:right w:w="108" w:type="dxa"/>
          </w:tblCellMar>
        </w:tblPrEx>
        <w:trPr>
          <w:trHeight w:val="0" w:hRule="atLeast"/>
          <w:jc w:val="center"/>
        </w:trPr>
        <w:tc>
          <w:tcPr>
            <w:tcW w:w="660" w:type="dxa"/>
            <w:vMerge w:val="continue"/>
            <w:tcBorders>
              <w:tl2br w:val="nil"/>
              <w:tr2bl w:val="nil"/>
            </w:tcBorders>
            <w:vAlign w:val="center"/>
          </w:tcPr>
          <w:p>
            <w:pPr>
              <w:widowControl/>
              <w:jc w:val="left"/>
              <w:rPr>
                <w:rFonts w:ascii="宋体" w:hAnsi="宋体" w:cs="宋体"/>
                <w:color w:val="3F3F3F"/>
                <w:kern w:val="0"/>
                <w:sz w:val="20"/>
                <w:szCs w:val="20"/>
              </w:rPr>
            </w:pPr>
          </w:p>
        </w:tc>
        <w:tc>
          <w:tcPr>
            <w:tcW w:w="1323" w:type="dxa"/>
            <w:vMerge w:val="continue"/>
            <w:tcBorders>
              <w:tl2br w:val="nil"/>
              <w:tr2bl w:val="nil"/>
            </w:tcBorders>
            <w:vAlign w:val="center"/>
          </w:tcPr>
          <w:p>
            <w:pPr>
              <w:widowControl/>
              <w:jc w:val="left"/>
              <w:rPr>
                <w:rFonts w:ascii="宋体" w:hAnsi="宋体" w:cs="宋体"/>
                <w:color w:val="3F3F3F"/>
                <w:kern w:val="0"/>
                <w:sz w:val="20"/>
                <w:szCs w:val="20"/>
              </w:rPr>
            </w:pPr>
          </w:p>
        </w:tc>
        <w:tc>
          <w:tcPr>
            <w:tcW w:w="7671" w:type="dxa"/>
            <w:tcBorders>
              <w:tl2br w:val="nil"/>
              <w:tr2bl w:val="nil"/>
            </w:tcBorders>
            <w:shd w:val="clear" w:color="000000" w:fill="FFFFFF"/>
            <w:vAlign w:val="top"/>
          </w:tcPr>
          <w:p>
            <w:pPr>
              <w:keepNext w:val="0"/>
              <w:keepLines w:val="0"/>
              <w:pageBreakBefore w:val="0"/>
              <w:kinsoku/>
              <w:wordWrap/>
              <w:overflowPunct/>
              <w:topLinePunct w:val="0"/>
              <w:autoSpaceDE/>
              <w:autoSpaceDN/>
              <w:bidi w:val="0"/>
              <w:adjustRightInd/>
              <w:snapToGrid/>
              <w:spacing w:line="240" w:lineRule="auto"/>
              <w:rPr>
                <w:rFonts w:hint="eastAsia" w:ascii="宋体" w:hAnsi="宋体" w:eastAsia="宋体" w:cs="宋体"/>
                <w:color w:val="000000"/>
                <w:kern w:val="0"/>
                <w:sz w:val="21"/>
                <w:szCs w:val="21"/>
                <w:lang w:bidi="ar"/>
              </w:rPr>
            </w:pPr>
            <w:r>
              <w:rPr>
                <w:rFonts w:hint="eastAsia" w:ascii="宋体" w:hAnsi="宋体" w:eastAsia="宋体" w:cs="宋体"/>
                <w:sz w:val="21"/>
                <w:szCs w:val="21"/>
              </w:rPr>
              <w:t>9.▲所有吊桥箱体可旋转角度≥345度。（提供权威第三方检测报告）</w:t>
            </w:r>
          </w:p>
        </w:tc>
      </w:tr>
      <w:tr>
        <w:tblPrEx>
          <w:tblBorders>
            <w:top w:val="single" w:color="3F3F3F" w:sz="4" w:space="0"/>
            <w:left w:val="single" w:color="3F3F3F" w:sz="4" w:space="0"/>
            <w:bottom w:val="single" w:color="3F3F3F" w:sz="4" w:space="0"/>
            <w:right w:val="single" w:color="3F3F3F" w:sz="4" w:space="0"/>
            <w:insideH w:val="single" w:color="3F3F3F" w:sz="4" w:space="0"/>
            <w:insideV w:val="single" w:color="3F3F3F" w:sz="4" w:space="0"/>
          </w:tblBorders>
          <w:tblCellMar>
            <w:top w:w="0" w:type="dxa"/>
            <w:left w:w="108" w:type="dxa"/>
            <w:bottom w:w="0" w:type="dxa"/>
            <w:right w:w="108" w:type="dxa"/>
          </w:tblCellMar>
        </w:tblPrEx>
        <w:trPr>
          <w:trHeight w:val="0" w:hRule="atLeast"/>
          <w:jc w:val="center"/>
        </w:trPr>
        <w:tc>
          <w:tcPr>
            <w:tcW w:w="660" w:type="dxa"/>
            <w:vMerge w:val="continue"/>
            <w:tcBorders>
              <w:tl2br w:val="nil"/>
              <w:tr2bl w:val="nil"/>
            </w:tcBorders>
            <w:vAlign w:val="center"/>
          </w:tcPr>
          <w:p>
            <w:pPr>
              <w:widowControl/>
              <w:jc w:val="left"/>
              <w:rPr>
                <w:rFonts w:ascii="宋体" w:hAnsi="宋体" w:cs="宋体"/>
                <w:color w:val="3F3F3F"/>
                <w:kern w:val="0"/>
                <w:sz w:val="20"/>
                <w:szCs w:val="20"/>
              </w:rPr>
            </w:pPr>
          </w:p>
        </w:tc>
        <w:tc>
          <w:tcPr>
            <w:tcW w:w="1323" w:type="dxa"/>
            <w:vMerge w:val="continue"/>
            <w:tcBorders>
              <w:tl2br w:val="nil"/>
              <w:tr2bl w:val="nil"/>
            </w:tcBorders>
            <w:vAlign w:val="center"/>
          </w:tcPr>
          <w:p>
            <w:pPr>
              <w:widowControl/>
              <w:jc w:val="left"/>
              <w:rPr>
                <w:rFonts w:ascii="宋体" w:hAnsi="宋体" w:cs="宋体"/>
                <w:color w:val="3F3F3F"/>
                <w:kern w:val="0"/>
                <w:sz w:val="20"/>
                <w:szCs w:val="20"/>
              </w:rPr>
            </w:pPr>
          </w:p>
        </w:tc>
        <w:tc>
          <w:tcPr>
            <w:tcW w:w="7671" w:type="dxa"/>
            <w:tcBorders>
              <w:tl2br w:val="nil"/>
              <w:tr2bl w:val="nil"/>
            </w:tcBorders>
            <w:shd w:val="clear" w:color="000000" w:fill="FFFFFF"/>
            <w:vAlign w:val="top"/>
          </w:tcPr>
          <w:p>
            <w:pPr>
              <w:keepNext w:val="0"/>
              <w:keepLines w:val="0"/>
              <w:pageBreakBefore w:val="0"/>
              <w:kinsoku/>
              <w:wordWrap/>
              <w:overflowPunct/>
              <w:topLinePunct w:val="0"/>
              <w:autoSpaceDE/>
              <w:autoSpaceDN/>
              <w:bidi w:val="0"/>
              <w:adjustRightInd/>
              <w:snapToGrid/>
              <w:spacing w:line="240" w:lineRule="auto"/>
              <w:rPr>
                <w:rFonts w:hint="eastAsia" w:ascii="宋体" w:hAnsi="宋体" w:eastAsia="宋体" w:cs="宋体"/>
                <w:sz w:val="21"/>
                <w:szCs w:val="21"/>
              </w:rPr>
            </w:pPr>
            <w:r>
              <w:rPr>
                <w:rFonts w:hint="eastAsia" w:ascii="宋体" w:hAnsi="宋体" w:eastAsia="宋体" w:cs="宋体"/>
                <w:sz w:val="21"/>
                <w:szCs w:val="21"/>
              </w:rPr>
              <w:t>10.▲吊桥基础架负载10000N˙m的作用力持续10min，法兰盘水平倾斜角≤0.6°。（提供权威第三方检测报告）</w:t>
            </w:r>
          </w:p>
        </w:tc>
      </w:tr>
      <w:tr>
        <w:tblPrEx>
          <w:tblBorders>
            <w:top w:val="single" w:color="3F3F3F" w:sz="4" w:space="0"/>
            <w:left w:val="single" w:color="3F3F3F" w:sz="4" w:space="0"/>
            <w:bottom w:val="single" w:color="3F3F3F" w:sz="4" w:space="0"/>
            <w:right w:val="single" w:color="3F3F3F" w:sz="4" w:space="0"/>
            <w:insideH w:val="single" w:color="3F3F3F" w:sz="4" w:space="0"/>
            <w:insideV w:val="single" w:color="3F3F3F" w:sz="4" w:space="0"/>
          </w:tblBorders>
          <w:tblCellMar>
            <w:top w:w="0" w:type="dxa"/>
            <w:left w:w="108" w:type="dxa"/>
            <w:bottom w:w="0" w:type="dxa"/>
            <w:right w:w="108" w:type="dxa"/>
          </w:tblCellMar>
        </w:tblPrEx>
        <w:trPr>
          <w:trHeight w:val="0" w:hRule="atLeast"/>
          <w:jc w:val="center"/>
        </w:trPr>
        <w:tc>
          <w:tcPr>
            <w:tcW w:w="660" w:type="dxa"/>
            <w:vMerge w:val="continue"/>
            <w:tcBorders>
              <w:tl2br w:val="nil"/>
              <w:tr2bl w:val="nil"/>
            </w:tcBorders>
            <w:vAlign w:val="center"/>
          </w:tcPr>
          <w:p>
            <w:pPr>
              <w:widowControl/>
              <w:jc w:val="left"/>
              <w:rPr>
                <w:rFonts w:ascii="宋体" w:hAnsi="宋体" w:cs="宋体"/>
                <w:color w:val="3F3F3F"/>
                <w:kern w:val="0"/>
                <w:sz w:val="20"/>
                <w:szCs w:val="20"/>
              </w:rPr>
            </w:pPr>
          </w:p>
        </w:tc>
        <w:tc>
          <w:tcPr>
            <w:tcW w:w="1323" w:type="dxa"/>
            <w:vMerge w:val="continue"/>
            <w:tcBorders>
              <w:tl2br w:val="nil"/>
              <w:tr2bl w:val="nil"/>
            </w:tcBorders>
            <w:vAlign w:val="center"/>
          </w:tcPr>
          <w:p>
            <w:pPr>
              <w:widowControl/>
              <w:jc w:val="left"/>
              <w:rPr>
                <w:rFonts w:ascii="宋体" w:hAnsi="宋体" w:cs="宋体"/>
                <w:color w:val="3F3F3F"/>
                <w:kern w:val="0"/>
                <w:sz w:val="20"/>
                <w:szCs w:val="20"/>
              </w:rPr>
            </w:pPr>
          </w:p>
        </w:tc>
        <w:tc>
          <w:tcPr>
            <w:tcW w:w="7671" w:type="dxa"/>
            <w:tcBorders>
              <w:tl2br w:val="nil"/>
              <w:tr2bl w:val="nil"/>
            </w:tcBorders>
            <w:shd w:val="clear" w:color="000000" w:fill="FFFFFF"/>
            <w:vAlign w:val="top"/>
          </w:tcPr>
          <w:p>
            <w:pPr>
              <w:keepNext w:val="0"/>
              <w:keepLines w:val="0"/>
              <w:pageBreakBefore w:val="0"/>
              <w:widowControl/>
              <w:kinsoku/>
              <w:wordWrap/>
              <w:overflowPunct/>
              <w:topLinePunct w:val="0"/>
              <w:autoSpaceDE/>
              <w:autoSpaceDN/>
              <w:bidi w:val="0"/>
              <w:adjustRightInd/>
              <w:snapToGrid/>
              <w:spacing w:line="240" w:lineRule="auto"/>
              <w:jc w:val="left"/>
              <w:rPr>
                <w:rFonts w:hint="eastAsia" w:ascii="宋体" w:hAnsi="宋体" w:eastAsia="宋体" w:cs="宋体"/>
                <w:color w:val="3F3F3F"/>
                <w:kern w:val="0"/>
                <w:sz w:val="21"/>
                <w:szCs w:val="21"/>
              </w:rPr>
            </w:pPr>
            <w:r>
              <w:rPr>
                <w:rFonts w:hint="eastAsia" w:ascii="宋体" w:hAnsi="宋体" w:eastAsia="宋体" w:cs="宋体"/>
                <w:sz w:val="21"/>
                <w:szCs w:val="21"/>
              </w:rPr>
              <w:t>11.气体终端插拔次数≥50000次</w:t>
            </w:r>
          </w:p>
        </w:tc>
      </w:tr>
      <w:tr>
        <w:tblPrEx>
          <w:tblBorders>
            <w:top w:val="single" w:color="3F3F3F" w:sz="4" w:space="0"/>
            <w:left w:val="single" w:color="3F3F3F" w:sz="4" w:space="0"/>
            <w:bottom w:val="single" w:color="3F3F3F" w:sz="4" w:space="0"/>
            <w:right w:val="single" w:color="3F3F3F" w:sz="4" w:space="0"/>
            <w:insideH w:val="single" w:color="3F3F3F" w:sz="4" w:space="0"/>
            <w:insideV w:val="single" w:color="3F3F3F" w:sz="4" w:space="0"/>
          </w:tblBorders>
          <w:tblCellMar>
            <w:top w:w="0" w:type="dxa"/>
            <w:left w:w="108" w:type="dxa"/>
            <w:bottom w:w="0" w:type="dxa"/>
            <w:right w:w="108" w:type="dxa"/>
          </w:tblCellMar>
        </w:tblPrEx>
        <w:trPr>
          <w:trHeight w:val="0" w:hRule="atLeast"/>
          <w:jc w:val="center"/>
        </w:trPr>
        <w:tc>
          <w:tcPr>
            <w:tcW w:w="660" w:type="dxa"/>
            <w:vMerge w:val="continue"/>
            <w:tcBorders>
              <w:tl2br w:val="nil"/>
              <w:tr2bl w:val="nil"/>
            </w:tcBorders>
            <w:vAlign w:val="center"/>
          </w:tcPr>
          <w:p>
            <w:pPr>
              <w:widowControl/>
              <w:jc w:val="left"/>
              <w:rPr>
                <w:rFonts w:ascii="宋体" w:hAnsi="宋体" w:cs="宋体"/>
                <w:color w:val="3F3F3F"/>
                <w:kern w:val="0"/>
                <w:sz w:val="20"/>
                <w:szCs w:val="20"/>
              </w:rPr>
            </w:pPr>
          </w:p>
        </w:tc>
        <w:tc>
          <w:tcPr>
            <w:tcW w:w="1323" w:type="dxa"/>
            <w:vMerge w:val="continue"/>
            <w:tcBorders>
              <w:tl2br w:val="nil"/>
              <w:tr2bl w:val="nil"/>
            </w:tcBorders>
            <w:vAlign w:val="center"/>
          </w:tcPr>
          <w:p>
            <w:pPr>
              <w:widowControl/>
              <w:jc w:val="left"/>
              <w:rPr>
                <w:rFonts w:ascii="宋体" w:hAnsi="宋体" w:cs="宋体"/>
                <w:color w:val="3F3F3F"/>
                <w:kern w:val="0"/>
                <w:sz w:val="20"/>
                <w:szCs w:val="20"/>
              </w:rPr>
            </w:pPr>
          </w:p>
        </w:tc>
        <w:tc>
          <w:tcPr>
            <w:tcW w:w="7671" w:type="dxa"/>
            <w:tcBorders>
              <w:tl2br w:val="nil"/>
              <w:tr2bl w:val="nil"/>
            </w:tcBorders>
            <w:shd w:val="clear" w:color="000000" w:fill="FFFFFF"/>
            <w:vAlign w:val="top"/>
          </w:tcPr>
          <w:p>
            <w:pPr>
              <w:keepNext w:val="0"/>
              <w:keepLines w:val="0"/>
              <w:pageBreakBefore w:val="0"/>
              <w:widowControl/>
              <w:kinsoku/>
              <w:wordWrap/>
              <w:overflowPunct/>
              <w:topLinePunct w:val="0"/>
              <w:autoSpaceDE/>
              <w:autoSpaceDN/>
              <w:bidi w:val="0"/>
              <w:adjustRightInd/>
              <w:snapToGrid/>
              <w:spacing w:line="240" w:lineRule="auto"/>
              <w:jc w:val="left"/>
              <w:rPr>
                <w:rFonts w:hint="eastAsia" w:ascii="宋体" w:hAnsi="宋体" w:eastAsia="宋体" w:cs="宋体"/>
                <w:color w:val="3F3F3F"/>
                <w:kern w:val="0"/>
                <w:sz w:val="21"/>
                <w:szCs w:val="21"/>
              </w:rPr>
            </w:pPr>
            <w:r>
              <w:rPr>
                <w:rFonts w:hint="eastAsia" w:ascii="宋体" w:hAnsi="宋体" w:eastAsia="宋体" w:cs="宋体"/>
                <w:sz w:val="21"/>
                <w:szCs w:val="21"/>
              </w:rPr>
              <w:t>12.气源终端采用Z字型交叉排列方式，相邻气源中心点沿箱体宽度方向的间距≥60mm，以便于同时插上氧气流量计、负压吸引瓶等附件不会发生干涉</w:t>
            </w:r>
          </w:p>
        </w:tc>
      </w:tr>
      <w:tr>
        <w:tblPrEx>
          <w:tblBorders>
            <w:top w:val="single" w:color="3F3F3F" w:sz="4" w:space="0"/>
            <w:left w:val="single" w:color="3F3F3F" w:sz="4" w:space="0"/>
            <w:bottom w:val="single" w:color="3F3F3F" w:sz="4" w:space="0"/>
            <w:right w:val="single" w:color="3F3F3F" w:sz="4" w:space="0"/>
            <w:insideH w:val="single" w:color="3F3F3F" w:sz="4" w:space="0"/>
            <w:insideV w:val="single" w:color="3F3F3F" w:sz="4" w:space="0"/>
          </w:tblBorders>
          <w:tblCellMar>
            <w:top w:w="0" w:type="dxa"/>
            <w:left w:w="108" w:type="dxa"/>
            <w:bottom w:w="0" w:type="dxa"/>
            <w:right w:w="108" w:type="dxa"/>
          </w:tblCellMar>
        </w:tblPrEx>
        <w:trPr>
          <w:trHeight w:val="0" w:hRule="atLeast"/>
          <w:jc w:val="center"/>
        </w:trPr>
        <w:tc>
          <w:tcPr>
            <w:tcW w:w="660" w:type="dxa"/>
            <w:vMerge w:val="continue"/>
            <w:tcBorders>
              <w:tl2br w:val="nil"/>
              <w:tr2bl w:val="nil"/>
            </w:tcBorders>
            <w:vAlign w:val="center"/>
          </w:tcPr>
          <w:p>
            <w:pPr>
              <w:widowControl/>
              <w:jc w:val="left"/>
              <w:rPr>
                <w:rFonts w:ascii="宋体" w:hAnsi="宋体" w:cs="宋体"/>
                <w:color w:val="3F3F3F"/>
                <w:kern w:val="0"/>
                <w:sz w:val="20"/>
                <w:szCs w:val="20"/>
              </w:rPr>
            </w:pPr>
          </w:p>
        </w:tc>
        <w:tc>
          <w:tcPr>
            <w:tcW w:w="1323" w:type="dxa"/>
            <w:vMerge w:val="continue"/>
            <w:tcBorders>
              <w:tl2br w:val="nil"/>
              <w:tr2bl w:val="nil"/>
            </w:tcBorders>
            <w:vAlign w:val="center"/>
          </w:tcPr>
          <w:p>
            <w:pPr>
              <w:widowControl/>
              <w:jc w:val="left"/>
              <w:rPr>
                <w:rFonts w:ascii="宋体" w:hAnsi="宋体" w:cs="宋体"/>
                <w:color w:val="3F3F3F"/>
                <w:kern w:val="0"/>
                <w:sz w:val="20"/>
                <w:szCs w:val="20"/>
              </w:rPr>
            </w:pPr>
          </w:p>
        </w:tc>
        <w:tc>
          <w:tcPr>
            <w:tcW w:w="7671" w:type="dxa"/>
            <w:tcBorders>
              <w:tl2br w:val="nil"/>
              <w:tr2bl w:val="nil"/>
            </w:tcBorders>
            <w:shd w:val="clear" w:color="000000" w:fill="FFFFFF"/>
            <w:vAlign w:val="top"/>
          </w:tcPr>
          <w:p>
            <w:pPr>
              <w:keepNext w:val="0"/>
              <w:keepLines w:val="0"/>
              <w:pageBreakBefore w:val="0"/>
              <w:widowControl/>
              <w:kinsoku/>
              <w:wordWrap/>
              <w:overflowPunct/>
              <w:topLinePunct w:val="0"/>
              <w:autoSpaceDE/>
              <w:autoSpaceDN/>
              <w:bidi w:val="0"/>
              <w:adjustRightInd/>
              <w:snapToGrid/>
              <w:spacing w:line="240" w:lineRule="auto"/>
              <w:jc w:val="left"/>
              <w:rPr>
                <w:rFonts w:hint="eastAsia" w:ascii="宋体" w:hAnsi="宋体" w:eastAsia="宋体" w:cs="宋体"/>
                <w:color w:val="3F3F3F"/>
                <w:kern w:val="0"/>
                <w:sz w:val="21"/>
                <w:szCs w:val="21"/>
              </w:rPr>
            </w:pPr>
            <w:r>
              <w:rPr>
                <w:rFonts w:hint="eastAsia" w:ascii="宋体" w:hAnsi="宋体" w:eastAsia="宋体" w:cs="宋体"/>
                <w:sz w:val="21"/>
                <w:szCs w:val="21"/>
              </w:rPr>
              <w:t>13.电源采用双排五插插座，插座斜45°置与箱体之上，便于插拔使用</w:t>
            </w:r>
          </w:p>
        </w:tc>
      </w:tr>
      <w:tr>
        <w:tblPrEx>
          <w:tblBorders>
            <w:top w:val="single" w:color="3F3F3F" w:sz="4" w:space="0"/>
            <w:left w:val="single" w:color="3F3F3F" w:sz="4" w:space="0"/>
            <w:bottom w:val="single" w:color="3F3F3F" w:sz="4" w:space="0"/>
            <w:right w:val="single" w:color="3F3F3F" w:sz="4" w:space="0"/>
            <w:insideH w:val="single" w:color="3F3F3F" w:sz="4" w:space="0"/>
            <w:insideV w:val="single" w:color="3F3F3F" w:sz="4" w:space="0"/>
          </w:tblBorders>
          <w:tblCellMar>
            <w:top w:w="0" w:type="dxa"/>
            <w:left w:w="108" w:type="dxa"/>
            <w:bottom w:w="0" w:type="dxa"/>
            <w:right w:w="108" w:type="dxa"/>
          </w:tblCellMar>
        </w:tblPrEx>
        <w:trPr>
          <w:trHeight w:val="0" w:hRule="atLeast"/>
          <w:jc w:val="center"/>
        </w:trPr>
        <w:tc>
          <w:tcPr>
            <w:tcW w:w="660" w:type="dxa"/>
            <w:vMerge w:val="continue"/>
            <w:tcBorders>
              <w:tl2br w:val="nil"/>
              <w:tr2bl w:val="nil"/>
            </w:tcBorders>
            <w:vAlign w:val="center"/>
          </w:tcPr>
          <w:p>
            <w:pPr>
              <w:widowControl/>
              <w:jc w:val="left"/>
              <w:rPr>
                <w:rFonts w:ascii="宋体" w:hAnsi="宋体" w:cs="宋体"/>
                <w:color w:val="3F3F3F"/>
                <w:kern w:val="0"/>
                <w:sz w:val="20"/>
                <w:szCs w:val="20"/>
              </w:rPr>
            </w:pPr>
          </w:p>
        </w:tc>
        <w:tc>
          <w:tcPr>
            <w:tcW w:w="1323" w:type="dxa"/>
            <w:vMerge w:val="continue"/>
            <w:tcBorders>
              <w:tl2br w:val="nil"/>
              <w:tr2bl w:val="nil"/>
            </w:tcBorders>
            <w:vAlign w:val="center"/>
          </w:tcPr>
          <w:p>
            <w:pPr>
              <w:widowControl/>
              <w:jc w:val="left"/>
              <w:rPr>
                <w:rFonts w:ascii="宋体" w:hAnsi="宋体" w:cs="宋体"/>
                <w:color w:val="3F3F3F"/>
                <w:kern w:val="0"/>
                <w:sz w:val="20"/>
                <w:szCs w:val="20"/>
              </w:rPr>
            </w:pPr>
          </w:p>
        </w:tc>
        <w:tc>
          <w:tcPr>
            <w:tcW w:w="7671" w:type="dxa"/>
            <w:tcBorders>
              <w:tl2br w:val="nil"/>
              <w:tr2bl w:val="nil"/>
            </w:tcBorders>
            <w:shd w:val="clear" w:color="000000" w:fill="FFFFFF"/>
            <w:vAlign w:val="top"/>
          </w:tcPr>
          <w:p>
            <w:pPr>
              <w:keepNext w:val="0"/>
              <w:keepLines w:val="0"/>
              <w:pageBreakBefore w:val="0"/>
              <w:widowControl/>
              <w:kinsoku/>
              <w:wordWrap/>
              <w:overflowPunct/>
              <w:topLinePunct w:val="0"/>
              <w:autoSpaceDE/>
              <w:autoSpaceDN/>
              <w:bidi w:val="0"/>
              <w:adjustRightInd/>
              <w:snapToGrid/>
              <w:spacing w:line="240" w:lineRule="auto"/>
              <w:jc w:val="left"/>
              <w:rPr>
                <w:rFonts w:hint="eastAsia" w:ascii="宋体" w:hAnsi="宋体" w:eastAsia="宋体" w:cs="宋体"/>
                <w:color w:val="3F3F3F"/>
                <w:kern w:val="0"/>
                <w:sz w:val="21"/>
                <w:szCs w:val="21"/>
              </w:rPr>
            </w:pPr>
            <w:r>
              <w:rPr>
                <w:rFonts w:hint="eastAsia" w:ascii="宋体" w:hAnsi="宋体" w:eastAsia="宋体" w:cs="宋体"/>
                <w:sz w:val="21"/>
                <w:szCs w:val="21"/>
              </w:rPr>
              <w:t>14.采用进口医用优质气体管路，为三层管设计，内层为食品级材料，中间层为聚酯线加强层，外层为耐磨损PVC材质，坚韧性强，通过生物相容性检测</w:t>
            </w:r>
          </w:p>
        </w:tc>
      </w:tr>
      <w:tr>
        <w:tblPrEx>
          <w:tblBorders>
            <w:top w:val="single" w:color="3F3F3F" w:sz="4" w:space="0"/>
            <w:left w:val="single" w:color="3F3F3F" w:sz="4" w:space="0"/>
            <w:bottom w:val="single" w:color="3F3F3F" w:sz="4" w:space="0"/>
            <w:right w:val="single" w:color="3F3F3F" w:sz="4" w:space="0"/>
            <w:insideH w:val="single" w:color="3F3F3F" w:sz="4" w:space="0"/>
            <w:insideV w:val="single" w:color="3F3F3F" w:sz="4" w:space="0"/>
          </w:tblBorders>
          <w:tblCellMar>
            <w:top w:w="0" w:type="dxa"/>
            <w:left w:w="108" w:type="dxa"/>
            <w:bottom w:w="0" w:type="dxa"/>
            <w:right w:w="108" w:type="dxa"/>
          </w:tblCellMar>
        </w:tblPrEx>
        <w:trPr>
          <w:trHeight w:val="0" w:hRule="atLeast"/>
          <w:jc w:val="center"/>
        </w:trPr>
        <w:tc>
          <w:tcPr>
            <w:tcW w:w="660" w:type="dxa"/>
            <w:vMerge w:val="continue"/>
            <w:tcBorders>
              <w:tl2br w:val="nil"/>
              <w:tr2bl w:val="nil"/>
            </w:tcBorders>
            <w:vAlign w:val="center"/>
          </w:tcPr>
          <w:p>
            <w:pPr>
              <w:widowControl/>
              <w:jc w:val="left"/>
              <w:rPr>
                <w:rFonts w:ascii="宋体" w:hAnsi="宋体" w:cs="宋体"/>
                <w:color w:val="3F3F3F"/>
                <w:kern w:val="0"/>
                <w:sz w:val="20"/>
                <w:szCs w:val="20"/>
              </w:rPr>
            </w:pPr>
          </w:p>
        </w:tc>
        <w:tc>
          <w:tcPr>
            <w:tcW w:w="1323" w:type="dxa"/>
            <w:vMerge w:val="continue"/>
            <w:tcBorders>
              <w:tl2br w:val="nil"/>
              <w:tr2bl w:val="nil"/>
            </w:tcBorders>
            <w:vAlign w:val="center"/>
          </w:tcPr>
          <w:p>
            <w:pPr>
              <w:widowControl/>
              <w:jc w:val="left"/>
              <w:rPr>
                <w:rFonts w:ascii="宋体" w:hAnsi="宋体" w:cs="宋体"/>
                <w:color w:val="3F3F3F"/>
                <w:kern w:val="0"/>
                <w:sz w:val="20"/>
                <w:szCs w:val="20"/>
              </w:rPr>
            </w:pPr>
          </w:p>
        </w:tc>
        <w:tc>
          <w:tcPr>
            <w:tcW w:w="7671" w:type="dxa"/>
            <w:tcBorders>
              <w:tl2br w:val="nil"/>
              <w:tr2bl w:val="nil"/>
            </w:tcBorders>
            <w:shd w:val="clear" w:color="000000" w:fill="FFFFFF"/>
            <w:vAlign w:val="top"/>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color w:val="000000"/>
                <w:kern w:val="0"/>
                <w:sz w:val="21"/>
                <w:szCs w:val="21"/>
                <w:lang w:bidi="ar"/>
              </w:rPr>
              <w:t>15.▲</w:t>
            </w:r>
            <w:r>
              <w:rPr>
                <w:rFonts w:hint="eastAsia" w:ascii="宋体" w:hAnsi="宋体" w:eastAsia="宋体" w:cs="宋体"/>
                <w:sz w:val="21"/>
                <w:szCs w:val="21"/>
              </w:rPr>
              <w:t>滑车滚动轴承与横梁导轨槽无间隙，箱体通过滑车移动时晃动量小，安全稳定，滑车移动距离≥600mm。（提供滑车稳定及移动距离的权威</w:t>
            </w:r>
            <w:r>
              <w:rPr>
                <w:rFonts w:hint="eastAsia" w:ascii="宋体" w:hAnsi="宋体" w:eastAsia="宋体" w:cs="宋体"/>
                <w:sz w:val="21"/>
                <w:szCs w:val="21"/>
                <w:lang w:bidi="ar"/>
              </w:rPr>
              <w:t>第三方证明文件</w:t>
            </w:r>
            <w:r>
              <w:rPr>
                <w:rFonts w:hint="eastAsia" w:ascii="宋体" w:hAnsi="宋体" w:eastAsia="宋体" w:cs="宋体"/>
                <w:sz w:val="21"/>
                <w:szCs w:val="21"/>
              </w:rPr>
              <w:t>）</w:t>
            </w:r>
          </w:p>
        </w:tc>
      </w:tr>
      <w:tr>
        <w:tblPrEx>
          <w:tblBorders>
            <w:top w:val="single" w:color="3F3F3F" w:sz="4" w:space="0"/>
            <w:left w:val="single" w:color="3F3F3F" w:sz="4" w:space="0"/>
            <w:bottom w:val="single" w:color="3F3F3F" w:sz="4" w:space="0"/>
            <w:right w:val="single" w:color="3F3F3F" w:sz="4" w:space="0"/>
            <w:insideH w:val="single" w:color="3F3F3F" w:sz="4" w:space="0"/>
            <w:insideV w:val="single" w:color="3F3F3F" w:sz="4" w:space="0"/>
          </w:tblBorders>
          <w:tblCellMar>
            <w:top w:w="0" w:type="dxa"/>
            <w:left w:w="108" w:type="dxa"/>
            <w:bottom w:w="0" w:type="dxa"/>
            <w:right w:w="108" w:type="dxa"/>
          </w:tblCellMar>
        </w:tblPrEx>
        <w:trPr>
          <w:trHeight w:val="0" w:hRule="atLeast"/>
          <w:jc w:val="center"/>
        </w:trPr>
        <w:tc>
          <w:tcPr>
            <w:tcW w:w="660" w:type="dxa"/>
            <w:vMerge w:val="continue"/>
            <w:tcBorders>
              <w:tl2br w:val="nil"/>
              <w:tr2bl w:val="nil"/>
            </w:tcBorders>
            <w:vAlign w:val="center"/>
          </w:tcPr>
          <w:p>
            <w:pPr>
              <w:widowControl/>
              <w:jc w:val="left"/>
              <w:rPr>
                <w:rFonts w:ascii="宋体" w:hAnsi="宋体" w:cs="宋体"/>
                <w:color w:val="3F3F3F"/>
                <w:kern w:val="0"/>
                <w:sz w:val="20"/>
                <w:szCs w:val="20"/>
              </w:rPr>
            </w:pPr>
          </w:p>
        </w:tc>
        <w:tc>
          <w:tcPr>
            <w:tcW w:w="1323" w:type="dxa"/>
            <w:vMerge w:val="continue"/>
            <w:tcBorders>
              <w:tl2br w:val="nil"/>
              <w:tr2bl w:val="nil"/>
            </w:tcBorders>
            <w:vAlign w:val="center"/>
          </w:tcPr>
          <w:p>
            <w:pPr>
              <w:widowControl/>
              <w:jc w:val="left"/>
              <w:rPr>
                <w:rFonts w:ascii="宋体" w:hAnsi="宋体" w:cs="宋体"/>
                <w:color w:val="3F3F3F"/>
                <w:kern w:val="0"/>
                <w:sz w:val="20"/>
                <w:szCs w:val="20"/>
              </w:rPr>
            </w:pPr>
          </w:p>
        </w:tc>
        <w:tc>
          <w:tcPr>
            <w:tcW w:w="7671" w:type="dxa"/>
            <w:tcBorders>
              <w:tl2br w:val="nil"/>
              <w:tr2bl w:val="nil"/>
            </w:tcBorders>
            <w:shd w:val="clear" w:color="000000" w:fill="FFFFFF"/>
            <w:vAlign w:val="top"/>
          </w:tcPr>
          <w:p>
            <w:pPr>
              <w:keepNext w:val="0"/>
              <w:keepLines w:val="0"/>
              <w:pageBreakBefore w:val="0"/>
              <w:widowControl/>
              <w:kinsoku/>
              <w:wordWrap/>
              <w:overflowPunct/>
              <w:topLinePunct w:val="0"/>
              <w:autoSpaceDE/>
              <w:autoSpaceDN/>
              <w:bidi w:val="0"/>
              <w:adjustRightInd/>
              <w:snapToGrid/>
              <w:spacing w:line="240" w:lineRule="auto"/>
              <w:jc w:val="left"/>
              <w:rPr>
                <w:rFonts w:hint="eastAsia" w:ascii="宋体" w:hAnsi="宋体" w:eastAsia="宋体" w:cs="宋体"/>
                <w:color w:val="3F3F3F"/>
                <w:kern w:val="0"/>
                <w:sz w:val="21"/>
                <w:szCs w:val="21"/>
              </w:rPr>
            </w:pPr>
            <w:r>
              <w:rPr>
                <w:rFonts w:hint="eastAsia" w:ascii="宋体" w:hAnsi="宋体" w:eastAsia="宋体" w:cs="宋体"/>
                <w:sz w:val="21"/>
                <w:szCs w:val="21"/>
              </w:rPr>
              <w:t>16.吊桥具备气体刹车系统，可保障箱体移动灵活和定位准确的需要，防止箱体自行产生滑动、旋转。</w:t>
            </w:r>
          </w:p>
        </w:tc>
      </w:tr>
      <w:tr>
        <w:tblPrEx>
          <w:tblBorders>
            <w:top w:val="single" w:color="3F3F3F" w:sz="4" w:space="0"/>
            <w:left w:val="single" w:color="3F3F3F" w:sz="4" w:space="0"/>
            <w:bottom w:val="single" w:color="3F3F3F" w:sz="4" w:space="0"/>
            <w:right w:val="single" w:color="3F3F3F" w:sz="4" w:space="0"/>
            <w:insideH w:val="single" w:color="3F3F3F" w:sz="4" w:space="0"/>
            <w:insideV w:val="single" w:color="3F3F3F" w:sz="4" w:space="0"/>
          </w:tblBorders>
          <w:tblCellMar>
            <w:top w:w="0" w:type="dxa"/>
            <w:left w:w="108" w:type="dxa"/>
            <w:bottom w:w="0" w:type="dxa"/>
            <w:right w:w="108" w:type="dxa"/>
          </w:tblCellMar>
        </w:tblPrEx>
        <w:trPr>
          <w:trHeight w:val="0" w:hRule="atLeast"/>
          <w:jc w:val="center"/>
        </w:trPr>
        <w:tc>
          <w:tcPr>
            <w:tcW w:w="660" w:type="dxa"/>
            <w:vMerge w:val="continue"/>
            <w:tcBorders>
              <w:tl2br w:val="nil"/>
              <w:tr2bl w:val="nil"/>
            </w:tcBorders>
            <w:vAlign w:val="center"/>
          </w:tcPr>
          <w:p>
            <w:pPr>
              <w:widowControl/>
              <w:jc w:val="left"/>
              <w:rPr>
                <w:rFonts w:ascii="宋体" w:hAnsi="宋体" w:cs="宋体"/>
                <w:color w:val="3F3F3F"/>
                <w:kern w:val="0"/>
                <w:sz w:val="20"/>
                <w:szCs w:val="20"/>
              </w:rPr>
            </w:pPr>
          </w:p>
        </w:tc>
        <w:tc>
          <w:tcPr>
            <w:tcW w:w="1323" w:type="dxa"/>
            <w:vMerge w:val="continue"/>
            <w:tcBorders>
              <w:tl2br w:val="nil"/>
              <w:tr2bl w:val="nil"/>
            </w:tcBorders>
            <w:vAlign w:val="center"/>
          </w:tcPr>
          <w:p>
            <w:pPr>
              <w:widowControl/>
              <w:jc w:val="left"/>
              <w:rPr>
                <w:rFonts w:ascii="宋体" w:hAnsi="宋体" w:cs="宋体"/>
                <w:color w:val="3F3F3F"/>
                <w:kern w:val="0"/>
                <w:sz w:val="20"/>
                <w:szCs w:val="20"/>
              </w:rPr>
            </w:pPr>
          </w:p>
        </w:tc>
        <w:tc>
          <w:tcPr>
            <w:tcW w:w="7671" w:type="dxa"/>
            <w:tcBorders>
              <w:tl2br w:val="nil"/>
              <w:tr2bl w:val="nil"/>
            </w:tcBorders>
            <w:shd w:val="clear" w:color="000000" w:fill="FFFFFF"/>
            <w:vAlign w:val="top"/>
          </w:tcPr>
          <w:p>
            <w:pPr>
              <w:keepNext w:val="0"/>
              <w:keepLines w:val="0"/>
              <w:pageBreakBefore w:val="0"/>
              <w:kinsoku/>
              <w:wordWrap/>
              <w:overflowPunct/>
              <w:topLinePunct w:val="0"/>
              <w:autoSpaceDE/>
              <w:autoSpaceDN/>
              <w:bidi w:val="0"/>
              <w:adjustRightInd/>
              <w:snapToGrid/>
              <w:spacing w:line="240" w:lineRule="auto"/>
              <w:rPr>
                <w:rFonts w:hint="eastAsia" w:ascii="宋体" w:hAnsi="宋体" w:eastAsia="宋体" w:cs="宋体"/>
                <w:sz w:val="21"/>
                <w:szCs w:val="21"/>
              </w:rPr>
            </w:pPr>
            <w:r>
              <w:rPr>
                <w:rFonts w:hint="eastAsia" w:ascii="宋体" w:hAnsi="宋体" w:eastAsia="宋体" w:cs="宋体"/>
                <w:sz w:val="21"/>
                <w:szCs w:val="21"/>
              </w:rPr>
              <w:t>17.吊桥悬梁承载负荷：≥400KG，单个滑车承载负荷：≥320KG，箱体承载负荷：≥200KG，普通托盘承载重量≥80Kg。</w:t>
            </w:r>
          </w:p>
        </w:tc>
      </w:tr>
      <w:tr>
        <w:tblPrEx>
          <w:tblBorders>
            <w:top w:val="single" w:color="3F3F3F" w:sz="4" w:space="0"/>
            <w:left w:val="single" w:color="3F3F3F" w:sz="4" w:space="0"/>
            <w:bottom w:val="single" w:color="3F3F3F" w:sz="4" w:space="0"/>
            <w:right w:val="single" w:color="3F3F3F" w:sz="4" w:space="0"/>
            <w:insideH w:val="single" w:color="3F3F3F" w:sz="4" w:space="0"/>
            <w:insideV w:val="single" w:color="3F3F3F" w:sz="4" w:space="0"/>
          </w:tblBorders>
          <w:tblCellMar>
            <w:top w:w="0" w:type="dxa"/>
            <w:left w:w="108" w:type="dxa"/>
            <w:bottom w:w="0" w:type="dxa"/>
            <w:right w:w="108" w:type="dxa"/>
          </w:tblCellMar>
        </w:tblPrEx>
        <w:trPr>
          <w:trHeight w:val="0" w:hRule="atLeast"/>
          <w:jc w:val="center"/>
        </w:trPr>
        <w:tc>
          <w:tcPr>
            <w:tcW w:w="660" w:type="dxa"/>
            <w:vMerge w:val="continue"/>
            <w:tcBorders>
              <w:tl2br w:val="nil"/>
              <w:tr2bl w:val="nil"/>
            </w:tcBorders>
            <w:vAlign w:val="center"/>
          </w:tcPr>
          <w:p>
            <w:pPr>
              <w:widowControl/>
              <w:jc w:val="left"/>
              <w:rPr>
                <w:rFonts w:ascii="宋体" w:hAnsi="宋体" w:cs="宋体"/>
                <w:color w:val="3F3F3F"/>
                <w:kern w:val="0"/>
                <w:sz w:val="20"/>
                <w:szCs w:val="20"/>
              </w:rPr>
            </w:pPr>
          </w:p>
        </w:tc>
        <w:tc>
          <w:tcPr>
            <w:tcW w:w="1323" w:type="dxa"/>
            <w:vMerge w:val="continue"/>
            <w:tcBorders>
              <w:tl2br w:val="nil"/>
              <w:tr2bl w:val="nil"/>
            </w:tcBorders>
            <w:vAlign w:val="center"/>
          </w:tcPr>
          <w:p>
            <w:pPr>
              <w:widowControl/>
              <w:jc w:val="left"/>
              <w:rPr>
                <w:rFonts w:ascii="宋体" w:hAnsi="宋体" w:cs="宋体"/>
                <w:color w:val="3F3F3F"/>
                <w:kern w:val="0"/>
                <w:sz w:val="20"/>
                <w:szCs w:val="20"/>
              </w:rPr>
            </w:pPr>
          </w:p>
        </w:tc>
        <w:tc>
          <w:tcPr>
            <w:tcW w:w="7671" w:type="dxa"/>
            <w:tcBorders>
              <w:tl2br w:val="nil"/>
              <w:tr2bl w:val="nil"/>
            </w:tcBorders>
            <w:shd w:val="clear" w:color="000000" w:fill="FFFFFF"/>
            <w:vAlign w:val="top"/>
          </w:tcPr>
          <w:p>
            <w:pPr>
              <w:keepNext w:val="0"/>
              <w:keepLines w:val="0"/>
              <w:pageBreakBefore w:val="0"/>
              <w:kinsoku/>
              <w:wordWrap/>
              <w:overflowPunct/>
              <w:topLinePunct w:val="0"/>
              <w:autoSpaceDE/>
              <w:autoSpaceDN/>
              <w:bidi w:val="0"/>
              <w:adjustRightInd/>
              <w:snapToGrid/>
              <w:spacing w:line="240" w:lineRule="auto"/>
              <w:rPr>
                <w:rFonts w:hint="eastAsia" w:ascii="宋体" w:hAnsi="宋体" w:eastAsia="宋体" w:cs="宋体"/>
                <w:sz w:val="21"/>
                <w:szCs w:val="21"/>
              </w:rPr>
            </w:pPr>
            <w:r>
              <w:rPr>
                <w:rFonts w:hint="eastAsia" w:ascii="宋体" w:hAnsi="宋体" w:eastAsia="宋体" w:cs="宋体"/>
                <w:color w:val="000000"/>
                <w:kern w:val="0"/>
                <w:sz w:val="21"/>
                <w:szCs w:val="21"/>
                <w:lang w:bidi="ar"/>
              </w:rPr>
              <w:t>18.▲</w:t>
            </w:r>
            <w:r>
              <w:rPr>
                <w:rFonts w:hint="eastAsia" w:ascii="宋体" w:hAnsi="宋体" w:eastAsia="宋体" w:cs="宋体"/>
                <w:sz w:val="21"/>
                <w:szCs w:val="21"/>
              </w:rPr>
              <w:t>吊桥防尘等级达到IP3X或以上；吊桥外壳防火等级要求达到UL94-VO。（提供权威第三方检测报告）</w:t>
            </w:r>
          </w:p>
        </w:tc>
      </w:tr>
      <w:tr>
        <w:tblPrEx>
          <w:tblBorders>
            <w:top w:val="single" w:color="3F3F3F" w:sz="4" w:space="0"/>
            <w:left w:val="single" w:color="3F3F3F" w:sz="4" w:space="0"/>
            <w:bottom w:val="single" w:color="3F3F3F" w:sz="4" w:space="0"/>
            <w:right w:val="single" w:color="3F3F3F" w:sz="4" w:space="0"/>
            <w:insideH w:val="single" w:color="3F3F3F" w:sz="4" w:space="0"/>
            <w:insideV w:val="single" w:color="3F3F3F" w:sz="4" w:space="0"/>
          </w:tblBorders>
          <w:tblCellMar>
            <w:top w:w="0" w:type="dxa"/>
            <w:left w:w="108" w:type="dxa"/>
            <w:bottom w:w="0" w:type="dxa"/>
            <w:right w:w="108" w:type="dxa"/>
          </w:tblCellMar>
        </w:tblPrEx>
        <w:trPr>
          <w:trHeight w:val="0" w:hRule="atLeast"/>
          <w:jc w:val="center"/>
        </w:trPr>
        <w:tc>
          <w:tcPr>
            <w:tcW w:w="660" w:type="dxa"/>
            <w:vMerge w:val="continue"/>
            <w:tcBorders>
              <w:tl2br w:val="nil"/>
              <w:tr2bl w:val="nil"/>
            </w:tcBorders>
            <w:vAlign w:val="center"/>
          </w:tcPr>
          <w:p>
            <w:pPr>
              <w:widowControl/>
              <w:jc w:val="left"/>
              <w:rPr>
                <w:rFonts w:ascii="宋体" w:hAnsi="宋体" w:cs="宋体"/>
                <w:color w:val="3F3F3F"/>
                <w:kern w:val="0"/>
                <w:sz w:val="20"/>
                <w:szCs w:val="20"/>
              </w:rPr>
            </w:pPr>
          </w:p>
        </w:tc>
        <w:tc>
          <w:tcPr>
            <w:tcW w:w="1323" w:type="dxa"/>
            <w:vMerge w:val="continue"/>
            <w:tcBorders>
              <w:tl2br w:val="nil"/>
              <w:tr2bl w:val="nil"/>
            </w:tcBorders>
            <w:vAlign w:val="center"/>
          </w:tcPr>
          <w:p>
            <w:pPr>
              <w:widowControl/>
              <w:jc w:val="left"/>
              <w:rPr>
                <w:rFonts w:ascii="宋体" w:hAnsi="宋体" w:cs="宋体"/>
                <w:color w:val="3F3F3F"/>
                <w:kern w:val="0"/>
                <w:sz w:val="20"/>
                <w:szCs w:val="20"/>
              </w:rPr>
            </w:pPr>
          </w:p>
        </w:tc>
        <w:tc>
          <w:tcPr>
            <w:tcW w:w="7671" w:type="dxa"/>
            <w:tcBorders>
              <w:tl2br w:val="nil"/>
              <w:tr2bl w:val="nil"/>
            </w:tcBorders>
            <w:shd w:val="clear" w:color="000000" w:fill="FFFFFF"/>
            <w:vAlign w:val="top"/>
          </w:tcPr>
          <w:p>
            <w:pPr>
              <w:keepNext w:val="0"/>
              <w:keepLines w:val="0"/>
              <w:pageBreakBefore w:val="0"/>
              <w:kinsoku/>
              <w:wordWrap/>
              <w:overflowPunct/>
              <w:topLinePunct w:val="0"/>
              <w:autoSpaceDE/>
              <w:autoSpaceDN/>
              <w:bidi w:val="0"/>
              <w:adjustRightInd/>
              <w:snapToGrid/>
              <w:spacing w:line="240" w:lineRule="auto"/>
              <w:rPr>
                <w:rFonts w:hint="eastAsia" w:ascii="宋体" w:hAnsi="宋体" w:eastAsia="宋体" w:cs="宋体"/>
                <w:sz w:val="21"/>
                <w:szCs w:val="21"/>
              </w:rPr>
            </w:pPr>
            <w:r>
              <w:rPr>
                <w:rFonts w:hint="eastAsia" w:ascii="宋体" w:hAnsi="宋体" w:eastAsia="宋体" w:cs="宋体"/>
                <w:color w:val="000000"/>
                <w:kern w:val="0"/>
                <w:sz w:val="21"/>
                <w:szCs w:val="21"/>
                <w:lang w:bidi="ar"/>
              </w:rPr>
              <w:t>19.▲</w:t>
            </w:r>
            <w:r>
              <w:rPr>
                <w:rFonts w:hint="eastAsia" w:ascii="宋体" w:hAnsi="宋体" w:eastAsia="宋体" w:cs="宋体"/>
                <w:sz w:val="21"/>
                <w:szCs w:val="21"/>
              </w:rPr>
              <w:t>吊塔外壳在中性盐雾试验中，测试方法参照IS09227:2022标准，外观评价参照IS010289-1999,外观评级为10。（提供权威第三方检测报告）</w:t>
            </w:r>
          </w:p>
        </w:tc>
      </w:tr>
      <w:tr>
        <w:tblPrEx>
          <w:tblBorders>
            <w:top w:val="single" w:color="3F3F3F" w:sz="4" w:space="0"/>
            <w:left w:val="single" w:color="3F3F3F" w:sz="4" w:space="0"/>
            <w:bottom w:val="single" w:color="3F3F3F" w:sz="4" w:space="0"/>
            <w:right w:val="single" w:color="3F3F3F" w:sz="4" w:space="0"/>
            <w:insideH w:val="single" w:color="3F3F3F" w:sz="4" w:space="0"/>
            <w:insideV w:val="single" w:color="3F3F3F" w:sz="4" w:space="0"/>
          </w:tblBorders>
          <w:tblCellMar>
            <w:top w:w="0" w:type="dxa"/>
            <w:left w:w="108" w:type="dxa"/>
            <w:bottom w:w="0" w:type="dxa"/>
            <w:right w:w="108" w:type="dxa"/>
          </w:tblCellMar>
        </w:tblPrEx>
        <w:trPr>
          <w:trHeight w:val="0" w:hRule="atLeast"/>
          <w:jc w:val="center"/>
        </w:trPr>
        <w:tc>
          <w:tcPr>
            <w:tcW w:w="660" w:type="dxa"/>
            <w:vMerge w:val="continue"/>
            <w:tcBorders>
              <w:tl2br w:val="nil"/>
              <w:tr2bl w:val="nil"/>
            </w:tcBorders>
            <w:shd w:val="clear" w:color="000000" w:fill="FFFFFF"/>
            <w:vAlign w:val="center"/>
          </w:tcPr>
          <w:p>
            <w:pPr>
              <w:widowControl/>
              <w:jc w:val="left"/>
              <w:rPr>
                <w:rFonts w:ascii="宋体" w:hAnsi="宋体" w:cs="宋体"/>
                <w:b/>
                <w:bCs/>
                <w:color w:val="3F3F3F"/>
                <w:kern w:val="0"/>
                <w:sz w:val="22"/>
              </w:rPr>
            </w:pPr>
          </w:p>
        </w:tc>
        <w:tc>
          <w:tcPr>
            <w:tcW w:w="1323" w:type="dxa"/>
            <w:vMerge w:val="continue"/>
            <w:tcBorders>
              <w:tl2br w:val="nil"/>
              <w:tr2bl w:val="nil"/>
            </w:tcBorders>
            <w:shd w:val="clear" w:color="000000" w:fill="FFFFFF"/>
            <w:vAlign w:val="center"/>
          </w:tcPr>
          <w:p>
            <w:pPr>
              <w:widowControl/>
              <w:rPr>
                <w:rFonts w:ascii="宋体" w:hAnsi="宋体" w:cs="宋体"/>
                <w:b/>
                <w:bCs/>
                <w:color w:val="3F3F3F"/>
                <w:kern w:val="0"/>
                <w:sz w:val="22"/>
              </w:rPr>
            </w:pPr>
          </w:p>
        </w:tc>
        <w:tc>
          <w:tcPr>
            <w:tcW w:w="7671" w:type="dxa"/>
            <w:tcBorders>
              <w:tl2br w:val="nil"/>
              <w:tr2bl w:val="nil"/>
            </w:tcBorders>
            <w:shd w:val="clear" w:color="000000" w:fill="FFFFFF"/>
            <w:vAlign w:val="top"/>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sz w:val="21"/>
                <w:szCs w:val="21"/>
              </w:rPr>
            </w:pPr>
            <w:r>
              <w:rPr>
                <w:rFonts w:hint="eastAsia" w:ascii="宋体" w:hAnsi="宋体" w:eastAsia="宋体" w:cs="宋体"/>
                <w:sz w:val="21"/>
                <w:szCs w:val="21"/>
              </w:rPr>
              <w:t>配置清单：</w:t>
            </w:r>
          </w:p>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sz w:val="21"/>
                <w:szCs w:val="21"/>
              </w:rPr>
            </w:pPr>
            <w:r>
              <w:rPr>
                <w:rFonts w:hint="eastAsia" w:ascii="宋体" w:hAnsi="宋体" w:eastAsia="宋体" w:cs="宋体"/>
                <w:b/>
                <w:bCs/>
                <w:color w:val="3F3F3F"/>
                <w:kern w:val="0"/>
                <w:sz w:val="21"/>
                <w:szCs w:val="21"/>
              </w:rPr>
              <w:t>1、</w:t>
            </w:r>
            <w:r>
              <w:rPr>
                <w:rFonts w:hint="eastAsia" w:ascii="宋体" w:hAnsi="宋体" w:eastAsia="宋体" w:cs="宋体"/>
                <w:sz w:val="21"/>
                <w:szCs w:val="21"/>
              </w:rPr>
              <w:t>横梁长度：2000—3500mm（具体尺寸根据实际现场情况定制）</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b/>
                <w:bCs/>
                <w:sz w:val="21"/>
                <w:szCs w:val="21"/>
              </w:rPr>
            </w:pPr>
            <w:r>
              <w:rPr>
                <w:rFonts w:hint="eastAsia" w:ascii="宋体" w:hAnsi="宋体" w:eastAsia="宋体" w:cs="宋体"/>
                <w:b/>
                <w:bCs/>
                <w:sz w:val="21"/>
                <w:szCs w:val="21"/>
              </w:rPr>
              <w:t>2、干区配置：</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仪器托盘</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1个（</w:t>
            </w:r>
            <w:r>
              <w:rPr>
                <w:rFonts w:hint="eastAsia" w:ascii="宋体" w:hAnsi="宋体" w:eastAsia="宋体" w:cs="宋体"/>
                <w:sz w:val="21"/>
                <w:szCs w:val="21"/>
              </w:rPr>
              <w:t>2层，下层为可折叠托盘</w:t>
            </w:r>
            <w:r>
              <w:rPr>
                <w:rFonts w:hint="eastAsia" w:ascii="宋体" w:hAnsi="宋体" w:eastAsia="宋体" w:cs="宋体"/>
                <w:sz w:val="21"/>
                <w:szCs w:val="21"/>
                <w:lang w:val="en-US" w:eastAsia="zh-CN"/>
              </w:rPr>
              <w:t>）</w:t>
            </w:r>
            <w:r>
              <w:rPr>
                <w:rFonts w:hint="eastAsia" w:ascii="宋体" w:hAnsi="宋体" w:eastAsia="宋体" w:cs="宋体"/>
                <w:sz w:val="21"/>
                <w:szCs w:val="21"/>
              </w:rPr>
              <w:t>；</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德标气体终端3个：氧气1个、空气1个、负压吸引1个；</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eastAsia="zh-CN"/>
              </w:rPr>
            </w:pPr>
            <w:r>
              <w:rPr>
                <w:rFonts w:hint="eastAsia" w:ascii="宋体" w:hAnsi="宋体" w:eastAsia="宋体" w:cs="宋体"/>
                <w:sz w:val="21"/>
                <w:szCs w:val="21"/>
              </w:rPr>
              <w:t>220V/10A国标电源插座</w:t>
            </w:r>
            <w:r>
              <w:rPr>
                <w:rFonts w:hint="eastAsia" w:ascii="宋体" w:hAnsi="宋体" w:eastAsia="宋体" w:cs="宋体"/>
                <w:sz w:val="21"/>
                <w:szCs w:val="21"/>
                <w:lang w:eastAsia="zh-CN"/>
              </w:rPr>
              <w:t>：</w:t>
            </w:r>
            <w:r>
              <w:rPr>
                <w:rFonts w:hint="eastAsia" w:ascii="宋体" w:hAnsi="宋体" w:eastAsia="宋体" w:cs="宋体"/>
                <w:sz w:val="21"/>
                <w:szCs w:val="21"/>
              </w:rPr>
              <w:t>6个</w:t>
            </w:r>
            <w:r>
              <w:rPr>
                <w:rFonts w:hint="eastAsia" w:ascii="宋体" w:hAnsi="宋体" w:eastAsia="宋体" w:cs="宋体"/>
                <w:sz w:val="21"/>
                <w:szCs w:val="21"/>
                <w:lang w:eastAsia="zh-CN"/>
              </w:rPr>
              <w:t>；</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eastAsia="zh-CN"/>
              </w:rPr>
            </w:pPr>
            <w:r>
              <w:rPr>
                <w:rFonts w:hint="eastAsia" w:ascii="宋体" w:hAnsi="宋体" w:eastAsia="宋体" w:cs="宋体"/>
                <w:sz w:val="21"/>
                <w:szCs w:val="21"/>
              </w:rPr>
              <w:t>六类RJ45网络接口</w:t>
            </w:r>
            <w:r>
              <w:rPr>
                <w:rFonts w:hint="eastAsia" w:ascii="宋体" w:hAnsi="宋体" w:eastAsia="宋体" w:cs="宋体"/>
                <w:sz w:val="21"/>
                <w:szCs w:val="21"/>
                <w:lang w:eastAsia="zh-CN"/>
              </w:rPr>
              <w:t>：</w:t>
            </w:r>
            <w:r>
              <w:rPr>
                <w:rFonts w:hint="eastAsia" w:ascii="宋体" w:hAnsi="宋体" w:eastAsia="宋体" w:cs="宋体"/>
                <w:sz w:val="21"/>
                <w:szCs w:val="21"/>
              </w:rPr>
              <w:t>2个</w:t>
            </w:r>
            <w:r>
              <w:rPr>
                <w:rFonts w:hint="eastAsia" w:ascii="宋体" w:hAnsi="宋体" w:eastAsia="宋体" w:cs="宋体"/>
                <w:sz w:val="21"/>
                <w:szCs w:val="21"/>
                <w:lang w:eastAsia="zh-CN"/>
              </w:rPr>
              <w:t>；</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eastAsia="zh-CN"/>
              </w:rPr>
            </w:pPr>
            <w:r>
              <w:rPr>
                <w:rFonts w:hint="eastAsia" w:ascii="宋体" w:hAnsi="宋体" w:eastAsia="宋体" w:cs="宋体"/>
                <w:sz w:val="21"/>
                <w:szCs w:val="21"/>
              </w:rPr>
              <w:t>等电位端子</w:t>
            </w:r>
            <w:r>
              <w:rPr>
                <w:rFonts w:hint="eastAsia" w:ascii="宋体" w:hAnsi="宋体" w:eastAsia="宋体" w:cs="宋体"/>
                <w:sz w:val="21"/>
                <w:szCs w:val="21"/>
                <w:lang w:eastAsia="zh-CN"/>
              </w:rPr>
              <w:t>：</w:t>
            </w:r>
            <w:r>
              <w:rPr>
                <w:rFonts w:hint="eastAsia" w:ascii="宋体" w:hAnsi="宋体" w:eastAsia="宋体" w:cs="宋体"/>
                <w:sz w:val="21"/>
                <w:szCs w:val="21"/>
              </w:rPr>
              <w:t>2个</w:t>
            </w:r>
            <w:r>
              <w:rPr>
                <w:rFonts w:hint="eastAsia" w:ascii="宋体" w:hAnsi="宋体" w:eastAsia="宋体" w:cs="宋体"/>
                <w:sz w:val="21"/>
                <w:szCs w:val="21"/>
                <w:lang w:eastAsia="zh-CN"/>
              </w:rPr>
              <w:t>；</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eastAsia="zh-CN"/>
              </w:rPr>
            </w:pPr>
            <w:r>
              <w:rPr>
                <w:rFonts w:hint="eastAsia" w:ascii="宋体" w:hAnsi="宋体" w:eastAsia="宋体" w:cs="宋体"/>
                <w:sz w:val="21"/>
                <w:szCs w:val="21"/>
              </w:rPr>
              <w:t>网篮</w:t>
            </w:r>
            <w:r>
              <w:rPr>
                <w:rFonts w:hint="eastAsia" w:ascii="宋体" w:hAnsi="宋体" w:eastAsia="宋体" w:cs="宋体"/>
                <w:sz w:val="21"/>
                <w:szCs w:val="21"/>
                <w:lang w:eastAsia="zh-CN"/>
              </w:rPr>
              <w:t>：</w:t>
            </w:r>
            <w:r>
              <w:rPr>
                <w:rFonts w:hint="eastAsia" w:ascii="宋体" w:hAnsi="宋体" w:eastAsia="宋体" w:cs="宋体"/>
                <w:sz w:val="21"/>
                <w:szCs w:val="21"/>
              </w:rPr>
              <w:t>1个</w:t>
            </w:r>
            <w:r>
              <w:rPr>
                <w:rFonts w:hint="eastAsia" w:ascii="宋体" w:hAnsi="宋体" w:eastAsia="宋体" w:cs="宋体"/>
                <w:sz w:val="21"/>
                <w:szCs w:val="21"/>
                <w:lang w:eastAsia="zh-CN"/>
              </w:rPr>
              <w:t>；</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eastAsia="zh-CN"/>
              </w:rPr>
            </w:pPr>
            <w:r>
              <w:rPr>
                <w:rFonts w:hint="eastAsia" w:ascii="宋体" w:hAnsi="宋体" w:eastAsia="宋体" w:cs="宋体"/>
                <w:sz w:val="21"/>
                <w:szCs w:val="21"/>
              </w:rPr>
              <w:t>线缆收纳挂钩</w:t>
            </w:r>
            <w:r>
              <w:rPr>
                <w:rFonts w:hint="eastAsia" w:ascii="宋体" w:hAnsi="宋体" w:eastAsia="宋体" w:cs="宋体"/>
                <w:sz w:val="21"/>
                <w:szCs w:val="21"/>
                <w:lang w:eastAsia="zh-CN"/>
              </w:rPr>
              <w:t>：</w:t>
            </w:r>
            <w:r>
              <w:rPr>
                <w:rFonts w:hint="eastAsia" w:ascii="宋体" w:hAnsi="宋体" w:eastAsia="宋体" w:cs="宋体"/>
                <w:sz w:val="21"/>
                <w:szCs w:val="21"/>
              </w:rPr>
              <w:t>1个</w:t>
            </w:r>
            <w:r>
              <w:rPr>
                <w:rFonts w:hint="eastAsia" w:ascii="宋体" w:hAnsi="宋体" w:eastAsia="宋体" w:cs="宋体"/>
                <w:sz w:val="21"/>
                <w:szCs w:val="21"/>
                <w:lang w:eastAsia="zh-CN"/>
              </w:rPr>
              <w:t>；</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eastAsia="zh-CN"/>
              </w:rPr>
            </w:pPr>
            <w:r>
              <w:rPr>
                <w:rFonts w:hint="eastAsia" w:ascii="宋体" w:hAnsi="宋体" w:eastAsia="宋体" w:cs="宋体"/>
                <w:sz w:val="21"/>
                <w:szCs w:val="21"/>
              </w:rPr>
              <w:t>线缆收纳盒</w:t>
            </w:r>
            <w:r>
              <w:rPr>
                <w:rFonts w:hint="eastAsia" w:ascii="宋体" w:hAnsi="宋体" w:eastAsia="宋体" w:cs="宋体"/>
                <w:sz w:val="21"/>
                <w:szCs w:val="21"/>
                <w:lang w:eastAsia="zh-CN"/>
              </w:rPr>
              <w:t>：</w:t>
            </w:r>
            <w:r>
              <w:rPr>
                <w:rFonts w:hint="eastAsia" w:ascii="宋体" w:hAnsi="宋体" w:eastAsia="宋体" w:cs="宋体"/>
                <w:sz w:val="21"/>
                <w:szCs w:val="21"/>
              </w:rPr>
              <w:t>1个</w:t>
            </w:r>
            <w:r>
              <w:rPr>
                <w:rFonts w:hint="eastAsia" w:ascii="宋体" w:hAnsi="宋体" w:eastAsia="宋体" w:cs="宋体"/>
                <w:sz w:val="21"/>
                <w:szCs w:val="21"/>
                <w:lang w:eastAsia="zh-CN"/>
              </w:rPr>
              <w:t>；</w:t>
            </w:r>
          </w:p>
          <w:p>
            <w:pPr>
              <w:keepNext w:val="0"/>
              <w:keepLines w:val="0"/>
              <w:pageBreakBefore w:val="0"/>
              <w:widowControl/>
              <w:numPr>
                <w:ilvl w:val="0"/>
                <w:numId w:val="1"/>
              </w:numPr>
              <w:kinsoku/>
              <w:wordWrap/>
              <w:overflowPunct/>
              <w:topLinePunct w:val="0"/>
              <w:autoSpaceDE/>
              <w:autoSpaceDN/>
              <w:bidi w:val="0"/>
              <w:adjustRightInd/>
              <w:snapToGrid/>
              <w:spacing w:line="240" w:lineRule="auto"/>
              <w:jc w:val="left"/>
              <w:textAlignment w:val="auto"/>
              <w:rPr>
                <w:rFonts w:hint="eastAsia" w:ascii="宋体" w:hAnsi="宋体" w:eastAsia="宋体" w:cs="宋体"/>
                <w:b/>
                <w:bCs/>
                <w:sz w:val="21"/>
                <w:szCs w:val="21"/>
              </w:rPr>
            </w:pPr>
            <w:r>
              <w:rPr>
                <w:rFonts w:hint="eastAsia" w:ascii="宋体" w:hAnsi="宋体" w:eastAsia="宋体" w:cs="宋体"/>
                <w:b/>
                <w:bCs/>
                <w:sz w:val="21"/>
                <w:szCs w:val="21"/>
              </w:rPr>
              <w:t>湿区配置：</w:t>
            </w:r>
          </w:p>
          <w:p>
            <w:pPr>
              <w:keepNext w:val="0"/>
              <w:keepLines w:val="0"/>
              <w:pageBreakBefore w:val="0"/>
              <w:widowControl/>
              <w:numPr>
                <w:ilvl w:val="0"/>
                <w:numId w:val="0"/>
              </w:numPr>
              <w:kinsoku/>
              <w:wordWrap/>
              <w:overflowPunct/>
              <w:topLinePunct w:val="0"/>
              <w:autoSpaceDE/>
              <w:autoSpaceDN/>
              <w:bidi w:val="0"/>
              <w:adjustRightInd/>
              <w:snapToGrid/>
              <w:spacing w:line="240" w:lineRule="auto"/>
              <w:jc w:val="left"/>
              <w:textAlignment w:val="auto"/>
              <w:rPr>
                <w:rFonts w:hint="eastAsia" w:ascii="宋体" w:hAnsi="宋体" w:eastAsia="宋体" w:cs="宋体"/>
                <w:sz w:val="21"/>
                <w:szCs w:val="21"/>
              </w:rPr>
            </w:pPr>
            <w:r>
              <w:rPr>
                <w:rFonts w:hint="eastAsia" w:ascii="宋体" w:hAnsi="宋体" w:eastAsia="宋体" w:cs="宋体"/>
                <w:sz w:val="21"/>
                <w:szCs w:val="21"/>
              </w:rPr>
              <w:t>仪器托盘</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1个（</w:t>
            </w:r>
            <w:r>
              <w:rPr>
                <w:rFonts w:hint="eastAsia" w:ascii="宋体" w:hAnsi="宋体" w:eastAsia="宋体" w:cs="宋体"/>
                <w:sz w:val="21"/>
                <w:szCs w:val="21"/>
              </w:rPr>
              <w:t>2层，其中一层带抽屉</w:t>
            </w:r>
            <w:r>
              <w:rPr>
                <w:rFonts w:hint="eastAsia" w:ascii="宋体" w:hAnsi="宋体" w:eastAsia="宋体" w:cs="宋体"/>
                <w:sz w:val="21"/>
                <w:szCs w:val="21"/>
                <w:lang w:val="en-US" w:eastAsia="zh-CN"/>
              </w:rPr>
              <w:t>）；</w:t>
            </w:r>
          </w:p>
          <w:p>
            <w:pPr>
              <w:keepNext w:val="0"/>
              <w:keepLines w:val="0"/>
              <w:pageBreakBefore w:val="0"/>
              <w:widowControl/>
              <w:numPr>
                <w:ilvl w:val="0"/>
                <w:numId w:val="0"/>
              </w:numPr>
              <w:kinsoku/>
              <w:wordWrap/>
              <w:overflowPunct/>
              <w:topLinePunct w:val="0"/>
              <w:autoSpaceDE/>
              <w:autoSpaceDN/>
              <w:bidi w:val="0"/>
              <w:adjustRightInd/>
              <w:snapToGrid/>
              <w:spacing w:line="240" w:lineRule="auto"/>
              <w:jc w:val="left"/>
              <w:textAlignment w:val="auto"/>
              <w:rPr>
                <w:rFonts w:hint="eastAsia" w:ascii="宋体" w:hAnsi="宋体" w:eastAsia="宋体" w:cs="宋体"/>
                <w:sz w:val="21"/>
                <w:szCs w:val="21"/>
              </w:rPr>
            </w:pPr>
            <w:r>
              <w:rPr>
                <w:rFonts w:hint="eastAsia" w:ascii="宋体" w:hAnsi="宋体" w:eastAsia="宋体" w:cs="宋体"/>
                <w:sz w:val="21"/>
                <w:szCs w:val="21"/>
              </w:rPr>
              <w:t>德标气体终端3个：氧气1个、空气1个、负压吸引1个；</w:t>
            </w:r>
          </w:p>
          <w:p>
            <w:pPr>
              <w:keepNext w:val="0"/>
              <w:keepLines w:val="0"/>
              <w:pageBreakBefore w:val="0"/>
              <w:widowControl/>
              <w:numPr>
                <w:ilvl w:val="0"/>
                <w:numId w:val="0"/>
              </w:numPr>
              <w:kinsoku/>
              <w:wordWrap/>
              <w:overflowPunct/>
              <w:topLinePunct w:val="0"/>
              <w:autoSpaceDE/>
              <w:autoSpaceDN/>
              <w:bidi w:val="0"/>
              <w:adjustRightInd/>
              <w:snapToGrid/>
              <w:spacing w:line="240" w:lineRule="auto"/>
              <w:jc w:val="left"/>
              <w:textAlignment w:val="auto"/>
              <w:rPr>
                <w:rFonts w:hint="eastAsia" w:ascii="宋体" w:hAnsi="宋体" w:eastAsia="宋体" w:cs="宋体"/>
                <w:sz w:val="21"/>
                <w:szCs w:val="21"/>
                <w:lang w:eastAsia="zh-CN"/>
              </w:rPr>
            </w:pPr>
            <w:r>
              <w:rPr>
                <w:rFonts w:hint="eastAsia" w:ascii="宋体" w:hAnsi="宋体" w:eastAsia="宋体" w:cs="宋体"/>
                <w:sz w:val="21"/>
                <w:szCs w:val="21"/>
              </w:rPr>
              <w:t>220V/10A国标电源插座</w:t>
            </w:r>
            <w:r>
              <w:rPr>
                <w:rFonts w:hint="eastAsia" w:ascii="宋体" w:hAnsi="宋体" w:eastAsia="宋体" w:cs="宋体"/>
                <w:sz w:val="21"/>
                <w:szCs w:val="21"/>
                <w:lang w:eastAsia="zh-CN"/>
              </w:rPr>
              <w:t>：</w:t>
            </w:r>
            <w:r>
              <w:rPr>
                <w:rFonts w:hint="eastAsia" w:ascii="宋体" w:hAnsi="宋体" w:eastAsia="宋体" w:cs="宋体"/>
                <w:sz w:val="21"/>
                <w:szCs w:val="21"/>
              </w:rPr>
              <w:t>6个</w:t>
            </w:r>
            <w:r>
              <w:rPr>
                <w:rFonts w:hint="eastAsia" w:ascii="宋体" w:hAnsi="宋体" w:eastAsia="宋体" w:cs="宋体"/>
                <w:sz w:val="21"/>
                <w:szCs w:val="21"/>
                <w:lang w:eastAsia="zh-CN"/>
              </w:rPr>
              <w:t>；</w:t>
            </w:r>
          </w:p>
          <w:p>
            <w:pPr>
              <w:keepNext w:val="0"/>
              <w:keepLines w:val="0"/>
              <w:pageBreakBefore w:val="0"/>
              <w:widowControl/>
              <w:numPr>
                <w:ilvl w:val="0"/>
                <w:numId w:val="0"/>
              </w:numPr>
              <w:kinsoku/>
              <w:wordWrap/>
              <w:overflowPunct/>
              <w:topLinePunct w:val="0"/>
              <w:autoSpaceDE/>
              <w:autoSpaceDN/>
              <w:bidi w:val="0"/>
              <w:adjustRightInd/>
              <w:snapToGrid/>
              <w:spacing w:line="240" w:lineRule="auto"/>
              <w:jc w:val="left"/>
              <w:textAlignment w:val="auto"/>
              <w:rPr>
                <w:rFonts w:hint="eastAsia" w:ascii="宋体" w:hAnsi="宋体" w:eastAsia="宋体" w:cs="宋体"/>
                <w:sz w:val="21"/>
                <w:szCs w:val="21"/>
                <w:lang w:eastAsia="zh-CN"/>
              </w:rPr>
            </w:pPr>
            <w:r>
              <w:rPr>
                <w:rFonts w:hint="eastAsia" w:ascii="宋体" w:hAnsi="宋体" w:eastAsia="宋体" w:cs="宋体"/>
                <w:sz w:val="21"/>
                <w:szCs w:val="21"/>
              </w:rPr>
              <w:t>等电位端子</w:t>
            </w:r>
            <w:r>
              <w:rPr>
                <w:rFonts w:hint="eastAsia" w:ascii="宋体" w:hAnsi="宋体" w:eastAsia="宋体" w:cs="宋体"/>
                <w:sz w:val="21"/>
                <w:szCs w:val="21"/>
                <w:lang w:eastAsia="zh-CN"/>
              </w:rPr>
              <w:t>：</w:t>
            </w:r>
            <w:r>
              <w:rPr>
                <w:rFonts w:hint="eastAsia" w:ascii="宋体" w:hAnsi="宋体" w:eastAsia="宋体" w:cs="宋体"/>
                <w:sz w:val="21"/>
                <w:szCs w:val="21"/>
              </w:rPr>
              <w:t>2个</w:t>
            </w:r>
            <w:r>
              <w:rPr>
                <w:rFonts w:hint="eastAsia" w:ascii="宋体" w:hAnsi="宋体" w:eastAsia="宋体" w:cs="宋体"/>
                <w:sz w:val="21"/>
                <w:szCs w:val="21"/>
                <w:lang w:eastAsia="zh-CN"/>
              </w:rPr>
              <w:t>；</w:t>
            </w:r>
          </w:p>
          <w:p>
            <w:pPr>
              <w:keepNext w:val="0"/>
              <w:keepLines w:val="0"/>
              <w:pageBreakBefore w:val="0"/>
              <w:widowControl/>
              <w:numPr>
                <w:ilvl w:val="0"/>
                <w:numId w:val="0"/>
              </w:numPr>
              <w:kinsoku/>
              <w:wordWrap/>
              <w:overflowPunct/>
              <w:topLinePunct w:val="0"/>
              <w:autoSpaceDE/>
              <w:autoSpaceDN/>
              <w:bidi w:val="0"/>
              <w:adjustRightInd/>
              <w:snapToGrid/>
              <w:spacing w:line="240" w:lineRule="auto"/>
              <w:jc w:val="left"/>
              <w:textAlignment w:val="auto"/>
              <w:rPr>
                <w:rFonts w:hint="eastAsia" w:ascii="宋体" w:hAnsi="宋体" w:eastAsia="宋体" w:cs="宋体"/>
                <w:sz w:val="21"/>
                <w:szCs w:val="21"/>
              </w:rPr>
            </w:pPr>
            <w:r>
              <w:rPr>
                <w:rFonts w:hint="eastAsia" w:ascii="宋体" w:hAnsi="宋体" w:eastAsia="宋体" w:cs="宋体"/>
                <w:sz w:val="21"/>
                <w:szCs w:val="21"/>
              </w:rPr>
              <w:t>双关节输注泵组合架</w:t>
            </w:r>
            <w:r>
              <w:rPr>
                <w:rFonts w:hint="eastAsia" w:ascii="宋体" w:hAnsi="宋体" w:eastAsia="宋体" w:cs="宋体"/>
                <w:sz w:val="21"/>
                <w:szCs w:val="21"/>
                <w:lang w:eastAsia="zh-CN"/>
              </w:rPr>
              <w:t>：</w:t>
            </w:r>
            <w:r>
              <w:rPr>
                <w:rFonts w:hint="eastAsia" w:ascii="宋体" w:hAnsi="宋体" w:eastAsia="宋体" w:cs="宋体"/>
                <w:sz w:val="21"/>
                <w:szCs w:val="21"/>
              </w:rPr>
              <w:t>1个；</w:t>
            </w:r>
          </w:p>
          <w:p>
            <w:pPr>
              <w:keepNext w:val="0"/>
              <w:keepLines w:val="0"/>
              <w:pageBreakBefore w:val="0"/>
              <w:widowControl/>
              <w:numPr>
                <w:ilvl w:val="0"/>
                <w:numId w:val="0"/>
              </w:numPr>
              <w:kinsoku/>
              <w:wordWrap/>
              <w:overflowPunct/>
              <w:topLinePunct w:val="0"/>
              <w:autoSpaceDE/>
              <w:autoSpaceDN/>
              <w:bidi w:val="0"/>
              <w:adjustRightInd/>
              <w:snapToGrid/>
              <w:spacing w:line="240" w:lineRule="auto"/>
              <w:jc w:val="left"/>
              <w:textAlignment w:val="auto"/>
              <w:rPr>
                <w:rFonts w:hint="eastAsia" w:ascii="宋体" w:hAnsi="宋体" w:eastAsia="宋体" w:cs="宋体"/>
                <w:sz w:val="21"/>
                <w:szCs w:val="21"/>
                <w:lang w:eastAsia="zh-CN"/>
              </w:rPr>
            </w:pPr>
            <w:r>
              <w:rPr>
                <w:rFonts w:hint="eastAsia" w:ascii="宋体" w:hAnsi="宋体" w:eastAsia="宋体" w:cs="宋体"/>
                <w:sz w:val="21"/>
                <w:szCs w:val="21"/>
              </w:rPr>
              <w:t>线缆收纳挂钩</w:t>
            </w:r>
            <w:r>
              <w:rPr>
                <w:rFonts w:hint="eastAsia" w:ascii="宋体" w:hAnsi="宋体" w:eastAsia="宋体" w:cs="宋体"/>
                <w:sz w:val="21"/>
                <w:szCs w:val="21"/>
                <w:lang w:eastAsia="zh-CN"/>
              </w:rPr>
              <w:t>：</w:t>
            </w:r>
            <w:r>
              <w:rPr>
                <w:rFonts w:hint="eastAsia" w:ascii="宋体" w:hAnsi="宋体" w:eastAsia="宋体" w:cs="宋体"/>
                <w:sz w:val="21"/>
                <w:szCs w:val="21"/>
              </w:rPr>
              <w:t>1个</w:t>
            </w:r>
            <w:r>
              <w:rPr>
                <w:rFonts w:hint="eastAsia" w:ascii="宋体" w:hAnsi="宋体" w:eastAsia="宋体" w:cs="宋体"/>
                <w:sz w:val="21"/>
                <w:szCs w:val="21"/>
                <w:lang w:eastAsia="zh-CN"/>
              </w:rPr>
              <w:t>；</w:t>
            </w:r>
          </w:p>
          <w:p>
            <w:pPr>
              <w:keepNext w:val="0"/>
              <w:keepLines w:val="0"/>
              <w:pageBreakBefore w:val="0"/>
              <w:widowControl/>
              <w:numPr>
                <w:ilvl w:val="0"/>
                <w:numId w:val="0"/>
              </w:numPr>
              <w:kinsoku/>
              <w:wordWrap/>
              <w:overflowPunct/>
              <w:topLinePunct w:val="0"/>
              <w:autoSpaceDE/>
              <w:autoSpaceDN/>
              <w:bidi w:val="0"/>
              <w:adjustRightInd/>
              <w:snapToGrid/>
              <w:spacing w:line="240" w:lineRule="auto"/>
              <w:jc w:val="left"/>
              <w:textAlignment w:val="auto"/>
              <w:rPr>
                <w:rFonts w:hint="eastAsia" w:ascii="宋体" w:hAnsi="宋体" w:eastAsia="宋体" w:cs="宋体"/>
                <w:b/>
                <w:bCs/>
                <w:color w:val="3F3F3F"/>
                <w:kern w:val="0"/>
                <w:sz w:val="21"/>
                <w:szCs w:val="21"/>
                <w:lang w:eastAsia="zh-CN"/>
              </w:rPr>
            </w:pPr>
            <w:r>
              <w:rPr>
                <w:rFonts w:hint="eastAsia" w:ascii="宋体" w:hAnsi="宋体" w:eastAsia="宋体" w:cs="宋体"/>
                <w:sz w:val="21"/>
                <w:szCs w:val="21"/>
              </w:rPr>
              <w:t>线缆收纳盒</w:t>
            </w:r>
            <w:r>
              <w:rPr>
                <w:rFonts w:hint="eastAsia" w:ascii="宋体" w:hAnsi="宋体" w:eastAsia="宋体" w:cs="宋体"/>
                <w:sz w:val="21"/>
                <w:szCs w:val="21"/>
                <w:lang w:eastAsia="zh-CN"/>
              </w:rPr>
              <w:t>：</w:t>
            </w:r>
            <w:r>
              <w:rPr>
                <w:rFonts w:hint="eastAsia" w:ascii="宋体" w:hAnsi="宋体" w:eastAsia="宋体" w:cs="宋体"/>
                <w:sz w:val="21"/>
                <w:szCs w:val="21"/>
              </w:rPr>
              <w:t>1个</w:t>
            </w:r>
            <w:r>
              <w:rPr>
                <w:rFonts w:hint="eastAsia" w:ascii="宋体" w:hAnsi="宋体" w:eastAsia="宋体" w:cs="宋体"/>
                <w:sz w:val="21"/>
                <w:szCs w:val="21"/>
                <w:lang w:eastAsia="zh-CN"/>
              </w:rPr>
              <w:t>；</w:t>
            </w:r>
          </w:p>
        </w:tc>
      </w:tr>
    </w:tbl>
    <w:p>
      <w:pPr>
        <w:pStyle w:val="2"/>
        <w:jc w:val="center"/>
        <w:rPr>
          <w:kern w:val="0"/>
        </w:rPr>
      </w:pPr>
      <w:r>
        <w:rPr>
          <w:rFonts w:hint="eastAsia"/>
          <w:kern w:val="0"/>
        </w:rPr>
        <w:t>设备配套耗材试剂情况</w:t>
      </w:r>
    </w:p>
    <w:p>
      <w:pPr>
        <w:jc w:val="left"/>
        <w:rPr>
          <w:rFonts w:hint="eastAsia" w:ascii="宋体" w:hAnsi="宋体" w:cs="宋体"/>
          <w:b/>
          <w:bCs/>
          <w:kern w:val="0"/>
          <w:sz w:val="28"/>
          <w:szCs w:val="28"/>
        </w:rPr>
      </w:pPr>
      <w:r>
        <w:rPr>
          <w:rFonts w:hint="eastAsia" w:ascii="宋体" w:hAnsi="宋体" w:cs="宋体"/>
          <w:b/>
          <w:bCs/>
          <w:kern w:val="0"/>
          <w:sz w:val="28"/>
          <w:szCs w:val="28"/>
        </w:rPr>
        <w:t>配套耗材或试剂  （</w:t>
      </w:r>
      <w:r>
        <w:rPr>
          <w:rFonts w:hint="eastAsia" w:ascii="宋体" w:hAnsi="宋体" w:cs="宋体"/>
          <w:b/>
          <w:bCs/>
          <w:color w:val="FF0000"/>
          <w:kern w:val="0"/>
          <w:sz w:val="28"/>
          <w:szCs w:val="28"/>
        </w:rPr>
        <w:t xml:space="preserve">开放□ </w:t>
      </w:r>
      <w:r>
        <w:rPr>
          <w:rFonts w:ascii="宋体" w:hAnsi="宋体" w:cs="宋体"/>
          <w:b/>
          <w:bCs/>
          <w:color w:val="FF0000"/>
          <w:kern w:val="0"/>
          <w:sz w:val="28"/>
          <w:szCs w:val="28"/>
        </w:rPr>
        <w:t xml:space="preserve">  </w:t>
      </w:r>
      <w:r>
        <w:rPr>
          <w:rFonts w:hint="eastAsia" w:ascii="宋体" w:hAnsi="宋体" w:cs="宋体"/>
          <w:b/>
          <w:bCs/>
          <w:color w:val="FF0000"/>
          <w:kern w:val="0"/>
          <w:sz w:val="28"/>
          <w:szCs w:val="28"/>
        </w:rPr>
        <w:t xml:space="preserve">专用□ </w:t>
      </w:r>
      <w:r>
        <w:rPr>
          <w:rFonts w:ascii="宋体" w:hAnsi="宋体" w:cs="宋体"/>
          <w:b/>
          <w:bCs/>
          <w:color w:val="FF0000"/>
          <w:kern w:val="0"/>
          <w:sz w:val="28"/>
          <w:szCs w:val="28"/>
        </w:rPr>
        <w:t xml:space="preserve"> </w:t>
      </w:r>
      <w:r>
        <w:rPr>
          <w:rFonts w:hint="eastAsia" w:ascii="宋体" w:hAnsi="宋体" w:cs="宋体"/>
          <w:b/>
          <w:bCs/>
          <w:color w:val="FF0000"/>
          <w:kern w:val="0"/>
          <w:sz w:val="28"/>
          <w:szCs w:val="28"/>
        </w:rPr>
        <w:t xml:space="preserve"> 无</w:t>
      </w:r>
      <w:r>
        <w:rPr>
          <w:rFonts w:hint="eastAsia" w:ascii="宋体" w:hAnsi="宋体" w:cs="宋体"/>
          <w:b/>
          <w:bCs/>
          <w:color w:val="FF0000"/>
          <w:kern w:val="0"/>
          <w:sz w:val="28"/>
          <w:szCs w:val="28"/>
          <w:lang w:eastAsia="zh-CN"/>
        </w:rPr>
        <w:t>☑</w:t>
      </w:r>
      <w:r>
        <w:rPr>
          <w:rFonts w:hint="eastAsia" w:ascii="宋体" w:hAnsi="宋体" w:cs="宋体"/>
          <w:b/>
          <w:bCs/>
          <w:color w:val="FF0000"/>
          <w:kern w:val="0"/>
          <w:sz w:val="28"/>
          <w:szCs w:val="28"/>
        </w:rPr>
        <w:t xml:space="preserve"> </w:t>
      </w:r>
      <w:r>
        <w:rPr>
          <w:rFonts w:hint="eastAsia" w:ascii="宋体" w:hAnsi="宋体" w:cs="宋体"/>
          <w:b/>
          <w:bCs/>
          <w:kern w:val="0"/>
          <w:sz w:val="28"/>
          <w:szCs w:val="28"/>
        </w:rPr>
        <w:t xml:space="preserve">） </w:t>
      </w:r>
    </w:p>
    <w:p>
      <w:pPr>
        <w:jc w:val="left"/>
        <w:rPr>
          <w:rFonts w:hint="eastAsia" w:ascii="宋体" w:hAnsi="宋体" w:cs="宋体"/>
          <w:b/>
          <w:bCs/>
          <w:kern w:val="0"/>
          <w:sz w:val="28"/>
          <w:szCs w:val="28"/>
        </w:rPr>
      </w:pPr>
    </w:p>
    <w:p>
      <w:pPr>
        <w:jc w:val="left"/>
        <w:rPr>
          <w:rFonts w:ascii="宋体" w:hAnsi="宋体" w:cs="宋体"/>
          <w:b/>
          <w:bCs/>
          <w:kern w:val="0"/>
          <w:sz w:val="24"/>
          <w:szCs w:val="24"/>
        </w:rPr>
      </w:pPr>
      <w:r>
        <w:rPr>
          <w:rFonts w:hint="eastAsia" w:ascii="宋体" w:hAnsi="宋体" w:cs="宋体"/>
          <w:b/>
          <w:bCs/>
          <w:kern w:val="0"/>
          <w:sz w:val="24"/>
          <w:szCs w:val="24"/>
        </w:rPr>
        <w:t>配套耗材</w:t>
      </w:r>
    </w:p>
    <w:tbl>
      <w:tblPr>
        <w:tblStyle w:val="7"/>
        <w:tblW w:w="0" w:type="auto"/>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0"/>
        <w:gridCol w:w="5094"/>
        <w:gridCol w:w="1985"/>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860" w:type="dxa"/>
            <w:vAlign w:val="center"/>
          </w:tcPr>
          <w:p>
            <w:pPr>
              <w:jc w:val="center"/>
              <w:rPr>
                <w:rFonts w:ascii="仿宋_GB2312" w:hAnsi="Times New Roman" w:eastAsia="仿宋_GB2312"/>
                <w:b/>
                <w:sz w:val="24"/>
                <w:szCs w:val="21"/>
              </w:rPr>
            </w:pPr>
            <w:r>
              <w:rPr>
                <w:rFonts w:hint="eastAsia" w:ascii="仿宋_GB2312" w:hAnsi="Times New Roman" w:eastAsia="仿宋_GB2312"/>
                <w:b/>
                <w:sz w:val="24"/>
                <w:szCs w:val="21"/>
              </w:rPr>
              <w:t>序号</w:t>
            </w:r>
          </w:p>
        </w:tc>
        <w:tc>
          <w:tcPr>
            <w:tcW w:w="5094" w:type="dxa"/>
            <w:vAlign w:val="center"/>
          </w:tcPr>
          <w:p>
            <w:pPr>
              <w:jc w:val="center"/>
              <w:rPr>
                <w:rFonts w:ascii="仿宋_GB2312" w:hAnsi="Times New Roman" w:eastAsia="仿宋_GB2312"/>
                <w:b/>
                <w:sz w:val="24"/>
                <w:szCs w:val="21"/>
              </w:rPr>
            </w:pPr>
            <w:r>
              <w:rPr>
                <w:rFonts w:hint="eastAsia" w:ascii="仿宋_GB2312" w:hAnsi="Times New Roman" w:eastAsia="仿宋_GB2312"/>
                <w:b/>
                <w:sz w:val="24"/>
                <w:szCs w:val="21"/>
              </w:rPr>
              <w:t>名称</w:t>
            </w:r>
          </w:p>
        </w:tc>
        <w:tc>
          <w:tcPr>
            <w:tcW w:w="1985" w:type="dxa"/>
            <w:vAlign w:val="center"/>
          </w:tcPr>
          <w:p>
            <w:pPr>
              <w:jc w:val="center"/>
              <w:rPr>
                <w:rFonts w:ascii="仿宋_GB2312" w:hAnsi="Times New Roman" w:eastAsia="仿宋_GB2312"/>
                <w:b/>
                <w:sz w:val="24"/>
                <w:szCs w:val="21"/>
              </w:rPr>
            </w:pPr>
            <w:r>
              <w:rPr>
                <w:rFonts w:hint="eastAsia" w:ascii="仿宋_GB2312" w:hAnsi="Times New Roman" w:eastAsia="仿宋_GB2312"/>
                <w:b/>
                <w:sz w:val="24"/>
                <w:szCs w:val="21"/>
              </w:rPr>
              <w:t>单位</w:t>
            </w:r>
          </w:p>
        </w:tc>
        <w:tc>
          <w:tcPr>
            <w:tcW w:w="2126" w:type="dxa"/>
            <w:vAlign w:val="center"/>
          </w:tcPr>
          <w:p>
            <w:pPr>
              <w:jc w:val="center"/>
              <w:rPr>
                <w:rFonts w:ascii="仿宋_GB2312" w:hAnsi="Times New Roman" w:eastAsia="仿宋_GB2312"/>
                <w:b/>
                <w:sz w:val="24"/>
                <w:szCs w:val="21"/>
              </w:rPr>
            </w:pPr>
            <w:r>
              <w:rPr>
                <w:rFonts w:hint="eastAsia" w:ascii="仿宋_GB2312" w:hAnsi="Times New Roman" w:eastAsia="仿宋_GB2312"/>
                <w:b/>
                <w:sz w:val="24"/>
                <w:szCs w:val="21"/>
              </w:rPr>
              <w:t>预算单价（元）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860" w:type="dxa"/>
            <w:vAlign w:val="center"/>
          </w:tcPr>
          <w:p>
            <w:pPr>
              <w:jc w:val="center"/>
              <w:rPr>
                <w:rFonts w:ascii="仿宋_GB2312" w:hAnsi="Times New Roman" w:eastAsia="仿宋_GB2312"/>
                <w:b/>
                <w:sz w:val="28"/>
                <w:szCs w:val="21"/>
              </w:rPr>
            </w:pPr>
            <w:r>
              <w:rPr>
                <w:rFonts w:hint="eastAsia" w:ascii="仿宋_GB2312" w:hAnsi="Times New Roman" w:eastAsia="仿宋_GB2312"/>
                <w:b/>
                <w:sz w:val="28"/>
                <w:szCs w:val="21"/>
              </w:rPr>
              <w:t>1</w:t>
            </w:r>
          </w:p>
        </w:tc>
        <w:tc>
          <w:tcPr>
            <w:tcW w:w="5094"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仿宋_GB2312" w:hAnsi="Times New Roman" w:eastAsia="仿宋_GB2312"/>
                <w:b w:val="0"/>
                <w:bCs/>
                <w:sz w:val="21"/>
                <w:szCs w:val="16"/>
                <w:lang w:val="en-US" w:eastAsia="zh-CN"/>
              </w:rPr>
            </w:pPr>
            <w:r>
              <w:rPr>
                <w:rFonts w:hint="eastAsia" w:ascii="仿宋_GB2312" w:hAnsi="Times New Roman" w:eastAsia="仿宋_GB2312"/>
                <w:b w:val="0"/>
                <w:bCs/>
                <w:sz w:val="21"/>
                <w:szCs w:val="16"/>
                <w:lang w:val="en-US" w:eastAsia="zh-CN"/>
              </w:rPr>
              <w:t>/</w:t>
            </w:r>
          </w:p>
        </w:tc>
        <w:tc>
          <w:tcPr>
            <w:tcW w:w="1985" w:type="dxa"/>
            <w:vAlign w:val="center"/>
          </w:tcPr>
          <w:p>
            <w:pPr>
              <w:jc w:val="center"/>
              <w:rPr>
                <w:rFonts w:hint="eastAsia" w:ascii="仿宋_GB2312" w:hAnsi="Times New Roman" w:eastAsia="仿宋_GB2312"/>
                <w:b w:val="0"/>
                <w:bCs/>
                <w:sz w:val="28"/>
                <w:szCs w:val="21"/>
                <w:lang w:val="en-US" w:eastAsia="zh-CN"/>
              </w:rPr>
            </w:pPr>
            <w:r>
              <w:rPr>
                <w:rFonts w:hint="eastAsia" w:ascii="仿宋_GB2312" w:hAnsi="Times New Roman" w:eastAsia="仿宋_GB2312"/>
                <w:b w:val="0"/>
                <w:bCs/>
                <w:sz w:val="21"/>
                <w:szCs w:val="16"/>
                <w:lang w:val="en-US" w:eastAsia="zh-CN"/>
              </w:rPr>
              <w:t>/</w:t>
            </w:r>
          </w:p>
        </w:tc>
        <w:tc>
          <w:tcPr>
            <w:tcW w:w="2126" w:type="dxa"/>
            <w:vAlign w:val="center"/>
          </w:tcPr>
          <w:p>
            <w:pPr>
              <w:jc w:val="center"/>
              <w:rPr>
                <w:rFonts w:hint="eastAsia" w:ascii="仿宋_GB2312" w:hAnsi="Times New Roman" w:eastAsia="仿宋_GB2312"/>
                <w:b w:val="0"/>
                <w:bCs/>
                <w:sz w:val="28"/>
                <w:szCs w:val="21"/>
                <w:lang w:val="en-US" w:eastAsia="zh-CN"/>
              </w:rPr>
            </w:pPr>
            <w:r>
              <w:rPr>
                <w:rFonts w:hint="eastAsia" w:ascii="仿宋_GB2312" w:hAnsi="Times New Roman" w:eastAsia="仿宋_GB2312"/>
                <w:b w:val="0"/>
                <w:bCs/>
                <w:sz w:val="21"/>
                <w:szCs w:val="16"/>
                <w:lang w:val="en-US" w:eastAsia="zh-CN"/>
              </w:rPr>
              <w:t>/</w:t>
            </w:r>
          </w:p>
        </w:tc>
      </w:tr>
    </w:tbl>
    <w:p>
      <w:pPr>
        <w:jc w:val="left"/>
        <w:rPr>
          <w:rFonts w:ascii="Times New Roman" w:hAnsi="Times New Roman"/>
          <w:szCs w:val="21"/>
        </w:rPr>
      </w:pPr>
    </w:p>
    <w:p>
      <w:pPr>
        <w:jc w:val="left"/>
        <w:rPr>
          <w:rFonts w:ascii="宋体" w:hAnsi="宋体" w:cs="宋体"/>
          <w:b/>
          <w:bCs/>
          <w:kern w:val="0"/>
          <w:sz w:val="24"/>
          <w:szCs w:val="24"/>
        </w:rPr>
      </w:pPr>
      <w:r>
        <w:rPr>
          <w:rFonts w:hint="eastAsia" w:ascii="宋体" w:hAnsi="宋体" w:cs="宋体"/>
          <w:b/>
          <w:bCs/>
          <w:kern w:val="0"/>
          <w:sz w:val="24"/>
          <w:szCs w:val="24"/>
        </w:rPr>
        <w:t xml:space="preserve">配套试剂 </w:t>
      </w:r>
    </w:p>
    <w:tbl>
      <w:tblPr>
        <w:tblStyle w:val="7"/>
        <w:tblW w:w="10065" w:type="dxa"/>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7"/>
        <w:gridCol w:w="5107"/>
        <w:gridCol w:w="1985"/>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trPr>
        <w:tc>
          <w:tcPr>
            <w:tcW w:w="847" w:type="dxa"/>
            <w:vAlign w:val="center"/>
          </w:tcPr>
          <w:p>
            <w:pPr>
              <w:jc w:val="center"/>
              <w:rPr>
                <w:rFonts w:ascii="仿宋_GB2312" w:hAnsi="Times New Roman" w:eastAsia="仿宋_GB2312"/>
                <w:b/>
                <w:sz w:val="24"/>
                <w:szCs w:val="21"/>
              </w:rPr>
            </w:pPr>
            <w:r>
              <w:rPr>
                <w:rFonts w:hint="eastAsia" w:ascii="仿宋_GB2312" w:hAnsi="Times New Roman" w:eastAsia="仿宋_GB2312"/>
                <w:b/>
                <w:sz w:val="24"/>
                <w:szCs w:val="21"/>
              </w:rPr>
              <w:t>序号</w:t>
            </w:r>
          </w:p>
        </w:tc>
        <w:tc>
          <w:tcPr>
            <w:tcW w:w="5107" w:type="dxa"/>
            <w:vAlign w:val="center"/>
          </w:tcPr>
          <w:p>
            <w:pPr>
              <w:jc w:val="center"/>
              <w:rPr>
                <w:rFonts w:ascii="仿宋_GB2312" w:hAnsi="Times New Roman" w:eastAsia="仿宋_GB2312"/>
                <w:b/>
                <w:sz w:val="24"/>
                <w:szCs w:val="21"/>
              </w:rPr>
            </w:pPr>
            <w:r>
              <w:rPr>
                <w:rFonts w:hint="eastAsia" w:ascii="仿宋_GB2312" w:hAnsi="Times New Roman" w:eastAsia="仿宋_GB2312"/>
                <w:b/>
                <w:sz w:val="24"/>
                <w:szCs w:val="21"/>
              </w:rPr>
              <w:t>名称</w:t>
            </w:r>
          </w:p>
        </w:tc>
        <w:tc>
          <w:tcPr>
            <w:tcW w:w="1985" w:type="dxa"/>
            <w:vAlign w:val="center"/>
          </w:tcPr>
          <w:p>
            <w:pPr>
              <w:jc w:val="center"/>
              <w:rPr>
                <w:rFonts w:ascii="仿宋_GB2312" w:hAnsi="Times New Roman" w:eastAsia="仿宋_GB2312"/>
                <w:b/>
                <w:sz w:val="24"/>
                <w:szCs w:val="21"/>
              </w:rPr>
            </w:pPr>
            <w:r>
              <w:rPr>
                <w:rFonts w:hint="eastAsia" w:ascii="仿宋_GB2312" w:hAnsi="Times New Roman" w:eastAsia="仿宋_GB2312"/>
                <w:b/>
                <w:sz w:val="24"/>
                <w:szCs w:val="21"/>
              </w:rPr>
              <w:t>单位</w:t>
            </w:r>
          </w:p>
        </w:tc>
        <w:tc>
          <w:tcPr>
            <w:tcW w:w="2126" w:type="dxa"/>
            <w:vAlign w:val="center"/>
          </w:tcPr>
          <w:p>
            <w:pPr>
              <w:jc w:val="center"/>
              <w:rPr>
                <w:rFonts w:ascii="仿宋_GB2312" w:hAnsi="Times New Roman" w:eastAsia="仿宋_GB2312"/>
                <w:b/>
                <w:sz w:val="24"/>
                <w:szCs w:val="21"/>
              </w:rPr>
            </w:pPr>
            <w:r>
              <w:rPr>
                <w:rFonts w:hint="eastAsia" w:ascii="仿宋_GB2312" w:hAnsi="Times New Roman" w:eastAsia="仿宋_GB2312"/>
                <w:b/>
                <w:sz w:val="24"/>
                <w:szCs w:val="21"/>
              </w:rPr>
              <w:t>预算单价（元）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6" w:hRule="atLeast"/>
        </w:trPr>
        <w:tc>
          <w:tcPr>
            <w:tcW w:w="847" w:type="dxa"/>
            <w:vAlign w:val="center"/>
          </w:tcPr>
          <w:p>
            <w:pPr>
              <w:jc w:val="center"/>
              <w:rPr>
                <w:rFonts w:ascii="仿宋_GB2312" w:hAnsi="Times New Roman" w:eastAsia="仿宋_GB2312"/>
                <w:b/>
                <w:sz w:val="28"/>
                <w:szCs w:val="21"/>
              </w:rPr>
            </w:pPr>
            <w:r>
              <w:rPr>
                <w:rFonts w:hint="eastAsia" w:ascii="仿宋_GB2312" w:hAnsi="Times New Roman" w:eastAsia="仿宋_GB2312"/>
                <w:b/>
                <w:sz w:val="28"/>
                <w:szCs w:val="21"/>
              </w:rPr>
              <w:t>1</w:t>
            </w:r>
          </w:p>
        </w:tc>
        <w:tc>
          <w:tcPr>
            <w:tcW w:w="5107"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仿宋_GB2312" w:hAnsi="Times New Roman" w:eastAsia="仿宋_GB2312"/>
                <w:sz w:val="21"/>
                <w:szCs w:val="18"/>
                <w:lang w:val="en-US" w:eastAsia="zh-CN"/>
              </w:rPr>
            </w:pPr>
            <w:r>
              <w:rPr>
                <w:rFonts w:hint="eastAsia" w:ascii="仿宋_GB2312" w:hAnsi="Times New Roman" w:eastAsia="仿宋_GB2312"/>
                <w:sz w:val="21"/>
                <w:szCs w:val="18"/>
                <w:lang w:val="en-US" w:eastAsia="zh-CN"/>
              </w:rPr>
              <w:t>/</w:t>
            </w:r>
          </w:p>
        </w:tc>
        <w:tc>
          <w:tcPr>
            <w:tcW w:w="1985" w:type="dxa"/>
            <w:vAlign w:val="center"/>
          </w:tcPr>
          <w:p>
            <w:pPr>
              <w:jc w:val="center"/>
              <w:rPr>
                <w:rFonts w:hint="eastAsia" w:ascii="仿宋_GB2312" w:hAnsi="Times New Roman" w:eastAsia="仿宋_GB2312"/>
                <w:sz w:val="24"/>
                <w:szCs w:val="21"/>
                <w:lang w:val="en-US" w:eastAsia="zh-CN"/>
              </w:rPr>
            </w:pPr>
            <w:r>
              <w:rPr>
                <w:rFonts w:hint="eastAsia" w:ascii="仿宋_GB2312" w:hAnsi="Times New Roman" w:eastAsia="仿宋_GB2312"/>
                <w:b w:val="0"/>
                <w:bCs/>
                <w:sz w:val="21"/>
                <w:szCs w:val="16"/>
                <w:lang w:val="en-US" w:eastAsia="zh-CN"/>
              </w:rPr>
              <w:t>/</w:t>
            </w:r>
          </w:p>
        </w:tc>
        <w:tc>
          <w:tcPr>
            <w:tcW w:w="2126" w:type="dxa"/>
            <w:vAlign w:val="center"/>
          </w:tcPr>
          <w:p>
            <w:pPr>
              <w:jc w:val="center"/>
              <w:rPr>
                <w:rFonts w:hint="eastAsia" w:ascii="仿宋_GB2312" w:hAnsi="Times New Roman" w:eastAsia="仿宋_GB2312"/>
                <w:sz w:val="24"/>
                <w:szCs w:val="21"/>
                <w:lang w:val="en-US" w:eastAsia="zh-CN"/>
              </w:rPr>
            </w:pPr>
            <w:r>
              <w:rPr>
                <w:rFonts w:hint="eastAsia" w:ascii="仿宋_GB2312" w:hAnsi="Times New Roman" w:eastAsia="仿宋_GB2312"/>
                <w:b w:val="0"/>
                <w:bCs/>
                <w:sz w:val="21"/>
                <w:szCs w:val="16"/>
                <w:lang w:val="en-US" w:eastAsia="zh-CN"/>
              </w:rPr>
              <w:t>/</w:t>
            </w:r>
          </w:p>
        </w:tc>
      </w:tr>
    </w:tbl>
    <w:p>
      <w:pPr>
        <w:keepNext w:val="0"/>
        <w:keepLines w:val="0"/>
        <w:pageBreakBefore w:val="0"/>
        <w:widowControl w:val="0"/>
        <w:kinsoku/>
        <w:wordWrap/>
        <w:overflowPunct/>
        <w:topLinePunct w:val="0"/>
        <w:autoSpaceDE/>
        <w:autoSpaceDN/>
        <w:bidi w:val="0"/>
        <w:adjustRightInd/>
        <w:snapToGrid/>
        <w:spacing w:line="20" w:lineRule="exact"/>
        <w:jc w:val="both"/>
        <w:textAlignment w:val="auto"/>
        <w:rPr>
          <w:rFonts w:ascii="微软雅黑" w:hAnsi="微软雅黑" w:eastAsia="微软雅黑" w:cs="宋体"/>
          <w:color w:val="3F3F3F"/>
          <w:kern w:val="0"/>
          <w:szCs w:val="21"/>
        </w:rPr>
      </w:pPr>
      <w:bookmarkStart w:id="0" w:name="_GoBack"/>
      <w:bookmarkEnd w:id="0"/>
    </w:p>
    <w:sectPr>
      <w:footerReference r:id="rId3" w:type="default"/>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1" w:fontKey="{67DE36B3-9531-4BB0-8165-D1B92CB73EAE}"/>
  </w:font>
  <w:font w:name="方正小标宋简体">
    <w:panose1 w:val="02000000000000000000"/>
    <w:charset w:val="86"/>
    <w:family w:val="script"/>
    <w:pitch w:val="default"/>
    <w:sig w:usb0="00000001" w:usb1="08000000" w:usb2="00000000" w:usb3="00000000" w:csb0="00040000" w:csb1="00000000"/>
    <w:embedRegular r:id="rId2" w:fontKey="{08DE29CA-EE00-4186-B508-86F152DF9848}"/>
  </w:font>
  <w:font w:name="微软雅黑">
    <w:panose1 w:val="020B0503020204020204"/>
    <w:charset w:val="86"/>
    <w:family w:val="swiss"/>
    <w:pitch w:val="default"/>
    <w:sig w:usb0="80000287" w:usb1="2ACF3C50" w:usb2="00000016" w:usb3="00000000" w:csb0="0004001F" w:csb1="00000000"/>
    <w:embedRegular r:id="rId3" w:fontKey="{36E73862-3778-4406-BFC5-FE34F121D172}"/>
  </w:font>
  <w:font w:name="仿宋_GB2312">
    <w:altName w:val="仿宋"/>
    <w:panose1 w:val="00000000000000000000"/>
    <w:charset w:val="86"/>
    <w:family w:val="modern"/>
    <w:pitch w:val="default"/>
    <w:sig w:usb0="00000000" w:usb1="00000000" w:usb2="00000000" w:usb3="00000000" w:csb0="00040000" w:csb1="00000000"/>
    <w:embedRegular r:id="rId4" w:fontKey="{601F29DC-E4F1-481C-B83B-46C3DFC30DC3}"/>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D6A8E4"/>
    <w:multiLevelType w:val="singleLevel"/>
    <w:tmpl w:val="93D6A8E4"/>
    <w:lvl w:ilvl="0" w:tentative="0">
      <w:start w:val="3"/>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JkMzgyNzdjMGVjMjg3YjM2Y2VmYzc5MTcyMzBjZTUifQ=="/>
  </w:docVars>
  <w:rsids>
    <w:rsidRoot w:val="00180716"/>
    <w:rsid w:val="00031B84"/>
    <w:rsid w:val="0007571F"/>
    <w:rsid w:val="00086401"/>
    <w:rsid w:val="000B3A24"/>
    <w:rsid w:val="000C67E9"/>
    <w:rsid w:val="000E0A0A"/>
    <w:rsid w:val="00100D1E"/>
    <w:rsid w:val="0012370B"/>
    <w:rsid w:val="00153A42"/>
    <w:rsid w:val="0015678E"/>
    <w:rsid w:val="00180716"/>
    <w:rsid w:val="0018661F"/>
    <w:rsid w:val="001B0A84"/>
    <w:rsid w:val="001D5E72"/>
    <w:rsid w:val="00206936"/>
    <w:rsid w:val="002617DE"/>
    <w:rsid w:val="002738F1"/>
    <w:rsid w:val="002C0BFD"/>
    <w:rsid w:val="002C6C45"/>
    <w:rsid w:val="002D02F7"/>
    <w:rsid w:val="002D59FE"/>
    <w:rsid w:val="003141BC"/>
    <w:rsid w:val="0031707A"/>
    <w:rsid w:val="00333E2E"/>
    <w:rsid w:val="003407BA"/>
    <w:rsid w:val="0036311E"/>
    <w:rsid w:val="003938A4"/>
    <w:rsid w:val="003B5D40"/>
    <w:rsid w:val="003D4CEF"/>
    <w:rsid w:val="003E15A0"/>
    <w:rsid w:val="00434015"/>
    <w:rsid w:val="00437E27"/>
    <w:rsid w:val="00447FAF"/>
    <w:rsid w:val="00451366"/>
    <w:rsid w:val="004607A8"/>
    <w:rsid w:val="0046248D"/>
    <w:rsid w:val="004777CE"/>
    <w:rsid w:val="00485E99"/>
    <w:rsid w:val="004B2BE5"/>
    <w:rsid w:val="004B4DC1"/>
    <w:rsid w:val="004B79FD"/>
    <w:rsid w:val="004C6FD8"/>
    <w:rsid w:val="004E09F3"/>
    <w:rsid w:val="004E51B4"/>
    <w:rsid w:val="004E6075"/>
    <w:rsid w:val="004F46EC"/>
    <w:rsid w:val="00536070"/>
    <w:rsid w:val="005B4177"/>
    <w:rsid w:val="006161EF"/>
    <w:rsid w:val="00627CBC"/>
    <w:rsid w:val="00667C4B"/>
    <w:rsid w:val="00696C5E"/>
    <w:rsid w:val="006B7040"/>
    <w:rsid w:val="006C1BAB"/>
    <w:rsid w:val="006C428C"/>
    <w:rsid w:val="006F1FD9"/>
    <w:rsid w:val="0071790B"/>
    <w:rsid w:val="00735F7B"/>
    <w:rsid w:val="007610A6"/>
    <w:rsid w:val="00766032"/>
    <w:rsid w:val="00787AF2"/>
    <w:rsid w:val="00787C5D"/>
    <w:rsid w:val="008046EB"/>
    <w:rsid w:val="00812AE4"/>
    <w:rsid w:val="008143CB"/>
    <w:rsid w:val="00890077"/>
    <w:rsid w:val="00893A00"/>
    <w:rsid w:val="00895307"/>
    <w:rsid w:val="008C5084"/>
    <w:rsid w:val="008D4020"/>
    <w:rsid w:val="008F18EF"/>
    <w:rsid w:val="0091437C"/>
    <w:rsid w:val="00917BB5"/>
    <w:rsid w:val="00917CA2"/>
    <w:rsid w:val="0092593E"/>
    <w:rsid w:val="00967D50"/>
    <w:rsid w:val="009731C4"/>
    <w:rsid w:val="00973FA0"/>
    <w:rsid w:val="00980851"/>
    <w:rsid w:val="00982F84"/>
    <w:rsid w:val="009836A4"/>
    <w:rsid w:val="009852C7"/>
    <w:rsid w:val="00992628"/>
    <w:rsid w:val="009D57A6"/>
    <w:rsid w:val="00A15F96"/>
    <w:rsid w:val="00A53A87"/>
    <w:rsid w:val="00A70CB8"/>
    <w:rsid w:val="00A75EBB"/>
    <w:rsid w:val="00AA10B5"/>
    <w:rsid w:val="00AA2A2D"/>
    <w:rsid w:val="00AB3ABF"/>
    <w:rsid w:val="00AB43D9"/>
    <w:rsid w:val="00AB686E"/>
    <w:rsid w:val="00AF2364"/>
    <w:rsid w:val="00B04F86"/>
    <w:rsid w:val="00B16C5C"/>
    <w:rsid w:val="00B36BC4"/>
    <w:rsid w:val="00B37A82"/>
    <w:rsid w:val="00BE5B4B"/>
    <w:rsid w:val="00C046E8"/>
    <w:rsid w:val="00C46431"/>
    <w:rsid w:val="00C70023"/>
    <w:rsid w:val="00C70D64"/>
    <w:rsid w:val="00C717A1"/>
    <w:rsid w:val="00CA1F88"/>
    <w:rsid w:val="00CA7C4B"/>
    <w:rsid w:val="00D1471E"/>
    <w:rsid w:val="00D14837"/>
    <w:rsid w:val="00D2285F"/>
    <w:rsid w:val="00D5527C"/>
    <w:rsid w:val="00D577BE"/>
    <w:rsid w:val="00D650DC"/>
    <w:rsid w:val="00D736F6"/>
    <w:rsid w:val="00D73D7E"/>
    <w:rsid w:val="00D90205"/>
    <w:rsid w:val="00DA2A6D"/>
    <w:rsid w:val="00DB3248"/>
    <w:rsid w:val="00E100C3"/>
    <w:rsid w:val="00E13D8B"/>
    <w:rsid w:val="00E43D98"/>
    <w:rsid w:val="00E84839"/>
    <w:rsid w:val="00E87DEE"/>
    <w:rsid w:val="00EA0AF4"/>
    <w:rsid w:val="00EA3933"/>
    <w:rsid w:val="00F128E8"/>
    <w:rsid w:val="00F176BB"/>
    <w:rsid w:val="00F3782E"/>
    <w:rsid w:val="00F40917"/>
    <w:rsid w:val="00F47DA3"/>
    <w:rsid w:val="00F749F5"/>
    <w:rsid w:val="00F84832"/>
    <w:rsid w:val="00FD02B5"/>
    <w:rsid w:val="00FD584F"/>
    <w:rsid w:val="20527BD7"/>
    <w:rsid w:val="75372397"/>
    <w:rsid w:val="7A345EAA"/>
    <w:rsid w:val="7AA41B53"/>
    <w:rsid w:val="7FF3184E"/>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11"/>
    <w:qFormat/>
    <w:uiPriority w:val="9"/>
    <w:pPr>
      <w:keepNext/>
      <w:keepLines/>
      <w:spacing w:before="340" w:after="330" w:line="578" w:lineRule="auto"/>
      <w:outlineLvl w:val="0"/>
    </w:pPr>
    <w:rPr>
      <w:b/>
      <w:bCs/>
      <w:kern w:val="44"/>
      <w:sz w:val="44"/>
      <w:szCs w:val="44"/>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12"/>
    <w:unhideWhenUsed/>
    <w:qFormat/>
    <w:uiPriority w:val="99"/>
    <w:pPr>
      <w:jc w:val="left"/>
    </w:pPr>
  </w:style>
  <w:style w:type="paragraph" w:styleId="4">
    <w:name w:val="Balloon Text"/>
    <w:basedOn w:val="1"/>
    <w:link w:val="13"/>
    <w:unhideWhenUsed/>
    <w:qFormat/>
    <w:uiPriority w:val="99"/>
    <w:rPr>
      <w:sz w:val="18"/>
      <w:szCs w:val="18"/>
    </w:rPr>
  </w:style>
  <w:style w:type="paragraph" w:styleId="5">
    <w:name w:val="footer"/>
    <w:basedOn w:val="1"/>
    <w:link w:val="14"/>
    <w:unhideWhenUsed/>
    <w:qFormat/>
    <w:uiPriority w:val="99"/>
    <w:pPr>
      <w:tabs>
        <w:tab w:val="center" w:pos="4153"/>
        <w:tab w:val="right" w:pos="8306"/>
      </w:tabs>
      <w:snapToGrid w:val="0"/>
      <w:jc w:val="left"/>
    </w:pPr>
    <w:rPr>
      <w:kern w:val="0"/>
      <w:sz w:val="18"/>
      <w:szCs w:val="18"/>
    </w:rPr>
  </w:style>
  <w:style w:type="paragraph" w:styleId="6">
    <w:name w:val="header"/>
    <w:basedOn w:val="1"/>
    <w:link w:val="15"/>
    <w:unhideWhenUsed/>
    <w:qFormat/>
    <w:uiPriority w:val="99"/>
    <w:pPr>
      <w:pBdr>
        <w:bottom w:val="single" w:color="auto" w:sz="6" w:space="1"/>
      </w:pBdr>
      <w:tabs>
        <w:tab w:val="center" w:pos="4153"/>
        <w:tab w:val="right" w:pos="8306"/>
      </w:tabs>
      <w:snapToGrid w:val="0"/>
      <w:jc w:val="center"/>
    </w:pPr>
    <w:rPr>
      <w:kern w:val="0"/>
      <w:sz w:val="18"/>
      <w:szCs w:val="18"/>
    </w:rPr>
  </w:style>
  <w:style w:type="table" w:styleId="8">
    <w:name w:val="Table Grid"/>
    <w:basedOn w:val="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0">
    <w:name w:val="annotation reference"/>
    <w:unhideWhenUsed/>
    <w:qFormat/>
    <w:uiPriority w:val="99"/>
    <w:rPr>
      <w:sz w:val="21"/>
      <w:szCs w:val="21"/>
    </w:rPr>
  </w:style>
  <w:style w:type="character" w:customStyle="1" w:styleId="11">
    <w:name w:val="标题 1字符"/>
    <w:link w:val="2"/>
    <w:qFormat/>
    <w:uiPriority w:val="9"/>
    <w:rPr>
      <w:b/>
      <w:bCs/>
      <w:kern w:val="44"/>
      <w:sz w:val="44"/>
      <w:szCs w:val="44"/>
    </w:rPr>
  </w:style>
  <w:style w:type="character" w:customStyle="1" w:styleId="12">
    <w:name w:val="注释文本字符"/>
    <w:link w:val="3"/>
    <w:semiHidden/>
    <w:qFormat/>
    <w:uiPriority w:val="99"/>
    <w:rPr>
      <w:kern w:val="2"/>
      <w:sz w:val="21"/>
      <w:szCs w:val="22"/>
    </w:rPr>
  </w:style>
  <w:style w:type="character" w:customStyle="1" w:styleId="13">
    <w:name w:val="批注框文本字符"/>
    <w:link w:val="4"/>
    <w:semiHidden/>
    <w:qFormat/>
    <w:uiPriority w:val="99"/>
    <w:rPr>
      <w:kern w:val="2"/>
      <w:sz w:val="18"/>
      <w:szCs w:val="18"/>
    </w:rPr>
  </w:style>
  <w:style w:type="character" w:customStyle="1" w:styleId="14">
    <w:name w:val="页脚字符"/>
    <w:link w:val="5"/>
    <w:qFormat/>
    <w:uiPriority w:val="99"/>
    <w:rPr>
      <w:sz w:val="18"/>
      <w:szCs w:val="18"/>
    </w:rPr>
  </w:style>
  <w:style w:type="character" w:customStyle="1" w:styleId="15">
    <w:name w:val="页眉字符"/>
    <w:link w:val="6"/>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Sky123.Org</Company>
  <Pages>2</Pages>
  <Words>1312</Words>
  <Characters>1480</Characters>
  <Lines>19</Lines>
  <Paragraphs>5</Paragraphs>
  <TotalTime>26</TotalTime>
  <ScaleCrop>false</ScaleCrop>
  <LinksUpToDate>false</LinksUpToDate>
  <CharactersWithSpaces>1493</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2023-11-02T03:07:00Z</dcterms:created>
  <dc:creator>Sky123.Org</dc:creator>
  <cp:lastModifiedBy> </cp:lastModifiedBy>
  <cp:lastPrinted>2020-06-15T03:32:00Z</cp:lastPrinted>
  <dcterms:modified xsi:type="dcterms:W3CDTF">2024-06-18T01:09:06Z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5ECAB3CDAB1E4F2E9F0783FF98891651</vt:lpwstr>
  </property>
</Properties>
</file>