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深圳市儿童医院设备采购需求参数表</w:t>
      </w:r>
    </w:p>
    <w:tbl>
      <w:tblPr>
        <w:tblStyle w:val="7"/>
        <w:tblW w:w="9654" w:type="dxa"/>
        <w:jc w:val="center"/>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Layout w:type="autofit"/>
        <w:tblCellMar>
          <w:top w:w="0" w:type="dxa"/>
          <w:left w:w="108" w:type="dxa"/>
          <w:bottom w:w="0" w:type="dxa"/>
          <w:right w:w="108" w:type="dxa"/>
        </w:tblCellMar>
      </w:tblPr>
      <w:tblGrid>
        <w:gridCol w:w="660"/>
        <w:gridCol w:w="1178"/>
        <w:gridCol w:w="7816"/>
      </w:tblGrid>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20" w:hRule="atLeast"/>
          <w:jc w:val="center"/>
        </w:trPr>
        <w:tc>
          <w:tcPr>
            <w:tcW w:w="660" w:type="dxa"/>
            <w:shd w:val="clear" w:color="000000" w:fill="FFFFFF"/>
            <w:vAlign w:val="center"/>
          </w:tcPr>
          <w:p>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178" w:type="dxa"/>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816" w:type="dxa"/>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restart"/>
            <w:shd w:val="clear" w:color="000000" w:fill="FFFFFF"/>
            <w:vAlign w:val="center"/>
          </w:tcPr>
          <w:p>
            <w:pPr>
              <w:widowControl/>
              <w:jc w:val="center"/>
              <w:rPr>
                <w:rFonts w:ascii="宋体" w:hAnsi="宋体" w:cs="宋体"/>
                <w:color w:val="3F3F3F"/>
                <w:kern w:val="0"/>
                <w:sz w:val="20"/>
                <w:szCs w:val="20"/>
              </w:rPr>
            </w:pPr>
            <w:r>
              <w:rPr>
                <w:rFonts w:hint="eastAsia" w:ascii="宋体" w:hAnsi="宋体" w:cs="宋体"/>
                <w:color w:val="3F3F3F"/>
                <w:kern w:val="0"/>
                <w:sz w:val="20"/>
                <w:szCs w:val="20"/>
              </w:rPr>
              <w:t>1</w:t>
            </w:r>
          </w:p>
        </w:tc>
        <w:tc>
          <w:tcPr>
            <w:tcW w:w="1178" w:type="dxa"/>
            <w:vMerge w:val="restart"/>
            <w:shd w:val="clear" w:color="000000" w:fill="FFFFFF"/>
            <w:vAlign w:val="center"/>
          </w:tcPr>
          <w:p>
            <w:pPr>
              <w:widowControl/>
              <w:jc w:val="center"/>
              <w:rPr>
                <w:rFonts w:ascii="宋体" w:hAnsi="宋体" w:cs="宋体"/>
                <w:b/>
                <w:bCs/>
                <w:color w:val="3F3F3F"/>
                <w:kern w:val="0"/>
                <w:sz w:val="22"/>
              </w:rPr>
            </w:pPr>
            <w:r>
              <w:rPr>
                <w:rFonts w:ascii="宋体" w:hAnsi="宋体"/>
                <w:sz w:val="22"/>
              </w:rPr>
              <w:t>体外循环塔</w:t>
            </w: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产品采用国际标准，制造企业通过ISO9001、ISO13485、ISO14001、ISO27001、ISO45001、QC080000认证。（提供相关证件复印件）</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▲吊塔主体因长期受力，需具备更高的抗拉强度和屈服强度，有更好的抗断裂韧性，应采用6005高强度铝合金型材，加工级别达到T6，防腐性高、易清洗，模具化生产。（提供权威第三方检测报告）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Style w:val="18"/>
                <w:lang w:val="en-US" w:eastAsia="zh-CN" w:bidi="ar"/>
              </w:rPr>
              <w:t>吊塔主体全封闭式设计，悬臂最薄处10mm以上，最厚处16mm以上，承确保承载性能稳定，吊塔箱体定位准确，不易漂移。</w:t>
            </w:r>
            <w:r>
              <w:rPr>
                <w:rStyle w:val="19"/>
                <w:lang w:val="en-US" w:eastAsia="zh-CN" w:bidi="ar"/>
              </w:rPr>
              <w:t>（提供彩页或实物图证明）</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吊塔承载最大工作承重时相对于空载时。终端箱体底部沿垂直方向的方向位移量≤25mm；根据额定承重，负载时箱体倾斜角度≤0.7°。（提供权威第三方检测报告）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FF0000"/>
                <w:kern w:val="0"/>
                <w:sz w:val="22"/>
                <w:szCs w:val="22"/>
                <w:u w:val="none"/>
                <w:lang w:val="en-US" w:eastAsia="zh-CN" w:bidi="ar"/>
              </w:rPr>
              <w:t>▲表面采用环保抑菌粉末，可抑制抑制大肠杆菌和鼠伤寒沙门氏菌，抑菌率＞99.9%。（提供权威第三方检测报告）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箱体采用全模块化设计，电源，气源，网口等终端安装在独立的模块上，模块尺寸不大于150×200mm，节省空间。功能模块可根据临床实际需要进行组合、设计，保证安装时无需临时改装，安装完成后可随时加装功能模块及灵活更换模块位置。（提供模块化箱体实物图及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vAlign w:val="center"/>
          </w:tcPr>
          <w:p>
            <w:pPr>
              <w:jc w:val="left"/>
              <w:rPr>
                <w:rFonts w:ascii="宋体" w:hAnsi="宋体" w:cs="宋体"/>
                <w:color w:val="3F3F3F"/>
                <w:kern w:val="0"/>
                <w:sz w:val="20"/>
                <w:szCs w:val="20"/>
              </w:rPr>
            </w:pPr>
          </w:p>
        </w:tc>
        <w:tc>
          <w:tcPr>
            <w:tcW w:w="1178" w:type="dxa"/>
            <w:vMerge w:val="continue"/>
            <w:vAlign w:val="center"/>
          </w:tcPr>
          <w:p>
            <w:pPr>
              <w:widowControl/>
              <w:jc w:val="left"/>
              <w:rPr>
                <w:rFonts w:ascii="宋体" w:hAnsi="宋体" w:cs="宋体"/>
                <w:color w:val="3F3F3F"/>
                <w:kern w:val="0"/>
                <w:sz w:val="20"/>
                <w:szCs w:val="20"/>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所有吊塔上承载的设备的电源线及气源管路和塔体之间不会发生相对移动，所有电源线路及气源管路在塔体内不外露，保证吊塔在移动过程中，不会因位置的改变导致线路的脱落。（提供权威第三方检测报告）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jc w:val="left"/>
              <w:rPr>
                <w:rFonts w:ascii="宋体" w:hAnsi="宋体" w:cs="宋体"/>
                <w:b/>
                <w:bCs/>
                <w:color w:val="3F3F3F"/>
                <w:kern w:val="0"/>
                <w:sz w:val="22"/>
              </w:rPr>
            </w:pPr>
          </w:p>
        </w:tc>
        <w:tc>
          <w:tcPr>
            <w:tcW w:w="1178" w:type="dxa"/>
            <w:vMerge w:val="continue"/>
            <w:shd w:val="clear" w:color="000000" w:fill="FFFFFF"/>
            <w:vAlign w:val="center"/>
          </w:tcPr>
          <w:p>
            <w:pPr>
              <w:widowControl/>
              <w:jc w:val="center"/>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吊塔采用锥面轴承（非平面轴承），受力面为斜面，能有效分解作用力，减少滚珠磨损，长期使用不漂移不卡顿（提供实物图）</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jc w:val="left"/>
              <w:rPr>
                <w:rFonts w:ascii="宋体" w:hAnsi="宋体" w:cs="宋体"/>
                <w:b/>
                <w:bCs/>
                <w:color w:val="3F3F3F"/>
                <w:kern w:val="0"/>
                <w:sz w:val="22"/>
              </w:rPr>
            </w:pPr>
          </w:p>
        </w:tc>
        <w:tc>
          <w:tcPr>
            <w:tcW w:w="1178" w:type="dxa"/>
            <w:vMerge w:val="continue"/>
            <w:shd w:val="clear" w:color="000000" w:fill="FFFFFF"/>
            <w:vAlign w:val="center"/>
          </w:tcPr>
          <w:p>
            <w:pPr>
              <w:widowControl/>
              <w:jc w:val="center"/>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所有吊塔箱体可旋转角度≥345度。（提供权威第三方检测报告）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▲吊塔旋转转轴在负重300kg状态下旋转寿命≥10万次。（提供权威第三方证明文件）</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所有气体接口必须带有通、断、拔（原位Standby）三种状态，能带气维修。气体出口均要以国际标准色标予以区别，并有防止不同气体误插的装置或结构。（提供权威第三方检测报告）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气体终端插拔次数50，000次以上。（提供权威第三方证明文件）</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气源终端采用Z字型交叉排列方式，以便于同时插上氧气流量计、负压吸引瓶等附件不会发生干涉。（提供实物照片）</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电源采用双排五插插座，单面箱体排列4个五插插座，占用的面板长度不超过20cm，使得箱体在有限的长度下能提供更多的电源支持。</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采用进口医用优质气体管路，为三层管设计，内层为食品级材料，中间层为聚酯线加强层，外层为耐磨损PVC材质，坚韧性强，通过生物相容性检测。（提供气源管进口报关单及生物相容性检测报告）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FF0000"/>
                <w:kern w:val="0"/>
                <w:sz w:val="22"/>
                <w:szCs w:val="22"/>
                <w:u w:val="none"/>
                <w:lang w:val="en-US" w:eastAsia="zh-CN" w:bidi="ar"/>
              </w:rPr>
              <w:t>▲医用气体管道和负压管道再通气状态下，承重45kg重物时，流速下降不应超过20%。（提供权威第三方检测报告）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▲吊臂承载负荷：≥200KG，箱体承载负荷：≥150KG，托盘承载重量≥85Kg，带抽屉的托盘承载重量≥60Kg，通过4倍安全承重检测，即吊臂承载负荷：≥800KG。（提供各项承重的权威第三方检测报告）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具备刹车系统，可保障吊臂移动灵活和定位准确的需要，各关节轴承具备自锁功能，防止吊臂自行产生旋转。（提供权威第三方检测报告）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吊塔具有良好的防尘效果，箱体内部不易积灰，防尘等级达到IP30或以上；（提供权威第三方检测报告）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000000"/>
                <w:kern w:val="0"/>
                <w:sz w:val="22"/>
                <w:szCs w:val="22"/>
                <w:u w:val="none"/>
                <w:lang w:val="en-US" w:eastAsia="zh-CN" w:bidi="ar"/>
              </w:rPr>
              <w:t>吊塔外壳具有良好的防火性能，确保使用安全，防火等级要求达到UL94-V0。（提供权威第三方检测报告）</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FF0000"/>
                <w:kern w:val="0"/>
                <w:sz w:val="22"/>
                <w:szCs w:val="22"/>
                <w:u w:val="none"/>
                <w:lang w:val="en-US" w:eastAsia="zh-CN" w:bidi="ar"/>
              </w:rPr>
              <w:t>气体终端、照明灯、输液架、仪器平台、抽屉、电源插座、接地端子、网络接口的制式和数量等，可根据实际要求进行定制。</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vMerge w:val="continue"/>
            <w:shd w:val="clear" w:color="000000" w:fill="FFFFFF"/>
            <w:vAlign w:val="center"/>
          </w:tcPr>
          <w:p>
            <w:pPr>
              <w:widowControl/>
              <w:jc w:val="left"/>
              <w:rPr>
                <w:rFonts w:ascii="宋体" w:hAnsi="宋体" w:cs="宋体"/>
                <w:b/>
                <w:bCs/>
                <w:color w:val="3F3F3F"/>
                <w:kern w:val="0"/>
                <w:sz w:val="22"/>
              </w:rPr>
            </w:pPr>
          </w:p>
        </w:tc>
        <w:tc>
          <w:tcPr>
            <w:tcW w:w="1178" w:type="dxa"/>
            <w:vMerge w:val="continue"/>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ascii="宋体" w:hAnsi="宋体"/>
                <w:sz w:val="22"/>
                <w:szCs w:val="21"/>
              </w:rPr>
            </w:pPr>
            <w:r>
              <w:rPr>
                <w:rFonts w:hint="eastAsia" w:ascii="宋体" w:hAnsi="宋体" w:eastAsia="宋体" w:cs="宋体"/>
                <w:i w:val="0"/>
                <w:iCs w:val="0"/>
                <w:color w:val="FF0000"/>
                <w:kern w:val="0"/>
                <w:sz w:val="22"/>
                <w:szCs w:val="22"/>
                <w:u w:val="none"/>
                <w:lang w:val="en-US" w:eastAsia="zh-CN" w:bidi="ar"/>
              </w:rPr>
              <w:t>多功能扩展坞可支持拓展输液杆、网篮、显示器支架、电脑支架、湿化器支架等。</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jc w:val="center"/>
        </w:trPr>
        <w:tc>
          <w:tcPr>
            <w:tcW w:w="660" w:type="dxa"/>
            <w:shd w:val="clear" w:color="000000" w:fill="FFFFFF"/>
            <w:vAlign w:val="center"/>
          </w:tcPr>
          <w:p>
            <w:pPr>
              <w:widowControl/>
              <w:jc w:val="left"/>
              <w:rPr>
                <w:rFonts w:ascii="宋体" w:hAnsi="宋体" w:cs="宋体"/>
                <w:b/>
                <w:bCs/>
                <w:color w:val="3F3F3F"/>
                <w:kern w:val="0"/>
                <w:sz w:val="22"/>
              </w:rPr>
            </w:pPr>
          </w:p>
        </w:tc>
        <w:tc>
          <w:tcPr>
            <w:tcW w:w="1178" w:type="dxa"/>
            <w:shd w:val="clear" w:color="000000" w:fill="FFFFFF"/>
            <w:vAlign w:val="center"/>
          </w:tcPr>
          <w:p>
            <w:pPr>
              <w:widowControl/>
              <w:rPr>
                <w:rFonts w:ascii="宋体" w:hAnsi="宋体" w:cs="宋体"/>
                <w:b/>
                <w:bCs/>
                <w:color w:val="3F3F3F"/>
                <w:kern w:val="0"/>
                <w:sz w:val="22"/>
              </w:rPr>
            </w:pPr>
          </w:p>
        </w:tc>
        <w:tc>
          <w:tcPr>
            <w:tcW w:w="7816" w:type="dxa"/>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配置清单：</w:t>
            </w:r>
          </w:p>
          <w:p>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1、旋转臂：旋转半径≥1500mm。</w:t>
            </w:r>
          </w:p>
          <w:p>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2、吊柱式气电功能箱：长度≥800mm。</w:t>
            </w:r>
          </w:p>
          <w:p>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3、折叠托盘1层。</w:t>
            </w:r>
          </w:p>
          <w:p>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4、德标气体终端6个：氧气2个、空气2个、负压吸引2个。</w:t>
            </w:r>
          </w:p>
          <w:p>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5、220V/10A国标五插电源插座10个，六类网络接口2个。</w:t>
            </w:r>
          </w:p>
          <w:p>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6、电脑支臂2个。</w:t>
            </w:r>
          </w:p>
          <w:p>
            <w:pPr>
              <w:keepNext w:val="0"/>
              <w:keepLines w:val="0"/>
              <w:widowControl/>
              <w:suppressLineNumbers w:val="0"/>
              <w:jc w:val="left"/>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7、线缆收纳挂钩1个，线缆收纳盒1个，网篮1个。</w:t>
            </w:r>
          </w:p>
        </w:tc>
      </w:tr>
    </w:tbl>
    <w:p>
      <w:pPr>
        <w:pStyle w:val="2"/>
        <w:jc w:val="center"/>
        <w:rPr>
          <w:kern w:val="0"/>
        </w:rPr>
      </w:pPr>
      <w:bookmarkStart w:id="0" w:name="_GoBack"/>
      <w:bookmarkEnd w:id="0"/>
    </w:p>
    <w:p>
      <w:pPr>
        <w:pStyle w:val="2"/>
        <w:jc w:val="center"/>
        <w:rPr>
          <w:kern w:val="0"/>
        </w:rPr>
      </w:pPr>
      <w:r>
        <w:rPr>
          <w:rFonts w:hint="eastAsia"/>
          <w:kern w:val="0"/>
        </w:rPr>
        <w:t>设备配套耗材试剂情况</w:t>
      </w:r>
    </w:p>
    <w:p>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pPr>
        <w:jc w:val="left"/>
        <w:rPr>
          <w:rFonts w:ascii="宋体" w:hAnsi="宋体" w:cs="宋体"/>
          <w:b/>
          <w:bCs/>
          <w:kern w:val="0"/>
          <w:sz w:val="24"/>
          <w:szCs w:val="24"/>
        </w:rPr>
      </w:pP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jc w:val="center"/>
              <w:rPr>
                <w:rFonts w:ascii="仿宋_GB2312" w:hAnsi="Times New Roman" w:eastAsia="仿宋_GB2312"/>
                <w:b/>
                <w:sz w:val="28"/>
                <w:szCs w:val="21"/>
              </w:rPr>
            </w:pPr>
          </w:p>
        </w:tc>
        <w:tc>
          <w:tcPr>
            <w:tcW w:w="1985" w:type="dxa"/>
            <w:vAlign w:val="center"/>
          </w:tcPr>
          <w:p>
            <w:pPr>
              <w:jc w:val="center"/>
              <w:rPr>
                <w:rFonts w:ascii="仿宋_GB2312" w:hAnsi="Times New Roman" w:eastAsia="仿宋_GB2312"/>
                <w:b/>
                <w:sz w:val="28"/>
                <w:szCs w:val="21"/>
              </w:rPr>
            </w:pPr>
          </w:p>
        </w:tc>
        <w:tc>
          <w:tcPr>
            <w:tcW w:w="2126" w:type="dxa"/>
            <w:vAlign w:val="center"/>
          </w:tcPr>
          <w:p>
            <w:pPr>
              <w:jc w:val="center"/>
              <w:rPr>
                <w:rFonts w:ascii="仿宋_GB2312" w:hAnsi="Times New Roman" w:eastAsia="仿宋_GB2312"/>
                <w:b/>
                <w:sz w:val="28"/>
                <w:szCs w:val="21"/>
              </w:rPr>
            </w:pPr>
          </w:p>
        </w:tc>
      </w:tr>
    </w:tbl>
    <w:p>
      <w:pPr>
        <w:jc w:val="left"/>
        <w:rPr>
          <w:rFonts w:ascii="Times New Roman" w:hAnsi="Times New Roman"/>
          <w:szCs w:val="21"/>
        </w:rPr>
      </w:pPr>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ascii="仿宋_GB2312" w:hAnsi="Times New Roman" w:eastAsia="仿宋_GB2312"/>
                <w:sz w:val="24"/>
                <w:szCs w:val="21"/>
              </w:rPr>
            </w:pPr>
          </w:p>
        </w:tc>
        <w:tc>
          <w:tcPr>
            <w:tcW w:w="1985" w:type="dxa"/>
            <w:vAlign w:val="center"/>
          </w:tcPr>
          <w:p>
            <w:pPr>
              <w:jc w:val="center"/>
              <w:rPr>
                <w:rFonts w:ascii="仿宋_GB2312" w:hAnsi="Times New Roman" w:eastAsia="仿宋_GB2312"/>
                <w:sz w:val="24"/>
                <w:szCs w:val="21"/>
              </w:rPr>
            </w:pPr>
          </w:p>
        </w:tc>
        <w:tc>
          <w:tcPr>
            <w:tcW w:w="2126" w:type="dxa"/>
            <w:vAlign w:val="center"/>
          </w:tcPr>
          <w:p>
            <w:pPr>
              <w:jc w:val="center"/>
              <w:rPr>
                <w:rFonts w:ascii="仿宋_GB2312" w:hAnsi="Times New Roman" w:eastAsia="仿宋_GB2312"/>
                <w:sz w:val="24"/>
                <w:szCs w:val="21"/>
              </w:rPr>
            </w:pPr>
          </w:p>
        </w:tc>
      </w:tr>
    </w:tbl>
    <w:p>
      <w:pPr>
        <w:widowControl/>
        <w:jc w:val="left"/>
        <w:rPr>
          <w:rFonts w:ascii="微软雅黑" w:hAnsi="微软雅黑" w:eastAsia="微软雅黑" w:cs="宋体"/>
          <w:color w:val="3F3F3F"/>
          <w:kern w:val="0"/>
          <w:szCs w:val="21"/>
        </w:rPr>
      </w:pPr>
    </w:p>
    <w:sectPr>
      <w:footerReference r:id="rId3" w:type="default"/>
      <w:pgSz w:w="11906" w:h="16838"/>
      <w:pgMar w:top="1440" w:right="991"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2MjM4OTJlM2FmM2M5OTI4YTdhMDAxMWRmOWMzMjE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C27B4"/>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A2C6E"/>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81340"/>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C69EC"/>
    <w:rsid w:val="00BE5B4B"/>
    <w:rsid w:val="00C046E8"/>
    <w:rsid w:val="00C70023"/>
    <w:rsid w:val="00C70D64"/>
    <w:rsid w:val="00C717A1"/>
    <w:rsid w:val="00CA1F88"/>
    <w:rsid w:val="00CE21F7"/>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50960C8"/>
    <w:rsid w:val="06B238FA"/>
    <w:rsid w:val="07DC28C4"/>
    <w:rsid w:val="0AF142C5"/>
    <w:rsid w:val="119F2BE8"/>
    <w:rsid w:val="15AC7766"/>
    <w:rsid w:val="163B4596"/>
    <w:rsid w:val="17CD0737"/>
    <w:rsid w:val="18644328"/>
    <w:rsid w:val="19EB72CE"/>
    <w:rsid w:val="1FC953DC"/>
    <w:rsid w:val="20527BD7"/>
    <w:rsid w:val="21260D15"/>
    <w:rsid w:val="21FA43D4"/>
    <w:rsid w:val="24B91EA0"/>
    <w:rsid w:val="24BA655F"/>
    <w:rsid w:val="283F26BC"/>
    <w:rsid w:val="2B632B65"/>
    <w:rsid w:val="2C163734"/>
    <w:rsid w:val="2D40315E"/>
    <w:rsid w:val="2E7B3D22"/>
    <w:rsid w:val="2F283EAA"/>
    <w:rsid w:val="34E40873"/>
    <w:rsid w:val="36820344"/>
    <w:rsid w:val="36853B27"/>
    <w:rsid w:val="3C6330EE"/>
    <w:rsid w:val="3D8A54C2"/>
    <w:rsid w:val="3EB0695E"/>
    <w:rsid w:val="43AF03EC"/>
    <w:rsid w:val="469C7200"/>
    <w:rsid w:val="47F435A1"/>
    <w:rsid w:val="4CA23096"/>
    <w:rsid w:val="4FCD07E5"/>
    <w:rsid w:val="528648C0"/>
    <w:rsid w:val="53C532FA"/>
    <w:rsid w:val="56811F6E"/>
    <w:rsid w:val="57F30CBC"/>
    <w:rsid w:val="57FB365A"/>
    <w:rsid w:val="58A837E2"/>
    <w:rsid w:val="595664FB"/>
    <w:rsid w:val="5AC73CC7"/>
    <w:rsid w:val="5AF076C2"/>
    <w:rsid w:val="5AFC7E15"/>
    <w:rsid w:val="5B5925CA"/>
    <w:rsid w:val="5D45414B"/>
    <w:rsid w:val="63A81BA8"/>
    <w:rsid w:val="642D54E3"/>
    <w:rsid w:val="68B021BE"/>
    <w:rsid w:val="6B986672"/>
    <w:rsid w:val="6D0843F7"/>
    <w:rsid w:val="7763329E"/>
    <w:rsid w:val="79346574"/>
    <w:rsid w:val="79516EBF"/>
    <w:rsid w:val="79F71A7C"/>
    <w:rsid w:val="7A4E428E"/>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unhideWhenUsed/>
    <w:qFormat/>
    <w:uiPriority w:val="99"/>
    <w:rPr>
      <w:sz w:val="21"/>
      <w:szCs w:val="21"/>
    </w:rPr>
  </w:style>
  <w:style w:type="character" w:customStyle="1" w:styleId="11">
    <w:name w:val="标题 1 字符"/>
    <w:link w:val="2"/>
    <w:qFormat/>
    <w:uiPriority w:val="9"/>
    <w:rPr>
      <w:b/>
      <w:bCs/>
      <w:kern w:val="44"/>
      <w:sz w:val="44"/>
      <w:szCs w:val="44"/>
    </w:rPr>
  </w:style>
  <w:style w:type="character" w:customStyle="1" w:styleId="12">
    <w:name w:val="批注文字 字符"/>
    <w:link w:val="3"/>
    <w:semiHidden/>
    <w:qFormat/>
    <w:uiPriority w:val="99"/>
    <w:rPr>
      <w:kern w:val="2"/>
      <w:sz w:val="21"/>
      <w:szCs w:val="22"/>
    </w:rPr>
  </w:style>
  <w:style w:type="character" w:customStyle="1" w:styleId="13">
    <w:name w:val="批注框文本 字符"/>
    <w:link w:val="4"/>
    <w:semiHidden/>
    <w:qFormat/>
    <w:uiPriority w:val="99"/>
    <w:rPr>
      <w:kern w:val="2"/>
      <w:sz w:val="18"/>
      <w:szCs w:val="18"/>
    </w:rPr>
  </w:style>
  <w:style w:type="character" w:customStyle="1" w:styleId="14">
    <w:name w:val="页脚 字符"/>
    <w:link w:val="5"/>
    <w:qFormat/>
    <w:uiPriority w:val="99"/>
    <w:rPr>
      <w:sz w:val="18"/>
      <w:szCs w:val="18"/>
    </w:rPr>
  </w:style>
  <w:style w:type="character" w:customStyle="1" w:styleId="15">
    <w:name w:val="页眉 字符"/>
    <w:link w:val="6"/>
    <w:qFormat/>
    <w:uiPriority w:val="99"/>
    <w:rPr>
      <w:sz w:val="18"/>
      <w:szCs w:val="18"/>
    </w:rPr>
  </w:style>
  <w:style w:type="paragraph" w:styleId="16">
    <w:name w:val="List Paragraph"/>
    <w:basedOn w:val="1"/>
    <w:qFormat/>
    <w:uiPriority w:val="34"/>
    <w:pPr>
      <w:ind w:firstLine="420" w:firstLineChars="200"/>
    </w:pPr>
    <w:rPr>
      <w:rFonts w:ascii="Times New Roman" w:hAnsi="Times New Roman"/>
      <w:szCs w:val="24"/>
    </w:rPr>
  </w:style>
  <w:style w:type="character" w:customStyle="1" w:styleId="17">
    <w:name w:val="font141"/>
    <w:basedOn w:val="9"/>
    <w:qFormat/>
    <w:uiPriority w:val="0"/>
    <w:rPr>
      <w:rFonts w:hint="eastAsia" w:ascii="宋体" w:hAnsi="宋体" w:eastAsia="宋体" w:cs="宋体"/>
      <w:color w:val="000000"/>
      <w:sz w:val="20"/>
      <w:szCs w:val="20"/>
      <w:u w:val="none"/>
    </w:rPr>
  </w:style>
  <w:style w:type="character" w:customStyle="1" w:styleId="18">
    <w:name w:val="font01"/>
    <w:basedOn w:val="9"/>
    <w:uiPriority w:val="0"/>
    <w:rPr>
      <w:rFonts w:hint="eastAsia" w:ascii="宋体" w:hAnsi="宋体" w:eastAsia="宋体" w:cs="宋体"/>
      <w:color w:val="000000"/>
      <w:sz w:val="22"/>
      <w:szCs w:val="22"/>
      <w:u w:val="none"/>
    </w:rPr>
  </w:style>
  <w:style w:type="character" w:customStyle="1" w:styleId="19">
    <w:name w:val="font21"/>
    <w:basedOn w:val="9"/>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1424</Words>
  <Characters>1543</Characters>
  <Lines>12</Lines>
  <Paragraphs>3</Paragraphs>
  <TotalTime>0</TotalTime>
  <ScaleCrop>false</ScaleCrop>
  <LinksUpToDate>false</LinksUpToDate>
  <CharactersWithSpaces>1553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想飞的鱼</cp:lastModifiedBy>
  <cp:lastPrinted>2020-06-15T03:32:00Z</cp:lastPrinted>
  <dcterms:modified xsi:type="dcterms:W3CDTF">2024-06-17T02:37:52Z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5ECAB3CDAB1E4F2E9F0783FF98891651</vt:lpwstr>
  </property>
</Properties>
</file>