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深圳市儿童医院设备采购需求参数表</w:t>
      </w:r>
    </w:p>
    <w:tbl>
      <w:tblPr>
        <w:tblStyle w:val="7"/>
        <w:tblW w:w="9654" w:type="dxa"/>
        <w:jc w:val="center"/>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Layout w:type="autofit"/>
        <w:tblCellMar>
          <w:top w:w="0" w:type="dxa"/>
          <w:left w:w="108" w:type="dxa"/>
          <w:bottom w:w="0" w:type="dxa"/>
          <w:right w:w="108" w:type="dxa"/>
        </w:tblCellMar>
      </w:tblPr>
      <w:tblGrid>
        <w:gridCol w:w="660"/>
        <w:gridCol w:w="1178"/>
        <w:gridCol w:w="7816"/>
      </w:tblGrid>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20" w:hRule="atLeast"/>
          <w:jc w:val="center"/>
        </w:trPr>
        <w:tc>
          <w:tcPr>
            <w:tcW w:w="660" w:type="dxa"/>
            <w:shd w:val="clear" w:color="000000" w:fill="FFFFFF"/>
            <w:vAlign w:val="center"/>
          </w:tcPr>
          <w:p>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178" w:type="dxa"/>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816" w:type="dxa"/>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restart"/>
            <w:shd w:val="clear" w:color="000000" w:fill="FFFFFF"/>
            <w:vAlign w:val="center"/>
          </w:tcPr>
          <w:p>
            <w:pPr>
              <w:widowControl/>
              <w:jc w:val="center"/>
              <w:rPr>
                <w:rFonts w:ascii="宋体" w:hAnsi="宋体" w:cs="宋体"/>
                <w:color w:val="3F3F3F"/>
                <w:kern w:val="0"/>
                <w:sz w:val="20"/>
                <w:szCs w:val="20"/>
              </w:rPr>
            </w:pPr>
            <w:r>
              <w:rPr>
                <w:rFonts w:hint="eastAsia" w:ascii="宋体" w:hAnsi="宋体" w:cs="宋体"/>
                <w:color w:val="3F3F3F"/>
                <w:kern w:val="0"/>
                <w:sz w:val="20"/>
                <w:szCs w:val="20"/>
              </w:rPr>
              <w:t>1</w:t>
            </w:r>
          </w:p>
        </w:tc>
        <w:tc>
          <w:tcPr>
            <w:tcW w:w="1178" w:type="dxa"/>
            <w:vMerge w:val="restart"/>
            <w:shd w:val="clear" w:color="000000" w:fill="FFFFFF"/>
            <w:vAlign w:val="center"/>
          </w:tcPr>
          <w:p>
            <w:pPr>
              <w:widowControl/>
              <w:jc w:val="center"/>
              <w:rPr>
                <w:rFonts w:ascii="宋体" w:hAnsi="宋体" w:cs="宋体"/>
                <w:b/>
                <w:bCs/>
                <w:color w:val="3F3F3F"/>
                <w:kern w:val="0"/>
                <w:sz w:val="20"/>
                <w:szCs w:val="20"/>
              </w:rPr>
            </w:pPr>
            <w:r>
              <w:rPr>
                <w:rFonts w:hint="eastAsia" w:ascii="宋体" w:hAnsi="宋体" w:cs="宋体"/>
                <w:b/>
                <w:bCs/>
                <w:color w:val="3F3F3F"/>
                <w:kern w:val="0"/>
                <w:sz w:val="20"/>
                <w:szCs w:val="20"/>
              </w:rPr>
              <w:t>外科塔</w:t>
            </w: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产品采用国际标准，制造企业通过ISO9001、ISO13485、QC080000认证。</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widowControl/>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Style w:val="16"/>
                <w:lang w:val="en-US" w:eastAsia="zh-CN" w:bidi="ar"/>
              </w:rPr>
              <w:t>▲吊塔采用6系及以上的高强度铝合金型材，加工级别达到T6，抗拉伸强度≥270N/</w:t>
            </w:r>
            <w:r>
              <w:rPr>
                <w:rStyle w:val="17"/>
                <w:lang w:val="en-US" w:eastAsia="zh-CN" w:bidi="ar"/>
              </w:rPr>
              <w:t>m</w:t>
            </w:r>
            <w:r>
              <w:rPr>
                <w:rStyle w:val="16"/>
                <w:lang w:val="en-US" w:eastAsia="zh-CN" w:bidi="ar"/>
              </w:rPr>
              <w:t>㎡。（提供权威第三方检测报告）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widowControl/>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Style w:val="18"/>
                <w:lang w:val="en-US" w:eastAsia="zh-CN" w:bidi="ar"/>
              </w:rPr>
              <w:t>吊塔主体全封闭式设计，悬臂最薄处10mm以上，最厚处16mm以上，承确保承载性能稳定，吊塔箱体定位准确，不易漂移。</w:t>
            </w:r>
            <w:r>
              <w:rPr>
                <w:rStyle w:val="16"/>
                <w:lang w:val="en-US" w:eastAsia="zh-CN" w:bidi="ar"/>
              </w:rPr>
              <w:t>（提供彩页或实物图证明）</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widowControl/>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吊塔承载最大工作承重时相对于空载时。终端箱体底部沿垂直方向的方向位移量≤25mm；根据额定承重，负载时箱体倾斜角度≤0.7°。（提供权威第三方检测报告）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widowControl/>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FF0000"/>
                <w:kern w:val="0"/>
                <w:sz w:val="24"/>
                <w:szCs w:val="24"/>
                <w:u w:val="none"/>
                <w:lang w:val="en-US" w:eastAsia="zh-CN" w:bidi="ar"/>
              </w:rPr>
              <w:t>表面采用环保抑菌粉末，可抑制抑制大肠杆菌和鼠伤寒沙门氏菌，抑菌率＞99.9%。（提供权威第三方检测报告）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widowControl/>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箱体采用全模块化设计，电源，气源，网口等终端安装在独立的模块上，模块尺寸不大于150×200mm，节省空间。支持预制白板模块，后期可将白板模块拆卸更换为临床所需的功能模块。（提供模块化箱体实物图及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widowControl/>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所有吊塔上承载的设备的电源线及气源管路和塔体之间不会发生相对移动，所有电源线路及气源管路在塔体内不外露，保证吊塔在移动过程中，不会因位置的改变导致线路的脱落。</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jc w:val="center"/>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▲抽屉托盘木箱以及悬梁木箱通过冲击试验后，外包装及产品均完好无损。（提供权威第三方检测报告）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jc w:val="center"/>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吊塔采用滚针式锥面轴承（非平面轴承），受力面为斜面，能有效分解作用力，减少滚珠磨损，长期使用不漂移不卡顿。</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所有吊塔箱体可旋转角度≥345度。（提供权威第三方检测报告）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▲吊塔基础架负载10000N˙m的作用力持续10min，法兰盘水平倾斜角小于0.6°；吊塔旋转转轴在负重300kg状态下旋转寿命≥10万次。（提供上述两项权威第三方检测报告）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所有气体接口必须带有通、断、拔（原位Standby）三种状态，能带气维修。气体出口均要以国际标准色标予以区别，并有防止不同气体误插的装置或结构。</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气体终端插拔次数50，000次以上。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气源终端采用Z字型交叉排列方式，相邻气源中心点沿箱体宽度方向的间距≥60mm，以便于同时插上氧气流量计、负压吸引瓶等附件不会发生干涉。</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电源采用双排五插插座，单面箱体排列4个五插插座，占用的面板长度不超过20cm，使得箱体在有限的长度下能提供更多的电源支持。</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采用进口医用优质气体管路，为三层管设计，内层为食品级材料，中间层为聚酯线加强层，外层为耐磨损PVC材质，坚韧性强，通过生物相容性检测。</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FF0000"/>
                <w:kern w:val="0"/>
                <w:sz w:val="24"/>
                <w:szCs w:val="24"/>
                <w:u w:val="none"/>
                <w:lang w:val="en-US" w:eastAsia="zh-CN" w:bidi="ar"/>
              </w:rPr>
              <w:t>▲医用气体管道通气状态下，承重45kg重物时，流速下降不应超过20%。（提供权威第三方检测报告）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吊臂承载重量≥250KG，箱体承载重量≥200KG，托盘承载重量≥50Kg。</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4"/>
              </w:rPr>
            </w:pPr>
            <w:r>
              <w:rPr>
                <w:rFonts w:hint="eastAsia" w:ascii="宋体" w:hAnsi="宋体" w:eastAsia="宋体" w:cs="宋体"/>
                <w:i w:val="0"/>
                <w:iCs w:val="0"/>
                <w:color w:val="000000"/>
                <w:kern w:val="0"/>
                <w:sz w:val="24"/>
                <w:szCs w:val="24"/>
                <w:u w:val="none"/>
                <w:lang w:val="en-US" w:eastAsia="zh-CN" w:bidi="ar"/>
              </w:rPr>
              <w:t>吊塔具有良好的防尘效果，箱体内部不易积灰，防尘等级达到IP30或以上；吊塔外壳具有良好的防火性能，确保使用安全，防火等级要求达到UL94-VO。（提供权威第三方检测报告）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shd w:val="clear" w:color="000000" w:fill="FFFFFF"/>
            <w:vAlign w:val="center"/>
          </w:tcPr>
          <w:p>
            <w:pPr>
              <w:widowControl/>
              <w:jc w:val="left"/>
              <w:rPr>
                <w:rFonts w:ascii="宋体" w:hAnsi="宋体" w:cs="宋体"/>
                <w:b/>
                <w:bCs/>
                <w:color w:val="3F3F3F"/>
                <w:kern w:val="0"/>
                <w:sz w:val="22"/>
              </w:rPr>
            </w:pPr>
          </w:p>
        </w:tc>
        <w:tc>
          <w:tcPr>
            <w:tcW w:w="1178" w:type="dxa"/>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配置清单：</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1、旋转臂：旋转半径≥1500mm。</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2、吊柱式气电功能箱：长度≥800mm。</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3、仪器平台2层（带抽屉1个）。</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4、德标气体终端6个：氧气2个、空气2个、负压吸引2个。</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5、220V/10A国标五插电源插座10个，六类网络接口2个。</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6、高度可调双关节输液支架1个，网篮1个。</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7、线缆收纳挂钩1个，线缆收纳盒1个。</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FF0000"/>
                <w:kern w:val="0"/>
                <w:sz w:val="24"/>
                <w:szCs w:val="24"/>
                <w:u w:val="none"/>
                <w:lang w:val="en-US" w:eastAsia="zh-CN" w:bidi="ar"/>
              </w:rPr>
              <w:t>8、电脑支臂1个。</w:t>
            </w:r>
          </w:p>
        </w:tc>
      </w:tr>
    </w:tbl>
    <w:p>
      <w:pPr>
        <w:pStyle w:val="2"/>
        <w:jc w:val="center"/>
        <w:rPr>
          <w:kern w:val="0"/>
        </w:rPr>
      </w:pPr>
      <w:bookmarkStart w:id="0" w:name="_GoBack"/>
      <w:bookmarkEnd w:id="0"/>
    </w:p>
    <w:p>
      <w:pPr>
        <w:pStyle w:val="2"/>
        <w:jc w:val="center"/>
        <w:rPr>
          <w:kern w:val="0"/>
        </w:rPr>
      </w:pPr>
      <w:r>
        <w:rPr>
          <w:rFonts w:hint="eastAsia"/>
          <w:kern w:val="0"/>
        </w:rPr>
        <w:t>设备配套耗材试剂情况</w:t>
      </w:r>
    </w:p>
    <w:p>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pPr>
        <w:jc w:val="left"/>
        <w:rPr>
          <w:rFonts w:ascii="宋体" w:hAnsi="宋体" w:cs="宋体"/>
          <w:b/>
          <w:bCs/>
          <w:kern w:val="0"/>
          <w:sz w:val="24"/>
          <w:szCs w:val="24"/>
        </w:rPr>
      </w:pP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ascii="仿宋_GB2312" w:hAnsi="Times New Roman" w:eastAsia="仿宋_GB2312"/>
                <w:b/>
                <w:sz w:val="28"/>
                <w:szCs w:val="21"/>
              </w:rPr>
            </w:pPr>
          </w:p>
        </w:tc>
        <w:tc>
          <w:tcPr>
            <w:tcW w:w="1985" w:type="dxa"/>
            <w:vAlign w:val="center"/>
          </w:tcPr>
          <w:p>
            <w:pPr>
              <w:jc w:val="center"/>
              <w:rPr>
                <w:rFonts w:ascii="仿宋_GB2312" w:hAnsi="Times New Roman" w:eastAsia="仿宋_GB2312"/>
                <w:b/>
                <w:sz w:val="28"/>
                <w:szCs w:val="21"/>
              </w:rPr>
            </w:pPr>
          </w:p>
        </w:tc>
        <w:tc>
          <w:tcPr>
            <w:tcW w:w="2126" w:type="dxa"/>
            <w:vAlign w:val="center"/>
          </w:tcPr>
          <w:p>
            <w:pPr>
              <w:jc w:val="center"/>
              <w:rPr>
                <w:rFonts w:ascii="仿宋_GB2312" w:hAnsi="Times New Roman" w:eastAsia="仿宋_GB2312"/>
                <w:b/>
                <w:sz w:val="28"/>
                <w:szCs w:val="21"/>
              </w:rPr>
            </w:pP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ascii="仿宋_GB2312" w:hAnsi="Times New Roman" w:eastAsia="仿宋_GB2312"/>
                <w:sz w:val="24"/>
                <w:szCs w:val="21"/>
              </w:rPr>
            </w:pPr>
          </w:p>
        </w:tc>
        <w:tc>
          <w:tcPr>
            <w:tcW w:w="1985" w:type="dxa"/>
            <w:vAlign w:val="center"/>
          </w:tcPr>
          <w:p>
            <w:pPr>
              <w:jc w:val="center"/>
              <w:rPr>
                <w:rFonts w:ascii="仿宋_GB2312" w:hAnsi="Times New Roman" w:eastAsia="仿宋_GB2312"/>
                <w:sz w:val="24"/>
                <w:szCs w:val="21"/>
              </w:rPr>
            </w:pPr>
          </w:p>
        </w:tc>
        <w:tc>
          <w:tcPr>
            <w:tcW w:w="2126" w:type="dxa"/>
            <w:vAlign w:val="center"/>
          </w:tcPr>
          <w:p>
            <w:pPr>
              <w:jc w:val="center"/>
              <w:rPr>
                <w:rFonts w:ascii="仿宋_GB2312" w:hAnsi="Times New Roman" w:eastAsia="仿宋_GB2312"/>
                <w:sz w:val="24"/>
                <w:szCs w:val="21"/>
              </w:rPr>
            </w:pPr>
          </w:p>
        </w:tc>
      </w:tr>
    </w:tbl>
    <w:p>
      <w:pPr>
        <w:widowControl/>
        <w:jc w:val="left"/>
        <w:rPr>
          <w:rFonts w:ascii="微软雅黑" w:hAnsi="微软雅黑" w:eastAsia="微软雅黑" w:cs="宋体"/>
          <w:color w:val="3F3F3F"/>
          <w:kern w:val="0"/>
          <w:szCs w:val="21"/>
        </w:rPr>
      </w:pPr>
    </w:p>
    <w:sectPr>
      <w:footerReference r:id="rId3" w:type="default"/>
      <w:pgSz w:w="11906" w:h="16838"/>
      <w:pgMar w:top="1440" w:right="991"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2MjM4OTJlM2FmM2M5OTI4YTdhMDAxMWRmOWMzMjEifQ=="/>
  </w:docVars>
  <w:rsids>
    <w:rsidRoot w:val="00180716"/>
    <w:rsid w:val="00031B84"/>
    <w:rsid w:val="0007571F"/>
    <w:rsid w:val="00086401"/>
    <w:rsid w:val="000B3A24"/>
    <w:rsid w:val="000E0A0A"/>
    <w:rsid w:val="000E1B06"/>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9D4F75"/>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649ED"/>
    <w:rsid w:val="00BE5B4B"/>
    <w:rsid w:val="00C046E8"/>
    <w:rsid w:val="00C3026F"/>
    <w:rsid w:val="00C62B24"/>
    <w:rsid w:val="00C70023"/>
    <w:rsid w:val="00C70D64"/>
    <w:rsid w:val="00C717A1"/>
    <w:rsid w:val="00CA1F88"/>
    <w:rsid w:val="00D1471E"/>
    <w:rsid w:val="00D14837"/>
    <w:rsid w:val="00D2285F"/>
    <w:rsid w:val="00D32B82"/>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3FB660C"/>
    <w:rsid w:val="04D72BD5"/>
    <w:rsid w:val="050960C8"/>
    <w:rsid w:val="06B238FA"/>
    <w:rsid w:val="06FC2DC7"/>
    <w:rsid w:val="07DC28C4"/>
    <w:rsid w:val="0AF142C5"/>
    <w:rsid w:val="0BC62477"/>
    <w:rsid w:val="0EF820C6"/>
    <w:rsid w:val="0F954AE1"/>
    <w:rsid w:val="11BA7B07"/>
    <w:rsid w:val="147E306D"/>
    <w:rsid w:val="15AC7766"/>
    <w:rsid w:val="17CD0737"/>
    <w:rsid w:val="18644328"/>
    <w:rsid w:val="19EB72CE"/>
    <w:rsid w:val="1D996CC8"/>
    <w:rsid w:val="20527BD7"/>
    <w:rsid w:val="21260D15"/>
    <w:rsid w:val="24B91EA0"/>
    <w:rsid w:val="25315EDA"/>
    <w:rsid w:val="2AF7727E"/>
    <w:rsid w:val="2B0A6FB1"/>
    <w:rsid w:val="2BFF06C0"/>
    <w:rsid w:val="2C163734"/>
    <w:rsid w:val="2D40315E"/>
    <w:rsid w:val="2E204D3E"/>
    <w:rsid w:val="2E7B3D22"/>
    <w:rsid w:val="2F617DF8"/>
    <w:rsid w:val="31837ABD"/>
    <w:rsid w:val="32222464"/>
    <w:rsid w:val="35E938A2"/>
    <w:rsid w:val="363650FE"/>
    <w:rsid w:val="36C50230"/>
    <w:rsid w:val="397F6DBC"/>
    <w:rsid w:val="399860D0"/>
    <w:rsid w:val="3C6330EE"/>
    <w:rsid w:val="3C666012"/>
    <w:rsid w:val="3D031DD5"/>
    <w:rsid w:val="3D5B369C"/>
    <w:rsid w:val="3D8A54C2"/>
    <w:rsid w:val="3E2148E6"/>
    <w:rsid w:val="3EB0695E"/>
    <w:rsid w:val="40DA2FD4"/>
    <w:rsid w:val="40DB1CF1"/>
    <w:rsid w:val="43680B35"/>
    <w:rsid w:val="469C7200"/>
    <w:rsid w:val="4884619D"/>
    <w:rsid w:val="48FE099C"/>
    <w:rsid w:val="49CF3448"/>
    <w:rsid w:val="4A881849"/>
    <w:rsid w:val="4B906C07"/>
    <w:rsid w:val="4CA23096"/>
    <w:rsid w:val="4E0D09E3"/>
    <w:rsid w:val="528648C0"/>
    <w:rsid w:val="54A379AB"/>
    <w:rsid w:val="576C0528"/>
    <w:rsid w:val="57FB365A"/>
    <w:rsid w:val="58C46142"/>
    <w:rsid w:val="595664FB"/>
    <w:rsid w:val="5AC73CC7"/>
    <w:rsid w:val="5B510074"/>
    <w:rsid w:val="5B5925CA"/>
    <w:rsid w:val="5BF44F90"/>
    <w:rsid w:val="5D1A7B7E"/>
    <w:rsid w:val="5D681792"/>
    <w:rsid w:val="5E2C27BF"/>
    <w:rsid w:val="63211FF6"/>
    <w:rsid w:val="63A81BA8"/>
    <w:rsid w:val="642D54E3"/>
    <w:rsid w:val="6603474E"/>
    <w:rsid w:val="674548F2"/>
    <w:rsid w:val="67C65A33"/>
    <w:rsid w:val="6A60540A"/>
    <w:rsid w:val="6B986672"/>
    <w:rsid w:val="6D0843F7"/>
    <w:rsid w:val="6F2F210F"/>
    <w:rsid w:val="725A6E66"/>
    <w:rsid w:val="72AF5315"/>
    <w:rsid w:val="79346574"/>
    <w:rsid w:val="79516EBF"/>
    <w:rsid w:val="79F71A7C"/>
    <w:rsid w:val="7EB22415"/>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nhideWhenUsed/>
    <w:qFormat/>
    <w:uiPriority w:val="99"/>
    <w:rPr>
      <w:sz w:val="21"/>
      <w:szCs w:val="21"/>
    </w:rPr>
  </w:style>
  <w:style w:type="character" w:customStyle="1" w:styleId="11">
    <w:name w:val="标题 1 字符"/>
    <w:link w:val="2"/>
    <w:qFormat/>
    <w:uiPriority w:val="9"/>
    <w:rPr>
      <w:b/>
      <w:bCs/>
      <w:kern w:val="44"/>
      <w:sz w:val="44"/>
      <w:szCs w:val="44"/>
    </w:rPr>
  </w:style>
  <w:style w:type="character" w:customStyle="1" w:styleId="12">
    <w:name w:val="批注文字 字符"/>
    <w:link w:val="3"/>
    <w:semiHidden/>
    <w:qFormat/>
    <w:uiPriority w:val="99"/>
    <w:rPr>
      <w:kern w:val="2"/>
      <w:sz w:val="21"/>
      <w:szCs w:val="22"/>
    </w:rPr>
  </w:style>
  <w:style w:type="character" w:customStyle="1" w:styleId="13">
    <w:name w:val="批注框文本 字符"/>
    <w:link w:val="4"/>
    <w:semiHidden/>
    <w:qFormat/>
    <w:uiPriority w:val="99"/>
    <w:rPr>
      <w:kern w:val="2"/>
      <w:sz w:val="18"/>
      <w:szCs w:val="18"/>
    </w:rPr>
  </w:style>
  <w:style w:type="character" w:customStyle="1" w:styleId="14">
    <w:name w:val="页脚 字符"/>
    <w:link w:val="5"/>
    <w:qFormat/>
    <w:uiPriority w:val="99"/>
    <w:rPr>
      <w:sz w:val="18"/>
      <w:szCs w:val="18"/>
    </w:rPr>
  </w:style>
  <w:style w:type="character" w:customStyle="1" w:styleId="15">
    <w:name w:val="页眉 字符"/>
    <w:link w:val="6"/>
    <w:qFormat/>
    <w:uiPriority w:val="99"/>
    <w:rPr>
      <w:sz w:val="18"/>
      <w:szCs w:val="18"/>
    </w:rPr>
  </w:style>
  <w:style w:type="character" w:customStyle="1" w:styleId="16">
    <w:name w:val="font21"/>
    <w:basedOn w:val="9"/>
    <w:uiPriority w:val="0"/>
    <w:rPr>
      <w:rFonts w:hint="eastAsia" w:ascii="宋体" w:hAnsi="宋体" w:eastAsia="宋体" w:cs="宋体"/>
      <w:color w:val="FF0000"/>
      <w:sz w:val="24"/>
      <w:szCs w:val="24"/>
      <w:u w:val="none"/>
    </w:rPr>
  </w:style>
  <w:style w:type="character" w:customStyle="1" w:styleId="17">
    <w:name w:val="font31"/>
    <w:basedOn w:val="9"/>
    <w:uiPriority w:val="0"/>
    <w:rPr>
      <w:rFonts w:hint="eastAsia" w:ascii="宋体" w:hAnsi="宋体" w:eastAsia="宋体" w:cs="宋体"/>
      <w:color w:val="FF0000"/>
      <w:sz w:val="28"/>
      <w:szCs w:val="28"/>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1145</Words>
  <Characters>1252</Characters>
  <Lines>9</Lines>
  <Paragraphs>2</Paragraphs>
  <TotalTime>2</TotalTime>
  <ScaleCrop>false</ScaleCrop>
  <LinksUpToDate>false</LinksUpToDate>
  <CharactersWithSpaces>1262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想飞的鱼</cp:lastModifiedBy>
  <cp:lastPrinted>2020-06-15T03:32:00Z</cp:lastPrinted>
  <dcterms:modified xsi:type="dcterms:W3CDTF">2024-06-17T02:35:44Z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5ECAB3CDAB1E4F2E9F0783FF98891651</vt:lpwstr>
  </property>
</Properties>
</file>