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4.5</w:t>
            </w:r>
            <w:r>
              <w:rPr>
                <w:rFonts w:hint="eastAsia"/>
              </w:rPr>
              <w:t>分，其他参数每负偏离一项扣</w:t>
            </w:r>
            <w:r>
              <w:rPr>
                <w:rFonts w:hint="eastAsia"/>
                <w:lang w:val="en-US" w:eastAsia="zh-CN"/>
              </w:rPr>
              <w:t>2.5</w:t>
            </w:r>
            <w:r>
              <w:rPr>
                <w:rFonts w:hint="eastAsia"/>
              </w:rPr>
              <w:t>分，扣完为止。正偏离不加分。</w:t>
            </w:r>
          </w:p>
          <w:p>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bookmarkStart w:id="15" w:name="_GoBack"/>
      <w:bookmarkEnd w:id="15"/>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19118"/>
      <w:bookmarkStart w:id="4" w:name="_Toc201401658"/>
      <w:bookmarkStart w:id="5" w:name="_Toc201997946"/>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医用封口机</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pPr>
              <w:widowControl/>
              <w:ind w:firstLine="1200" w:firstLineChars="500"/>
              <w:jc w:val="left"/>
              <w:rPr>
                <w:rFonts w:hint="eastAsia" w:ascii="宋体" w:hAnsi="宋体" w:eastAsia="宋体"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bCs/>
                <w:color w:val="FF0000"/>
                <w:sz w:val="21"/>
                <w:szCs w:val="21"/>
                <w:lang w:val="en-US" w:eastAsia="zh-CN"/>
              </w:rPr>
            </w:pPr>
            <w:r>
              <w:rPr>
                <w:rFonts w:hint="eastAsia" w:ascii="宋体" w:hAnsi="宋体" w:eastAsia="宋体" w:cs="宋体"/>
                <w:sz w:val="21"/>
                <w:szCs w:val="21"/>
                <w:lang w:bidi="ar"/>
              </w:rPr>
              <w:t>1</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bCs/>
                <w:sz w:val="21"/>
                <w:szCs w:val="21"/>
                <w:lang w:eastAsia="zh-CN"/>
              </w:rPr>
            </w:pPr>
            <w:r>
              <w:rPr>
                <w:rFonts w:hint="eastAsia" w:ascii="宋体" w:hAnsi="宋体" w:eastAsia="宋体" w:cs="宋体"/>
                <w:sz w:val="21"/>
                <w:szCs w:val="21"/>
                <w:lang w:bidi="ar"/>
              </w:rPr>
              <w:t>带自动进袋功能、左侧进袋、升温快、控温精度高±1%;</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bidi="ar"/>
              </w:rPr>
              <w:t>2</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sz w:val="21"/>
                <w:szCs w:val="21"/>
                <w:lang w:bidi="ar"/>
              </w:rPr>
              <w:t>带压力监控功能、内置储存芯片可打印信息储存;</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FF0000"/>
                <w:sz w:val="21"/>
                <w:szCs w:val="21"/>
              </w:rPr>
              <w:t>▲</w:t>
            </w:r>
            <w:r>
              <w:rPr>
                <w:rFonts w:hint="eastAsia" w:ascii="宋体" w:hAnsi="宋体" w:eastAsia="宋体" w:cs="宋体"/>
                <w:sz w:val="21"/>
                <w:szCs w:val="21"/>
                <w:lang w:bidi="ar"/>
              </w:rPr>
              <w:t>3</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sz w:val="21"/>
                <w:szCs w:val="21"/>
              </w:rPr>
            </w:pPr>
            <w:r>
              <w:rPr>
                <w:rFonts w:hint="eastAsia" w:ascii="宋体" w:hAnsi="宋体" w:eastAsia="宋体" w:cs="宋体"/>
                <w:sz w:val="21"/>
                <w:szCs w:val="21"/>
                <w:lang w:bidi="ar"/>
              </w:rPr>
              <w:t>具有反向打印功能、适用纸塑袋和特卫强袋连续封口和单行中英文打印;(提供产品技术说明)</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lang w:bidi="ar"/>
              </w:rPr>
              <w:t>4</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val="0"/>
                <w:bCs/>
                <w:color w:val="000000"/>
                <w:kern w:val="2"/>
                <w:sz w:val="21"/>
                <w:szCs w:val="21"/>
                <w:lang w:val="en-US" w:eastAsia="zh-CN" w:bidi="ar-SA"/>
              </w:rPr>
            </w:pPr>
            <w:r>
              <w:rPr>
                <w:rFonts w:hint="eastAsia" w:ascii="宋体" w:hAnsi="宋体" w:eastAsia="宋体" w:cs="宋体"/>
                <w:sz w:val="21"/>
                <w:szCs w:val="21"/>
                <w:lang w:bidi="ar"/>
              </w:rPr>
              <w:t xml:space="preserve">封口速度：≥10±0.5m/min       </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b/>
                <w:bCs/>
                <w:sz w:val="21"/>
                <w:szCs w:val="21"/>
                <w:lang w:val="en-US" w:eastAsia="zh-CN"/>
              </w:rPr>
            </w:pPr>
            <w:r>
              <w:rPr>
                <w:rFonts w:hint="eastAsia" w:ascii="宋体" w:hAnsi="宋体" w:eastAsia="宋体" w:cs="宋体"/>
                <w:sz w:val="21"/>
                <w:szCs w:val="21"/>
                <w:lang w:bidi="ar"/>
              </w:rPr>
              <w:t>5</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bCs/>
                <w:sz w:val="21"/>
                <w:szCs w:val="21"/>
              </w:rPr>
            </w:pPr>
            <w:r>
              <w:rPr>
                <w:rFonts w:hint="eastAsia" w:ascii="宋体" w:hAnsi="宋体" w:eastAsia="宋体" w:cs="宋体"/>
                <w:sz w:val="21"/>
                <w:szCs w:val="21"/>
                <w:lang w:bidi="ar"/>
              </w:rPr>
              <w:t xml:space="preserve">封纹宽度：≥12mm  </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sz w:val="21"/>
                <w:szCs w:val="21"/>
                <w:lang w:bidi="ar"/>
              </w:rPr>
              <w:t>6</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bidi="ar"/>
              </w:rPr>
              <w:t>封口留边：0～35mm可调</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sz w:val="21"/>
                <w:szCs w:val="21"/>
                <w:lang w:bidi="ar"/>
              </w:rPr>
              <w:t>7</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bidi="ar"/>
              </w:rPr>
              <w:t>外形尺寸：≤560×260×220mm(提供产品彩页)</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sz w:val="21"/>
                <w:szCs w:val="21"/>
                <w:lang w:bidi="ar"/>
              </w:rPr>
              <w:t>8</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sz w:val="21"/>
                <w:szCs w:val="21"/>
              </w:rPr>
            </w:pPr>
            <w:r>
              <w:rPr>
                <w:rFonts w:hint="eastAsia" w:ascii="宋体" w:hAnsi="宋体" w:eastAsia="宋体" w:cs="宋体"/>
                <w:sz w:val="21"/>
                <w:szCs w:val="21"/>
                <w:lang w:bidi="ar"/>
              </w:rPr>
              <w:t>封口机滚轴材质：不锈钢（提供产品实物图片）</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color w:val="000000"/>
                <w:kern w:val="0"/>
                <w:sz w:val="21"/>
                <w:szCs w:val="21"/>
              </w:rPr>
            </w:pPr>
            <w:r>
              <w:rPr>
                <w:rFonts w:hint="eastAsia" w:ascii="宋体" w:hAnsi="宋体" w:eastAsia="宋体" w:cs="宋体"/>
                <w:color w:val="FF0000"/>
                <w:sz w:val="21"/>
                <w:szCs w:val="21"/>
              </w:rPr>
              <w:t>▲</w:t>
            </w:r>
            <w:r>
              <w:rPr>
                <w:rFonts w:hint="eastAsia" w:ascii="宋体" w:hAnsi="宋体" w:eastAsia="宋体" w:cs="宋体"/>
                <w:sz w:val="21"/>
                <w:szCs w:val="21"/>
                <w:lang w:bidi="ar"/>
              </w:rPr>
              <w:t>9</w:t>
            </w:r>
          </w:p>
        </w:tc>
        <w:tc>
          <w:tcPr>
            <w:tcW w:w="6648" w:type="dxa"/>
            <w:tcBorders>
              <w:top w:val="single" w:color="auto" w:sz="6" w:space="0"/>
              <w:left w:val="single" w:color="auto" w:sz="6" w:space="0"/>
              <w:bottom w:val="nil"/>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封口机滚轴尺寸：≥745×286×52mm(提供产品技术说明)</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6648" w:type="dxa"/>
            <w:tcBorders>
              <w:top w:val="single" w:color="auto" w:sz="6" w:space="0"/>
              <w:left w:val="single" w:color="auto" w:sz="6" w:space="0"/>
              <w:bottom w:val="nil"/>
              <w:right w:val="nil"/>
            </w:tcBorders>
            <w:noWrap w:val="0"/>
            <w:vAlign w:val="center"/>
          </w:tcPr>
          <w:p>
            <w:pPr>
              <w:jc w:val="left"/>
              <w:rPr>
                <w:rFonts w:hint="eastAsia" w:ascii="宋体" w:hAnsi="宋体" w:eastAsia="宋体" w:cs="宋体"/>
                <w:sz w:val="21"/>
                <w:szCs w:val="21"/>
              </w:rPr>
            </w:pPr>
            <w:r>
              <w:rPr>
                <w:rFonts w:hint="eastAsia" w:ascii="宋体" w:hAnsi="宋体" w:eastAsia="宋体" w:cs="宋体"/>
                <w:sz w:val="21"/>
                <w:szCs w:val="21"/>
                <w:lang w:bidi="ar"/>
              </w:rPr>
              <w:t>封口温度：60-220℃可调，满足高温、低温两种模式封口切换</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FF0000"/>
                <w:sz w:val="21"/>
                <w:szCs w:val="21"/>
              </w:rPr>
              <w:t>▲</w:t>
            </w:r>
            <w:r>
              <w:rPr>
                <w:rFonts w:hint="eastAsia" w:ascii="宋体" w:hAnsi="宋体" w:eastAsia="宋体" w:cs="宋体"/>
                <w:color w:val="000000"/>
                <w:kern w:val="0"/>
                <w:sz w:val="21"/>
                <w:szCs w:val="21"/>
              </w:rPr>
              <w:t>11</w:t>
            </w:r>
          </w:p>
        </w:tc>
        <w:tc>
          <w:tcPr>
            <w:tcW w:w="6648" w:type="dxa"/>
            <w:tcBorders>
              <w:top w:val="single" w:color="auto" w:sz="6" w:space="0"/>
              <w:left w:val="single" w:color="auto" w:sz="6" w:space="0"/>
              <w:bottom w:val="nil"/>
              <w:right w:val="nil"/>
            </w:tcBorders>
            <w:noWrap w:val="0"/>
            <w:vAlign w:val="center"/>
          </w:tcPr>
          <w:p>
            <w:pPr>
              <w:jc w:val="left"/>
              <w:rPr>
                <w:rFonts w:hint="eastAsia" w:ascii="宋体" w:hAnsi="宋体" w:eastAsia="宋体" w:cs="宋体"/>
                <w:sz w:val="21"/>
                <w:szCs w:val="21"/>
                <w:lang w:eastAsia="zh-CN"/>
              </w:rPr>
            </w:pPr>
            <w:r>
              <w:rPr>
                <w:rFonts w:hint="eastAsia" w:ascii="宋体" w:hAnsi="宋体" w:eastAsia="宋体" w:cs="宋体"/>
                <w:sz w:val="21"/>
                <w:szCs w:val="21"/>
                <w:lang w:bidi="ar"/>
              </w:rPr>
              <w:t>控制系统：≥7寸彩色触摸屏(提供产品技术说明)</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12</w:t>
            </w:r>
          </w:p>
        </w:tc>
        <w:tc>
          <w:tcPr>
            <w:tcW w:w="6648"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kern w:val="0"/>
                <w:sz w:val="21"/>
                <w:szCs w:val="21"/>
              </w:rPr>
            </w:pPr>
            <w:r>
              <w:rPr>
                <w:rFonts w:hint="eastAsia" w:ascii="宋体" w:hAnsi="宋体" w:eastAsia="宋体" w:cs="宋体"/>
                <w:sz w:val="21"/>
                <w:szCs w:val="21"/>
                <w:lang w:bidi="ar"/>
              </w:rPr>
              <w:t>封口机滚轴可匹配封口机自动封口运行</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1"/>
                <w:szCs w:val="21"/>
              </w:rPr>
            </w:pPr>
            <w:r>
              <w:rPr>
                <w:rFonts w:hint="eastAsia" w:ascii="宋体" w:hAnsi="宋体" w:eastAsia="宋体" w:cs="宋体"/>
                <w:color w:val="000000"/>
                <w:kern w:val="0"/>
                <w:sz w:val="21"/>
                <w:szCs w:val="21"/>
              </w:rPr>
              <w:t>功率：220v,50HZ,小于500W</w:t>
            </w:r>
            <w:r>
              <w:rPr>
                <w:rFonts w:hint="eastAsia" w:ascii="宋体" w:hAnsi="宋体" w:eastAsia="宋体" w:cs="宋体"/>
                <w:sz w:val="21"/>
                <w:szCs w:val="21"/>
                <w:lang w:bidi="ar"/>
              </w:rPr>
              <w:t>±10W</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1"/>
                <w:szCs w:val="21"/>
              </w:rPr>
            </w:pPr>
            <w:r>
              <w:rPr>
                <w:rFonts w:hint="eastAsia" w:ascii="宋体" w:hAnsi="宋体" w:eastAsia="宋体" w:cs="宋体"/>
                <w:color w:val="000000"/>
                <w:kern w:val="0"/>
                <w:sz w:val="21"/>
                <w:szCs w:val="21"/>
              </w:rPr>
              <w:t>配置用于放置封口机不锈钢治疗车或平车3台，车体尺寸(不含侧面把手)要求长*宽*高不得小于109*60*90±5CM.要求为双层，304耐腐蚀不锈钢材质。配置静音万向轮，带有刹车装置。</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7286</Words>
  <Characters>7528</Characters>
  <Lines>48</Lines>
  <Paragraphs>13</Paragraphs>
  <TotalTime>6</TotalTime>
  <ScaleCrop>false</ScaleCrop>
  <LinksUpToDate>false</LinksUpToDate>
  <CharactersWithSpaces>8271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2024-06-04T02:23:59Z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2A5DC0B52E264BDCA9D5C391384BACA0</vt:lpwstr>
  </property>
</Properties>
</file>