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宋体" w:hAnsi="宋体"/>
          <w:b/>
          <w:bCs/>
          <w:sz w:val="28"/>
        </w:rPr>
      </w:pPr>
      <w:r>
        <w:rPr>
          <w:rFonts w:hint="eastAsia" w:ascii="宋体" w:hAnsi="宋体"/>
          <w:b/>
          <w:bCs/>
          <w:sz w:val="28"/>
        </w:rPr>
        <w:t>一、关于评分细则说明：</w:t>
      </w:r>
    </w:p>
    <w:p>
      <w:pPr>
        <w:rPr>
          <w:rFonts w:ascii="微软雅黑" w:hAnsi="微软雅黑" w:eastAsia="微软雅黑"/>
          <w:b/>
          <w:bCs/>
          <w:sz w:val="24"/>
        </w:rPr>
      </w:pPr>
      <w:r>
        <w:rPr>
          <w:rFonts w:hint="eastAsia" w:ascii="微软雅黑" w:hAnsi="微软雅黑" w:eastAsia="微软雅黑" w:cs="仿宋"/>
          <w:sz w:val="24"/>
        </w:rPr>
        <w:t>根据我院《医用耗材采购管理办法实施细则》及《</w:t>
      </w:r>
      <w:r>
        <w:rPr>
          <w:rFonts w:ascii="微软雅黑" w:hAnsi="微软雅黑" w:eastAsia="微软雅黑" w:cs="仿宋"/>
          <w:sz w:val="24"/>
        </w:rPr>
        <w:t>深圳</w:t>
      </w:r>
      <w:r>
        <w:rPr>
          <w:rFonts w:hint="eastAsia" w:ascii="微软雅黑" w:hAnsi="微软雅黑" w:eastAsia="微软雅黑" w:cs="FZXBSK--GBK1-0"/>
          <w:sz w:val="24"/>
        </w:rPr>
        <w:t>市卫生健康委关于印发深圳市公立医疗机构医用耗材遴选采购管理指南的通知</w:t>
      </w:r>
      <w:r>
        <w:rPr>
          <w:rFonts w:hint="eastAsia" w:ascii="微软雅黑" w:hAnsi="微软雅黑" w:eastAsia="微软雅黑" w:cs="仿宋"/>
          <w:sz w:val="24"/>
        </w:rPr>
        <w:t>》的相关规定,统一</w:t>
      </w:r>
      <w:r>
        <w:rPr>
          <w:rFonts w:ascii="微软雅黑" w:hAnsi="微软雅黑" w:eastAsia="微软雅黑"/>
          <w:sz w:val="24"/>
        </w:rPr>
        <w:t>使用通用版进行遴选打分</w:t>
      </w:r>
    </w:p>
    <w:p>
      <w:pPr>
        <w:rPr>
          <w:rFonts w:ascii="宋体" w:hAnsi="宋体"/>
          <w:sz w:val="24"/>
        </w:rPr>
      </w:pPr>
    </w:p>
    <w:tbl>
      <w:tblPr>
        <w:tblStyle w:val="5"/>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48"/>
        <w:gridCol w:w="6533"/>
        <w:gridCol w:w="72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42"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04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533"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21"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0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2" w:type="dxa"/>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010" w:type="dxa"/>
            <w:gridSpan w:val="4"/>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产品对比</w:t>
            </w:r>
          </w:p>
          <w:p>
            <w:pPr>
              <w:spacing w:line="300" w:lineRule="exact"/>
              <w:jc w:val="center"/>
              <w:rPr>
                <w:rFonts w:ascii="宋体" w:hAnsi="宋体" w:eastAsia="等线" w:cs="宋体"/>
                <w:szCs w:val="21"/>
              </w:rPr>
            </w:pPr>
            <w:r>
              <w:rPr>
                <w:rFonts w:ascii="宋体" w:hAnsi="宋体" w:eastAsia="等线"/>
                <w:szCs w:val="21"/>
              </w:rPr>
              <w:t>情况</w:t>
            </w:r>
          </w:p>
        </w:tc>
        <w:tc>
          <w:tcPr>
            <w:tcW w:w="6533" w:type="dxa"/>
            <w:shd w:val="clear" w:color="auto" w:fill="auto"/>
            <w:vAlign w:val="center"/>
          </w:tcPr>
          <w:p>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pPr>
              <w:spacing w:line="300" w:lineRule="exact"/>
              <w:rPr>
                <w:rFonts w:ascii="宋体" w:hAnsi="宋体" w:eastAsia="等线"/>
                <w:szCs w:val="21"/>
              </w:rPr>
            </w:pPr>
            <w:r>
              <w:rPr>
                <w:rFonts w:hint="eastAsia" w:ascii="宋体" w:hAnsi="宋体" w:eastAsia="等线"/>
                <w:szCs w:val="21"/>
              </w:rPr>
              <w:t>依据：评审专家根据样品比对结果来评价。</w:t>
            </w:r>
          </w:p>
          <w:p>
            <w:pPr>
              <w:spacing w:line="300" w:lineRule="exact"/>
              <w:rPr>
                <w:rFonts w:ascii="宋体" w:hAnsi="宋体" w:eastAsia="等线"/>
                <w:szCs w:val="21"/>
              </w:rPr>
            </w:pPr>
            <w:r>
              <w:rPr>
                <w:rFonts w:ascii="等线" w:hAnsi="等线" w:eastAsia="等线"/>
                <w:szCs w:val="21"/>
              </w:rPr>
              <w:t>A、好  ；得</w:t>
            </w:r>
            <w:r>
              <w:rPr>
                <w:rFonts w:hint="eastAsia" w:ascii="等线" w:hAnsi="等线" w:eastAsia="等线"/>
                <w:szCs w:val="21"/>
              </w:rPr>
              <w:t>20</w:t>
            </w:r>
            <w:r>
              <w:rPr>
                <w:rFonts w:ascii="等线" w:hAnsi="等线" w:eastAsia="等线"/>
                <w:szCs w:val="21"/>
              </w:rPr>
              <w:t>分；</w:t>
            </w:r>
          </w:p>
          <w:p>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r>
              <w:rPr>
                <w:rFonts w:hint="eastAsia" w:ascii="等线" w:hAnsi="等线" w:eastAsia="等线"/>
                <w:szCs w:val="21"/>
              </w:rPr>
              <w:t>.</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pPr>
              <w:numPr>
                <w:ilvl w:val="0"/>
                <w:numId w:val="3"/>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533" w:type="dxa"/>
            <w:shd w:val="clear" w:color="auto" w:fill="auto"/>
            <w:vAlign w:val="center"/>
          </w:tcPr>
          <w:p>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pPr>
              <w:spacing w:line="300" w:lineRule="exact"/>
              <w:jc w:val="left"/>
              <w:rPr>
                <w:rFonts w:ascii="宋体" w:hAnsi="宋体" w:eastAsia="等线"/>
                <w:szCs w:val="21"/>
              </w:rPr>
            </w:pPr>
            <w:r>
              <w:rPr>
                <w:rFonts w:ascii="宋体" w:hAnsi="宋体" w:eastAsia="等线"/>
                <w:szCs w:val="21"/>
              </w:rPr>
              <w:t xml:space="preserve">B、服务较好或两项承诺：4分； </w:t>
            </w:r>
          </w:p>
          <w:p>
            <w:pPr>
              <w:spacing w:line="300" w:lineRule="exact"/>
              <w:jc w:val="left"/>
              <w:rPr>
                <w:rFonts w:ascii="宋体" w:hAnsi="宋体" w:eastAsia="等线"/>
                <w:szCs w:val="21"/>
              </w:rPr>
            </w:pPr>
            <w:r>
              <w:rPr>
                <w:rFonts w:ascii="宋体" w:hAnsi="宋体" w:eastAsia="等线"/>
                <w:szCs w:val="21"/>
              </w:rPr>
              <w:t xml:space="preserve">C、服务一般或一项承诺：2分； </w:t>
            </w:r>
          </w:p>
          <w:p>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42" w:type="dxa"/>
            <w:shd w:val="clear" w:color="auto" w:fill="auto"/>
            <w:vAlign w:val="center"/>
          </w:tcPr>
          <w:p>
            <w:pPr>
              <w:spacing w:line="300" w:lineRule="exact"/>
              <w:ind w:left="420"/>
              <w:rPr>
                <w:rFonts w:ascii="宋体" w:hAnsi="宋体" w:eastAsia="等线"/>
                <w:szCs w:val="21"/>
              </w:rPr>
            </w:pPr>
            <w:r>
              <w:rPr>
                <w:rFonts w:hint="eastAsia" w:ascii="宋体" w:hAnsi="宋体" w:eastAsia="等线"/>
                <w:szCs w:val="21"/>
              </w:rPr>
              <w:t>2</w:t>
            </w:r>
          </w:p>
        </w:tc>
        <w:tc>
          <w:tcPr>
            <w:tcW w:w="1048" w:type="dxa"/>
            <w:shd w:val="clear" w:color="auto" w:fill="auto"/>
            <w:vAlign w:val="center"/>
          </w:tcPr>
          <w:p>
            <w:pPr>
              <w:spacing w:line="300" w:lineRule="exact"/>
              <w:ind w:left="-63" w:leftChars="-30" w:right="-88" w:rightChars="-42"/>
              <w:jc w:val="center"/>
            </w:pPr>
            <w:r>
              <w:rPr>
                <w:rFonts w:hint="eastAsia"/>
              </w:rPr>
              <w:t>服务</w:t>
            </w:r>
            <w:r>
              <w:rPr>
                <w:rFonts w:hint="eastAsia" w:ascii="宋体" w:hAnsi="宋体" w:eastAsia="等线" w:cs="宋体"/>
                <w:szCs w:val="21"/>
              </w:rPr>
              <w:t>方案</w:t>
            </w:r>
          </w:p>
        </w:tc>
        <w:tc>
          <w:tcPr>
            <w:tcW w:w="6533" w:type="dxa"/>
            <w:shd w:val="clear" w:color="auto" w:fill="auto"/>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1）投标人不存在不诚信情况且按照要求提供承诺函的，得6分。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6%</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承诺函并在我院有配送的供货商履约评价良好以下：1分</w:t>
            </w:r>
            <w:r>
              <w:rPr>
                <w:rFonts w:ascii="宋体" w:hAnsi="宋体" w:eastAsia="等线"/>
                <w:szCs w:val="21"/>
              </w:rPr>
              <w:t>；</w:t>
            </w:r>
          </w:p>
          <w:p>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投标报价</w:t>
            </w:r>
          </w:p>
        </w:tc>
        <w:tc>
          <w:tcPr>
            <w:tcW w:w="6533" w:type="dxa"/>
            <w:shd w:val="clear" w:color="auto" w:fill="auto"/>
            <w:vAlign w:val="center"/>
          </w:tcPr>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323" w:type="dxa"/>
            <w:gridSpan w:val="3"/>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pPr>
        <w:snapToGrid w:val="0"/>
        <w:spacing w:line="300" w:lineRule="exact"/>
        <w:rPr>
          <w:rFonts w:ascii="黑体" w:hAnsi="宋体" w:eastAsia="黑体" w:cs="宋体"/>
          <w:sz w:val="28"/>
          <w:szCs w:val="28"/>
        </w:rPr>
      </w:pPr>
      <w:r>
        <w:rPr>
          <w:rFonts w:hint="eastAsia" w:ascii="宋体" w:hAnsi="等线" w:eastAsia="等线" w:cs="宋体"/>
          <w:snapToGrid w:val="0"/>
          <w:kern w:val="0"/>
          <w:szCs w:val="22"/>
        </w:rPr>
        <w:t>备注：</w:t>
      </w:r>
      <w:r>
        <w:rPr>
          <w:rFonts w:hint="eastAsia" w:ascii="宋体" w:hAnsi="宋体" w:eastAsia="等线"/>
          <w:bCs/>
          <w:szCs w:val="22"/>
        </w:rPr>
        <w:t>招标文件要求提交的与评价指标体系相关的各类有效资料，投标人如未按要求提交的，该项评分为零分。</w:t>
      </w:r>
    </w:p>
    <w:p>
      <w:pPr>
        <w:widowControl/>
        <w:spacing w:before="100" w:beforeAutospacing="1" w:after="100" w:afterAutospacing="1"/>
        <w:jc w:val="left"/>
        <w:rPr>
          <w:rFonts w:cs="宋体" w:asciiTheme="minorEastAsia" w:hAnsiTheme="minorEastAsia" w:eastAsiaTheme="minorEastAsia"/>
          <w:kern w:val="0"/>
          <w:sz w:val="24"/>
        </w:rPr>
      </w:pPr>
    </w:p>
    <w:p>
      <w:pPr>
        <w:widowControl/>
        <w:spacing w:before="100" w:beforeAutospacing="1" w:after="100" w:afterAutospacing="1"/>
        <w:jc w:val="center"/>
        <w:rPr>
          <w:rFonts w:hint="eastAsia" w:ascii="宋体" w:hAnsi="宋体"/>
          <w:b/>
          <w:bCs/>
          <w:sz w:val="28"/>
        </w:rPr>
      </w:pPr>
    </w:p>
    <w:p>
      <w:pPr>
        <w:widowControl/>
        <w:spacing w:before="100" w:beforeAutospacing="1" w:after="100" w:afterAutospacing="1"/>
        <w:jc w:val="center"/>
        <w:rPr>
          <w:rFonts w:hint="eastAsia" w:ascii="宋体" w:hAnsi="宋体"/>
          <w:b/>
          <w:bCs/>
          <w:sz w:val="28"/>
        </w:rPr>
      </w:pPr>
    </w:p>
    <w:p>
      <w:pPr>
        <w:widowControl/>
        <w:spacing w:before="100" w:beforeAutospacing="1" w:after="100" w:afterAutospacing="1"/>
        <w:jc w:val="center"/>
        <w:rPr>
          <w:rFonts w:hint="eastAsia" w:ascii="宋体" w:hAnsi="宋体"/>
          <w:b/>
          <w:bCs/>
          <w:sz w:val="28"/>
        </w:rPr>
      </w:pPr>
    </w:p>
    <w:p>
      <w:pPr>
        <w:widowControl/>
        <w:spacing w:before="100" w:beforeAutospacing="1" w:after="100" w:afterAutospacing="1"/>
        <w:jc w:val="center"/>
        <w:rPr>
          <w:rFonts w:ascii="宋体" w:hAnsi="宋体"/>
          <w:b/>
          <w:bCs/>
          <w:sz w:val="28"/>
        </w:rPr>
      </w:pPr>
      <w:r>
        <w:rPr>
          <w:rFonts w:hint="eastAsia" w:ascii="宋体" w:hAnsi="宋体"/>
          <w:b/>
          <w:bCs/>
          <w:sz w:val="28"/>
        </w:rPr>
        <w:t>二、试剂采购需求：</w:t>
      </w:r>
    </w:p>
    <w:tbl>
      <w:tblPr>
        <w:tblStyle w:val="5"/>
        <w:tblW w:w="882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390"/>
        <w:gridCol w:w="5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46" w:type="dxa"/>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2390" w:type="dxa"/>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试剂名称</w:t>
            </w:r>
          </w:p>
        </w:tc>
        <w:tc>
          <w:tcPr>
            <w:tcW w:w="5589" w:type="dxa"/>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详细目录及具体参数需求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846" w:type="dxa"/>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2390" w:type="dxa"/>
            <w:vAlign w:val="center"/>
          </w:tcPr>
          <w:p>
            <w:pPr>
              <w:widowControl/>
              <w:spacing w:before="100" w:beforeAutospacing="1" w:after="100" w:afterAutospacing="1"/>
              <w:jc w:val="center"/>
              <w:rPr>
                <w:rFonts w:cs="宋体" w:asciiTheme="minorEastAsia" w:hAnsiTheme="minorEastAsia" w:eastAsiaTheme="minorEastAsia"/>
                <w:kern w:val="0"/>
                <w:sz w:val="24"/>
              </w:rPr>
            </w:pPr>
            <w:bookmarkStart w:id="0" w:name="_GoBack"/>
            <w:r>
              <w:rPr>
                <w:rFonts w:hint="eastAsia" w:asciiTheme="minorEastAsia" w:hAnsiTheme="minorEastAsia" w:eastAsiaTheme="minorEastAsia"/>
                <w:szCs w:val="21"/>
              </w:rPr>
              <w:t>输血相容性检测质控品</w:t>
            </w:r>
            <w:bookmarkEnd w:id="0"/>
          </w:p>
        </w:tc>
        <w:tc>
          <w:tcPr>
            <w:tcW w:w="5589" w:type="dxa"/>
            <w:vAlign w:val="center"/>
          </w:tcPr>
          <w:p>
            <w:pPr>
              <w:widowControl/>
              <w:adjustRightInd w:val="0"/>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非定值质控品，根据凝集结果及凝集强度判断实验结果的阴阳性及反应强度；</w:t>
            </w:r>
          </w:p>
          <w:p>
            <w:pPr>
              <w:widowControl/>
              <w:adjustRightInd w:val="0"/>
              <w:snapToGrid w:val="0"/>
              <w:spacing w:line="360" w:lineRule="auto"/>
              <w:jc w:val="left"/>
              <w:rPr>
                <w:rFonts w:hint="eastAsia" w:cs="宋体" w:asciiTheme="minorEastAsia" w:hAnsiTheme="minorEastAsia" w:eastAsiaTheme="minorEastAsia"/>
                <w:kern w:val="0"/>
                <w:sz w:val="24"/>
                <w:lang w:eastAsia="zh-CN"/>
              </w:rPr>
            </w:pPr>
            <w:r>
              <w:rPr>
                <w:rFonts w:hint="eastAsia" w:asciiTheme="minorEastAsia" w:hAnsiTheme="minorEastAsia" w:eastAsiaTheme="minorEastAsia"/>
                <w:szCs w:val="21"/>
              </w:rPr>
              <w:t>适用于ABO、Rh（D）血型鉴定、不规则抗体筛查、交叉配血项目的室内质控；包括</w:t>
            </w:r>
            <w:r>
              <w:rPr>
                <w:rFonts w:asciiTheme="minorEastAsia" w:hAnsiTheme="minorEastAsia" w:eastAsiaTheme="minorEastAsia"/>
                <w:szCs w:val="21"/>
              </w:rPr>
              <w:t xml:space="preserve">IgM </w:t>
            </w:r>
            <w:r>
              <w:rPr>
                <w:rFonts w:hint="eastAsia" w:asciiTheme="minorEastAsia" w:hAnsiTheme="minorEastAsia" w:eastAsiaTheme="minorEastAsia"/>
                <w:szCs w:val="21"/>
              </w:rPr>
              <w:t>、</w:t>
            </w:r>
            <w:r>
              <w:rPr>
                <w:rFonts w:asciiTheme="minorEastAsia" w:hAnsiTheme="minorEastAsia" w:eastAsiaTheme="minorEastAsia"/>
                <w:szCs w:val="21"/>
              </w:rPr>
              <w:t xml:space="preserve">IgG </w:t>
            </w:r>
            <w:r>
              <w:rPr>
                <w:rFonts w:hint="eastAsia" w:asciiTheme="minorEastAsia" w:hAnsiTheme="minorEastAsia" w:eastAsiaTheme="minorEastAsia"/>
                <w:szCs w:val="21"/>
              </w:rPr>
              <w:t>两类抗体</w:t>
            </w:r>
            <w:r>
              <w:rPr>
                <w:rFonts w:hint="eastAsia" w:asciiTheme="minorEastAsia" w:hAnsiTheme="minorEastAsia" w:eastAsiaTheme="minorEastAsia"/>
                <w:szCs w:val="21"/>
                <w:lang w:eastAsia="zh-CN"/>
              </w:rPr>
              <w:t>。</w:t>
            </w:r>
          </w:p>
        </w:tc>
      </w:tr>
    </w:tbl>
    <w:p>
      <w:pPr>
        <w:spacing w:line="540" w:lineRule="exact"/>
        <w:rPr>
          <w:rFonts w:ascii="宋体" w:hAnsi="宋体"/>
          <w:bCs/>
          <w:sz w:val="24"/>
        </w:rPr>
      </w:pPr>
    </w:p>
    <w:sectPr>
      <w:footerReference r:id="rId3" w:type="default"/>
      <w:pgSz w:w="11907" w:h="16840"/>
      <w:pgMar w:top="1134" w:right="1304" w:bottom="1134" w:left="1304"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FZXBSK--GBK1-0">
    <w:altName w:val="宋体"/>
    <w:panose1 w:val="00000000000000000000"/>
    <w:charset w:val="86"/>
    <w:family w:val="auto"/>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64190"/>
    </w:sdtPr>
    <w:sdtContent>
      <w:p>
        <w:pPr>
          <w:pStyle w:val="3"/>
          <w:jc w:val="center"/>
        </w:pPr>
        <w:r>
          <w:fldChar w:fldCharType="begin"/>
        </w:r>
        <w:r>
          <w:instrText xml:space="preserve">PAGE   \* MERGEFORMAT</w:instrText>
        </w:r>
        <w:r>
          <w:fldChar w:fldCharType="separate"/>
        </w:r>
        <w:r>
          <w:rPr>
            <w:lang w:val="zh-CN"/>
          </w:rPr>
          <w:t>-</w:t>
        </w:r>
        <w:r>
          <w:t xml:space="preserve"> 3 -</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2">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jNzU1YTMyNDA5NmJiMDFkMzE1NjkzODhhMjJjYjAifQ=="/>
  </w:docVars>
  <w:rsids>
    <w:rsidRoot w:val="00917972"/>
    <w:rsid w:val="0001717B"/>
    <w:rsid w:val="00027BAA"/>
    <w:rsid w:val="000346EE"/>
    <w:rsid w:val="000865FB"/>
    <w:rsid w:val="000A2D9F"/>
    <w:rsid w:val="000A5304"/>
    <w:rsid w:val="000B1598"/>
    <w:rsid w:val="000B2248"/>
    <w:rsid w:val="000C46CA"/>
    <w:rsid w:val="000D196D"/>
    <w:rsid w:val="000E1DAE"/>
    <w:rsid w:val="001C020B"/>
    <w:rsid w:val="001C5E6B"/>
    <w:rsid w:val="001D0F34"/>
    <w:rsid w:val="001D4F49"/>
    <w:rsid w:val="001F3EC2"/>
    <w:rsid w:val="00203F52"/>
    <w:rsid w:val="0021733B"/>
    <w:rsid w:val="00231194"/>
    <w:rsid w:val="00233710"/>
    <w:rsid w:val="00236EB7"/>
    <w:rsid w:val="002B4449"/>
    <w:rsid w:val="002D3235"/>
    <w:rsid w:val="002D4BC7"/>
    <w:rsid w:val="003113BF"/>
    <w:rsid w:val="00322E0E"/>
    <w:rsid w:val="00323EC4"/>
    <w:rsid w:val="00346659"/>
    <w:rsid w:val="0035664E"/>
    <w:rsid w:val="003717CD"/>
    <w:rsid w:val="00375B7E"/>
    <w:rsid w:val="00392245"/>
    <w:rsid w:val="00425B19"/>
    <w:rsid w:val="00426CA7"/>
    <w:rsid w:val="00447A0F"/>
    <w:rsid w:val="004A0074"/>
    <w:rsid w:val="00515A8F"/>
    <w:rsid w:val="00546B4C"/>
    <w:rsid w:val="005672FE"/>
    <w:rsid w:val="005708F0"/>
    <w:rsid w:val="00582B69"/>
    <w:rsid w:val="00584E0A"/>
    <w:rsid w:val="005B3A63"/>
    <w:rsid w:val="005D33F2"/>
    <w:rsid w:val="005E3E42"/>
    <w:rsid w:val="005F48C7"/>
    <w:rsid w:val="005F6C47"/>
    <w:rsid w:val="006063D4"/>
    <w:rsid w:val="0063213A"/>
    <w:rsid w:val="006A503A"/>
    <w:rsid w:val="006B695C"/>
    <w:rsid w:val="0070178B"/>
    <w:rsid w:val="0072272A"/>
    <w:rsid w:val="007360B6"/>
    <w:rsid w:val="007557D1"/>
    <w:rsid w:val="007750A0"/>
    <w:rsid w:val="007C5B24"/>
    <w:rsid w:val="0081435D"/>
    <w:rsid w:val="00816F83"/>
    <w:rsid w:val="008412B4"/>
    <w:rsid w:val="0084170E"/>
    <w:rsid w:val="0089445E"/>
    <w:rsid w:val="008A7443"/>
    <w:rsid w:val="008C7BB8"/>
    <w:rsid w:val="008E35C2"/>
    <w:rsid w:val="008F5761"/>
    <w:rsid w:val="00912FAE"/>
    <w:rsid w:val="00917972"/>
    <w:rsid w:val="00977F0E"/>
    <w:rsid w:val="009A1255"/>
    <w:rsid w:val="009B58B3"/>
    <w:rsid w:val="009B7588"/>
    <w:rsid w:val="009D7642"/>
    <w:rsid w:val="009E0414"/>
    <w:rsid w:val="009F6854"/>
    <w:rsid w:val="00AE7DB5"/>
    <w:rsid w:val="00B1082A"/>
    <w:rsid w:val="00B16D72"/>
    <w:rsid w:val="00B202D7"/>
    <w:rsid w:val="00B233C9"/>
    <w:rsid w:val="00B34EC8"/>
    <w:rsid w:val="00B403C0"/>
    <w:rsid w:val="00B418DD"/>
    <w:rsid w:val="00B55854"/>
    <w:rsid w:val="00B56BCF"/>
    <w:rsid w:val="00B703C8"/>
    <w:rsid w:val="00B97A76"/>
    <w:rsid w:val="00BB1A91"/>
    <w:rsid w:val="00BD4E35"/>
    <w:rsid w:val="00BD7C5C"/>
    <w:rsid w:val="00BE41CB"/>
    <w:rsid w:val="00C12B69"/>
    <w:rsid w:val="00C52EF5"/>
    <w:rsid w:val="00C67A4F"/>
    <w:rsid w:val="00CE109D"/>
    <w:rsid w:val="00CE5B0C"/>
    <w:rsid w:val="00CF17B4"/>
    <w:rsid w:val="00D3503E"/>
    <w:rsid w:val="00D64BE1"/>
    <w:rsid w:val="00D8305A"/>
    <w:rsid w:val="00DA63C3"/>
    <w:rsid w:val="00DB386B"/>
    <w:rsid w:val="00DD0DE3"/>
    <w:rsid w:val="00DD2F31"/>
    <w:rsid w:val="00E1340D"/>
    <w:rsid w:val="00E73BA4"/>
    <w:rsid w:val="00E80CB6"/>
    <w:rsid w:val="00E85F38"/>
    <w:rsid w:val="00E9378D"/>
    <w:rsid w:val="00E93F01"/>
    <w:rsid w:val="00EB4324"/>
    <w:rsid w:val="00EE28F3"/>
    <w:rsid w:val="00EE574D"/>
    <w:rsid w:val="00EF67F2"/>
    <w:rsid w:val="00F14601"/>
    <w:rsid w:val="00F457B0"/>
    <w:rsid w:val="00F70376"/>
    <w:rsid w:val="00F81225"/>
    <w:rsid w:val="00F85DB2"/>
    <w:rsid w:val="00F92D50"/>
    <w:rsid w:val="00FA07B8"/>
    <w:rsid w:val="00FF222A"/>
    <w:rsid w:val="00FF7643"/>
    <w:rsid w:val="063C618E"/>
    <w:rsid w:val="09317280"/>
    <w:rsid w:val="1A2C7DEE"/>
    <w:rsid w:val="1D9D5BA4"/>
    <w:rsid w:val="269C2E17"/>
    <w:rsid w:val="26EE059E"/>
    <w:rsid w:val="288B5A00"/>
    <w:rsid w:val="3C624792"/>
    <w:rsid w:val="47164442"/>
    <w:rsid w:val="4B171BBE"/>
    <w:rsid w:val="54D57D13"/>
    <w:rsid w:val="58211D7D"/>
    <w:rsid w:val="5FF2755C"/>
    <w:rsid w:val="79380E2A"/>
    <w:rsid w:val="799D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autoRedefine/>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字符"/>
    <w:basedOn w:val="7"/>
    <w:link w:val="2"/>
    <w:autoRedefine/>
    <w:qFormat/>
    <w:uiPriority w:val="0"/>
    <w:rPr>
      <w:rFonts w:ascii="Times New Roman" w:hAnsi="Times New Roman" w:eastAsia="宋体" w:cs="Times New Roman"/>
      <w:b/>
      <w:bCs/>
      <w:kern w:val="44"/>
      <w:sz w:val="44"/>
      <w:szCs w:val="44"/>
    </w:rPr>
  </w:style>
  <w:style w:type="character" w:customStyle="1" w:styleId="9">
    <w:name w:val="页眉 字符"/>
    <w:basedOn w:val="7"/>
    <w:link w:val="4"/>
    <w:autoRedefine/>
    <w:qFormat/>
    <w:uiPriority w:val="99"/>
    <w:rPr>
      <w:rFonts w:ascii="Calibri" w:hAnsi="Calibri" w:eastAsia="宋体" w:cs="Times New Roman"/>
      <w:sz w:val="18"/>
      <w:szCs w:val="18"/>
    </w:rPr>
  </w:style>
  <w:style w:type="character" w:customStyle="1" w:styleId="10">
    <w:name w:val="页脚 字符"/>
    <w:basedOn w:val="7"/>
    <w:link w:val="3"/>
    <w:autoRedefine/>
    <w:qFormat/>
    <w:uiPriority w:val="99"/>
    <w:rPr>
      <w:rFonts w:ascii="Calibri" w:hAnsi="Calibri" w:eastAsia="宋体" w:cs="Times New Roman"/>
      <w:sz w:val="18"/>
      <w:szCs w:val="18"/>
    </w:rPr>
  </w:style>
  <w:style w:type="paragraph" w:styleId="11">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423</Words>
  <Characters>2412</Characters>
  <Lines>20</Lines>
  <Paragraphs>5</Paragraphs>
  <TotalTime>11</TotalTime>
  <ScaleCrop>false</ScaleCrop>
  <LinksUpToDate>false</LinksUpToDate>
  <CharactersWithSpaces>2830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2024-01-08T02:05:00Z</dcterms:created>
  <dc:creator>Windows 用户</dc:creator>
  <cp:lastModifiedBy>dz</cp:lastModifiedBy>
  <cp:lastPrinted>2023-07-12T02:54:00Z</cp:lastPrinted>
  <dcterms:modified xsi:type="dcterms:W3CDTF">2024-05-22T02:13:38Z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F3E147ED4B0547DEB558CE2BB264112A_13</vt:lpwstr>
  </property>
</Properties>
</file>