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14.8</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hint="default" w:eastAsia="微软雅黑"/>
                <w:color w:val="000000"/>
                <w:sz w:val="22"/>
                <w:szCs w:val="22"/>
                <w:lang w:val="en-US" w:eastAsia="zh-CN"/>
              </w:rPr>
            </w:pPr>
            <w:r>
              <w:rPr>
                <w:rFonts w:hint="eastAsia" w:ascii="宋体" w:hAnsi="宋体" w:cs="宋体"/>
                <w:bCs/>
                <w:sz w:val="24"/>
                <w:lang w:val="en-US" w:eastAsia="zh-CN"/>
              </w:rPr>
              <w:t>翠绿宝石激光系统维保服务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color w:val="000000"/>
                <w:sz w:val="22"/>
                <w:szCs w:val="22"/>
              </w:rPr>
            </w:pPr>
            <w:r>
              <w:rPr>
                <w:rFonts w:hint="eastAsia" w:ascii="宋体" w:hAnsi="宋体"/>
                <w:color w:val="000000"/>
                <w:kern w:val="0"/>
                <w:sz w:val="22"/>
                <w:szCs w:val="22"/>
              </w:rPr>
              <w:t>翠绿宝石激光治疗仪一年人工和备件维护服务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r>
              <w:rPr>
                <w:rFonts w:hint="eastAsia" w:ascii="宋体" w:hAnsi="宋体" w:cs="宋体"/>
                <w:bCs/>
                <w:sz w:val="24"/>
              </w:rPr>
              <w:t>一、 保修</w:t>
            </w:r>
          </w:p>
          <w:p>
            <w:pPr>
              <w:spacing w:line="360" w:lineRule="auto"/>
              <w:rPr>
                <w:rFonts w:ascii="宋体" w:hAnsi="宋体" w:cs="宋体"/>
                <w:bCs/>
                <w:sz w:val="24"/>
              </w:rPr>
            </w:pPr>
            <w:r>
              <w:rPr>
                <w:rFonts w:hint="eastAsia" w:ascii="宋体" w:hAnsi="宋体" w:cs="宋体"/>
                <w:bCs/>
                <w:sz w:val="24"/>
              </w:rPr>
              <w:t xml:space="preserve"> 1、 提供在线支持、现场检修及零备件更换，并保证设备开机率90%以上，按全年365天计算。开机率达不到90%的情况下停机时间每超一天保修期顺延两天。</w:t>
            </w:r>
          </w:p>
          <w:p>
            <w:pPr>
              <w:spacing w:line="360" w:lineRule="auto"/>
              <w:rPr>
                <w:rFonts w:ascii="宋体" w:hAnsi="宋体" w:cs="宋体"/>
                <w:bCs/>
                <w:sz w:val="24"/>
              </w:rPr>
            </w:pPr>
            <w:r>
              <w:rPr>
                <w:rFonts w:hint="eastAsia" w:ascii="宋体" w:hAnsi="宋体" w:cs="宋体"/>
                <w:bCs/>
                <w:sz w:val="24"/>
              </w:rPr>
              <w:t xml:space="preserve">     在线支持：在甲方拨打维修热线后安排资深工程师在线技术支持，答疑；乙方资深工程师即时诊断机器故障，制定维修方案。</w:t>
            </w:r>
          </w:p>
          <w:p>
            <w:pPr>
              <w:spacing w:line="360" w:lineRule="auto"/>
              <w:rPr>
                <w:rFonts w:ascii="宋体" w:hAnsi="宋体" w:cs="宋体"/>
                <w:bCs/>
                <w:sz w:val="24"/>
              </w:rPr>
            </w:pPr>
            <w:r>
              <w:rPr>
                <w:rFonts w:hint="eastAsia" w:ascii="宋体" w:hAnsi="宋体" w:cs="宋体"/>
                <w:bCs/>
                <w:sz w:val="24"/>
              </w:rPr>
              <w:t xml:space="preserve"> 2、 现场检修：乙方在接到甲方报修电话后派遣工程师前往维修有关设备。工程师一个工作日内到达现场。原厂认证合格的专业工程师或原厂培训的特约维修队伍将提供快速优质的现场服务。</w:t>
            </w:r>
          </w:p>
          <w:p>
            <w:pPr>
              <w:spacing w:line="360" w:lineRule="auto"/>
              <w:rPr>
                <w:rFonts w:ascii="宋体" w:hAnsi="宋体" w:cs="宋体"/>
                <w:bCs/>
                <w:sz w:val="24"/>
              </w:rPr>
            </w:pPr>
            <w:r>
              <w:rPr>
                <w:rFonts w:hint="eastAsia" w:ascii="宋体" w:hAnsi="宋体" w:cs="宋体"/>
                <w:bCs/>
                <w:sz w:val="24"/>
              </w:rPr>
              <w:t xml:space="preserve"> 3、 零备件更换：在合同有效期内，本合同服务范围内的机器进行约定维修所发生的费用（更换零部件费，乙方人工费和出差费），由乙方承担。</w:t>
            </w:r>
          </w:p>
          <w:p>
            <w:pPr>
              <w:spacing w:line="360" w:lineRule="auto"/>
              <w:rPr>
                <w:rFonts w:ascii="宋体" w:hAnsi="宋体" w:cs="宋体"/>
                <w:bCs/>
                <w:sz w:val="24"/>
              </w:rPr>
            </w:pPr>
            <w:r>
              <w:rPr>
                <w:rFonts w:hint="eastAsia" w:ascii="宋体" w:hAnsi="宋体" w:cs="宋体"/>
                <w:bCs/>
                <w:sz w:val="24"/>
              </w:rPr>
              <w:t>二、 配件：</w:t>
            </w:r>
          </w:p>
          <w:p>
            <w:pPr>
              <w:numPr>
                <w:ilvl w:val="255"/>
                <w:numId w:val="0"/>
              </w:numPr>
              <w:spacing w:after="78"/>
              <w:ind w:left="360"/>
              <w:rPr>
                <w:color w:val="000000"/>
                <w:sz w:val="22"/>
                <w:szCs w:val="22"/>
              </w:rPr>
            </w:pPr>
            <w:r>
              <w:rPr>
                <w:rFonts w:hint="eastAsia" w:ascii="宋体" w:hAnsi="宋体" w:cs="宋体"/>
                <w:bCs/>
                <w:sz w:val="24"/>
              </w:rPr>
              <w:t>所有需要更换的零配件均为原厂最新，包含可更换光纤壹根（如有维修必要给予更换），闪光灯贰对。所有零配件免费维修或者更换，更换后的配件保修半年。</w:t>
            </w:r>
          </w:p>
          <w:p>
            <w:pPr>
              <w:numPr>
                <w:ilvl w:val="255"/>
                <w:numId w:val="0"/>
              </w:numPr>
              <w:spacing w:after="78"/>
              <w:ind w:left="36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1"/>
              <w:tblW w:w="7766" w:type="dxa"/>
              <w:jc w:val="center"/>
              <w:tblLayout w:type="fixed"/>
              <w:tblCellMar>
                <w:top w:w="0" w:type="dxa"/>
                <w:left w:w="108" w:type="dxa"/>
                <w:bottom w:w="0" w:type="dxa"/>
                <w:right w:w="108" w:type="dxa"/>
              </w:tblCellMar>
            </w:tblPr>
            <w:tblGrid>
              <w:gridCol w:w="7766"/>
            </w:tblGrid>
            <w:tr>
              <w:tblPrEx>
                <w:tblCellMar>
                  <w:top w:w="0" w:type="dxa"/>
                  <w:left w:w="108" w:type="dxa"/>
                  <w:bottom w:w="0" w:type="dxa"/>
                  <w:right w:w="108" w:type="dxa"/>
                </w:tblCellMar>
              </w:tblPrEx>
              <w:trPr>
                <w:jc w:val="center"/>
              </w:trPr>
              <w:tc>
                <w:tcPr>
                  <w:tcW w:w="7766" w:type="dxa"/>
                </w:tcPr>
                <w:p>
                  <w:pPr>
                    <w:pStyle w:val="24"/>
                    <w:numPr>
                      <w:ilvl w:val="0"/>
                      <w:numId w:val="1"/>
                    </w:numPr>
                    <w:spacing w:line="360" w:lineRule="auto"/>
                    <w:ind w:firstLineChars="0"/>
                    <w:jc w:val="left"/>
                    <w:rPr>
                      <w:rFonts w:ascii="宋体" w:hAnsi="宋体" w:cs="宋体"/>
                      <w:bCs/>
                      <w:sz w:val="24"/>
                    </w:rPr>
                  </w:pPr>
                  <w:r>
                    <w:rPr>
                      <w:rFonts w:hint="eastAsia" w:ascii="宋体" w:hAnsi="宋体" w:cs="宋体"/>
                      <w:bCs/>
                      <w:sz w:val="24"/>
                    </w:rPr>
                    <w:t>服务方每季度为设备检修保养一次。</w:t>
                  </w:r>
                </w:p>
                <w:p>
                  <w:pPr>
                    <w:pStyle w:val="24"/>
                    <w:numPr>
                      <w:ilvl w:val="0"/>
                      <w:numId w:val="1"/>
                    </w:numPr>
                    <w:spacing w:line="360" w:lineRule="auto"/>
                    <w:ind w:firstLineChars="0"/>
                    <w:jc w:val="left"/>
                    <w:rPr>
                      <w:rFonts w:ascii="宋体" w:hAnsi="宋体" w:cs="宋体"/>
                      <w:bCs/>
                      <w:sz w:val="24"/>
                    </w:rPr>
                  </w:pPr>
                  <w:r>
                    <w:rPr>
                      <w:rFonts w:hint="eastAsia" w:ascii="宋体" w:hAnsi="宋体" w:cs="宋体"/>
                      <w:bCs/>
                      <w:sz w:val="24"/>
                    </w:rPr>
                    <w:t>提供的合同服务类别为：定期保养及紧急人工和备件服务合同。</w:t>
                  </w:r>
                </w:p>
                <w:p>
                  <w:pPr>
                    <w:pStyle w:val="24"/>
                    <w:numPr>
                      <w:ilvl w:val="0"/>
                      <w:numId w:val="1"/>
                    </w:numPr>
                    <w:spacing w:line="360" w:lineRule="auto"/>
                    <w:ind w:firstLineChars="0"/>
                    <w:jc w:val="left"/>
                    <w:rPr>
                      <w:rFonts w:ascii="宋体" w:hAnsi="宋体" w:cs="宋体"/>
                      <w:bCs/>
                      <w:sz w:val="24"/>
                    </w:rPr>
                  </w:pPr>
                  <w:r>
                    <w:rPr>
                      <w:rFonts w:hint="eastAsia" w:ascii="宋体" w:hAnsi="宋体" w:cs="宋体"/>
                      <w:bCs/>
                      <w:sz w:val="24"/>
                    </w:rPr>
                    <w:t>服务方提供系统安全性改版通知（SOFTWARE UPDATE）。</w:t>
                  </w:r>
                </w:p>
                <w:p>
                  <w:pPr>
                    <w:pStyle w:val="24"/>
                    <w:numPr>
                      <w:ilvl w:val="0"/>
                      <w:numId w:val="1"/>
                    </w:numPr>
                    <w:spacing w:line="360" w:lineRule="auto"/>
                    <w:ind w:firstLineChars="0"/>
                    <w:jc w:val="left"/>
                    <w:rPr>
                      <w:rFonts w:ascii="宋体" w:hAnsi="宋体" w:cs="宋体"/>
                      <w:bCs/>
                      <w:sz w:val="24"/>
                    </w:rPr>
                  </w:pPr>
                  <w:r>
                    <w:rPr>
                      <w:rFonts w:hint="eastAsia" w:ascii="宋体" w:hAnsi="宋体" w:cs="宋体"/>
                      <w:bCs/>
                      <w:sz w:val="24"/>
                    </w:rPr>
                    <w:t>服务方为院方提供在线支持、现场检修及零备件更换，并保证设备开机率符合院方要求。</w:t>
                  </w:r>
                </w:p>
                <w:p>
                  <w:pPr>
                    <w:spacing w:line="360" w:lineRule="auto"/>
                    <w:jc w:val="left"/>
                    <w:rPr>
                      <w:rFonts w:ascii="宋体" w:hAnsi="宋体" w:cs="宋体"/>
                      <w:bCs/>
                      <w:sz w:val="24"/>
                    </w:rPr>
                  </w:pPr>
                  <w:r>
                    <w:rPr>
                      <w:rFonts w:hint="eastAsia" w:ascii="宋体" w:hAnsi="宋体" w:cs="宋体"/>
                      <w:bCs/>
                      <w:sz w:val="24"/>
                    </w:rPr>
                    <w:t xml:space="preserve">   1）在线支持：在院方拨打维修热线后提供电话支援，服务方资深工程师在线技术支持，答疑；资深工程师即时诊断机器故障，制定维修方案。</w:t>
                  </w:r>
                </w:p>
                <w:p>
                  <w:pPr>
                    <w:spacing w:line="360" w:lineRule="auto"/>
                    <w:jc w:val="left"/>
                    <w:rPr>
                      <w:rFonts w:ascii="宋体" w:hAnsi="宋体" w:cs="宋体"/>
                      <w:bCs/>
                      <w:sz w:val="24"/>
                    </w:rPr>
                  </w:pPr>
                  <w:r>
                    <w:rPr>
                      <w:rFonts w:hint="eastAsia" w:ascii="宋体" w:hAnsi="宋体" w:cs="宋体"/>
                      <w:bCs/>
                      <w:sz w:val="24"/>
                    </w:rPr>
                    <w:t xml:space="preserve">   2）现场检修：服务方在接到院方报修电话后派遣工程师前往维修有关设备。工程师最多不超过一个工作日到达现场。</w:t>
                  </w:r>
                </w:p>
                <w:p>
                  <w:pPr>
                    <w:spacing w:line="360" w:lineRule="auto"/>
                    <w:jc w:val="left"/>
                    <w:rPr>
                      <w:rFonts w:ascii="宋体" w:hAnsi="宋体" w:cs="宋体"/>
                      <w:bCs/>
                      <w:sz w:val="24"/>
                    </w:rPr>
                  </w:pPr>
                  <w:r>
                    <w:rPr>
                      <w:rFonts w:hint="eastAsia" w:ascii="宋体" w:hAnsi="宋体" w:cs="宋体"/>
                      <w:bCs/>
                      <w:sz w:val="24"/>
                    </w:rPr>
                    <w:t xml:space="preserve">   3）零备件更换：在合同有效期内，服务范围内的机器进行约定维修所发生的费用（更换零部件费，服务方人工费和出差费），由服务方承担。      </w:t>
                  </w:r>
                </w:p>
                <w:p>
                  <w:pPr>
                    <w:spacing w:line="300" w:lineRule="exact"/>
                    <w:ind w:left="1200" w:hanging="1200" w:hangingChars="500"/>
                    <w:rPr>
                      <w:rFonts w:ascii="宋体" w:hAnsi="宋体" w:cs="宋体"/>
                      <w:bCs/>
                      <w:sz w:val="24"/>
                    </w:rPr>
                  </w:pPr>
                  <w:r>
                    <w:rPr>
                      <w:rFonts w:ascii="宋体" w:hAnsi="宋体" w:cs="宋体"/>
                      <w:bCs/>
                      <w:sz w:val="24"/>
                    </w:rPr>
                    <w:t>5</w:t>
                  </w:r>
                  <w:r>
                    <w:rPr>
                      <w:rFonts w:hint="eastAsia" w:ascii="宋体" w:hAnsi="宋体" w:cs="宋体"/>
                      <w:bCs/>
                      <w:sz w:val="24"/>
                    </w:rPr>
                    <w:t>、服务期限：</w:t>
                  </w:r>
                  <w:r>
                    <w:rPr>
                      <w:rFonts w:ascii="宋体" w:hAnsi="宋体" w:cs="宋体"/>
                      <w:bCs/>
                      <w:sz w:val="24"/>
                    </w:rPr>
                    <w:t>1</w:t>
                  </w:r>
                  <w:r>
                    <w:rPr>
                      <w:rFonts w:hint="eastAsia" w:ascii="宋体" w:hAnsi="宋体" w:cs="宋体"/>
                      <w:bCs/>
                      <w:sz w:val="24"/>
                    </w:rPr>
                    <w:t>年。</w:t>
                  </w:r>
                </w:p>
                <w:p>
                  <w:pPr>
                    <w:spacing w:line="480" w:lineRule="auto"/>
                    <w:contextualSpacing/>
                    <w:rPr>
                      <w:rFonts w:hint="eastAsia" w:ascii="宋体" w:hAnsi="宋体" w:eastAsia="宋体"/>
                      <w:lang w:eastAsia="zh-CN"/>
                    </w:rPr>
                  </w:pPr>
                  <w:r>
                    <w:rPr>
                      <w:rFonts w:ascii="宋体" w:hAnsi="宋体" w:cs="宋体"/>
                      <w:bCs/>
                      <w:sz w:val="24"/>
                    </w:rPr>
                    <w:t>6</w:t>
                  </w:r>
                  <w:r>
                    <w:rPr>
                      <w:rFonts w:hint="eastAsia" w:ascii="宋体" w:hAnsi="宋体" w:cs="宋体"/>
                      <w:bCs/>
                      <w:sz w:val="24"/>
                    </w:rPr>
                    <w:t>、付款方式：</w:t>
                  </w:r>
                  <w:r>
                    <w:rPr>
                      <w:rFonts w:hint="eastAsia"/>
                      <w:color w:val="000000"/>
                      <w:sz w:val="24"/>
                      <w:szCs w:val="24"/>
                    </w:rPr>
                    <w:t>分两期付款。第一期付款时间：在本合同签订之日起6个月后，采购方对维保服务进行验收，验收合格后支付服务费的 50%。第二期付款时间:合同期满且采购方对合同期内维保服务验收合格后付清剩余服务费</w:t>
                  </w:r>
                  <w:r>
                    <w:rPr>
                      <w:rFonts w:hint="eastAsia"/>
                      <w:color w:val="000000"/>
                      <w:sz w:val="24"/>
                      <w:szCs w:val="24"/>
                      <w:lang w:eastAsia="zh-CN"/>
                    </w:rPr>
                    <w:t>。</w:t>
                  </w:r>
                </w:p>
              </w:tc>
            </w:tr>
          </w:tbl>
          <w:p>
            <w:pPr>
              <w:snapToGrid w:val="0"/>
              <w:spacing w:after="78"/>
              <w:jc w:val="left"/>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top"/>
          </w:tcPr>
          <w:p>
            <w:pPr>
              <w:spacing w:line="480" w:lineRule="auto"/>
              <w:contextualSpacing/>
              <w:rPr>
                <w:rFonts w:hint="eastAsia"/>
                <w:color w:val="000000"/>
                <w:sz w:val="24"/>
                <w:szCs w:val="24"/>
              </w:rPr>
            </w:pPr>
            <w:r>
              <w:rPr>
                <w:rFonts w:hint="eastAsia"/>
                <w:color w:val="000000"/>
                <w:sz w:val="24"/>
                <w:szCs w:val="24"/>
              </w:rPr>
              <w:t>设备注册证名称：翠绿宝石激光治疗仪</w:t>
            </w:r>
          </w:p>
          <w:p>
            <w:pPr>
              <w:spacing w:line="480" w:lineRule="auto"/>
              <w:contextualSpacing/>
              <w:rPr>
                <w:rFonts w:hint="eastAsia"/>
                <w:color w:val="000000"/>
                <w:sz w:val="24"/>
                <w:szCs w:val="24"/>
              </w:rPr>
            </w:pPr>
            <w:r>
              <w:rPr>
                <w:rFonts w:hint="eastAsia"/>
                <w:color w:val="000000"/>
                <w:sz w:val="24"/>
                <w:szCs w:val="24"/>
              </w:rPr>
              <w:t>品牌：美国赛诺秀</w:t>
            </w:r>
          </w:p>
          <w:p>
            <w:pPr>
              <w:spacing w:line="480" w:lineRule="auto"/>
              <w:contextualSpacing/>
              <w:rPr>
                <w:rFonts w:hint="eastAsia"/>
                <w:color w:val="000000"/>
                <w:sz w:val="22"/>
              </w:rPr>
            </w:pPr>
            <w:r>
              <w:rPr>
                <w:rFonts w:hint="eastAsia"/>
                <w:color w:val="000000"/>
                <w:sz w:val="24"/>
                <w:szCs w:val="24"/>
              </w:rPr>
              <w:t>规格型号：Accolade</w:t>
            </w:r>
            <w:bookmarkStart w:id="22" w:name="_GoBack"/>
            <w:bookmarkEnd w:id="22"/>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73521619"/>
      <w:bookmarkStart w:id="10" w:name="_Toc73521707"/>
      <w:bookmarkStart w:id="11" w:name="_Toc101074904"/>
      <w:bookmarkStart w:id="12" w:name="_Toc10005247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2"/>
        </w:numPr>
        <w:spacing w:line="360" w:lineRule="auto"/>
        <w:rPr>
          <w:rFonts w:ascii="宋体" w:hAnsi="宋体"/>
          <w:sz w:val="24"/>
          <w:szCs w:val="24"/>
        </w:rPr>
      </w:pPr>
      <w:r>
        <w:rPr>
          <w:rFonts w:hint="eastAsia" w:ascii="宋体" w:hAnsi="宋体"/>
          <w:sz w:val="24"/>
          <w:szCs w:val="24"/>
        </w:rPr>
        <w:t>恶意投诉的；</w:t>
      </w:r>
    </w:p>
    <w:p>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BB44BB"/>
    <w:multiLevelType w:val="multilevel"/>
    <w:tmpl w:val="5CBB44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2A86400"/>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5">
    <w:name w:val="Body Text Indent"/>
    <w:basedOn w:val="1"/>
    <w:autoRedefine/>
    <w:qFormat/>
    <w:uiPriority w:val="0"/>
    <w:pPr>
      <w:spacing w:line="360" w:lineRule="auto"/>
      <w:ind w:left="720" w:hanging="720" w:hangingChars="300"/>
    </w:pPr>
    <w:rPr>
      <w:sz w:val="24"/>
      <w:szCs w:val="20"/>
    </w:rPr>
  </w:style>
  <w:style w:type="paragraph" w:styleId="6">
    <w:name w:val="Plain Text"/>
    <w:basedOn w:val="1"/>
    <w:link w:val="18"/>
    <w:autoRedefine/>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szCs w:val="20"/>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autoRedefine/>
    <w:semiHidden/>
    <w:qFormat/>
    <w:uiPriority w:val="0"/>
  </w:style>
  <w:style w:type="character" w:styleId="16">
    <w:name w:val="Hyperlink"/>
    <w:basedOn w:val="13"/>
    <w:autoRedefine/>
    <w:qFormat/>
    <w:uiPriority w:val="0"/>
    <w:rPr>
      <w:color w:val="0000FF"/>
      <w:u w:val="single"/>
    </w:rPr>
  </w:style>
  <w:style w:type="character" w:customStyle="1" w:styleId="17">
    <w:name w:val="标题 3 Char"/>
    <w:basedOn w:val="13"/>
    <w:link w:val="4"/>
    <w:autoRedefine/>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autoRedefine/>
    <w:qFormat/>
    <w:uiPriority w:val="0"/>
    <w:rPr>
      <w:rFonts w:ascii="仿宋_GB2312" w:eastAsia="仿宋_GB2312"/>
      <w:b/>
      <w:sz w:val="32"/>
      <w:szCs w:val="32"/>
    </w:rPr>
  </w:style>
  <w:style w:type="paragraph" w:customStyle="1" w:styleId="20">
    <w:name w:val="样式 (西文) 宋体 行距: 1.5 倍行距"/>
    <w:basedOn w:val="1"/>
    <w:autoRedefine/>
    <w:qFormat/>
    <w:uiPriority w:val="0"/>
    <w:pPr>
      <w:spacing w:line="360" w:lineRule="auto"/>
    </w:pPr>
    <w:rPr>
      <w:rFonts w:ascii="宋体" w:hAnsi="宋体" w:cs="宋体"/>
    </w:rPr>
  </w:style>
  <w:style w:type="character" w:customStyle="1" w:styleId="21">
    <w:name w:val="页眉 Char"/>
    <w:basedOn w:val="13"/>
    <w:link w:val="9"/>
    <w:autoRedefine/>
    <w:qFormat/>
    <w:uiPriority w:val="0"/>
    <w:rPr>
      <w:kern w:val="2"/>
      <w:sz w:val="18"/>
      <w:szCs w:val="18"/>
    </w:rPr>
  </w:style>
  <w:style w:type="character" w:customStyle="1" w:styleId="22">
    <w:name w:val="页脚 Char"/>
    <w:basedOn w:val="13"/>
    <w:link w:val="8"/>
    <w:autoRedefine/>
    <w:qFormat/>
    <w:uiPriority w:val="99"/>
    <w:rPr>
      <w:kern w:val="2"/>
      <w:sz w:val="18"/>
      <w:szCs w:val="18"/>
    </w:rPr>
  </w:style>
  <w:style w:type="character" w:customStyle="1" w:styleId="23">
    <w:name w:val="标题 2 Char"/>
    <w:basedOn w:val="13"/>
    <w:link w:val="3"/>
    <w:autoRedefine/>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autoRedefine/>
    <w:qFormat/>
    <w:uiPriority w:val="34"/>
    <w:pPr>
      <w:ind w:firstLine="420" w:firstLineChars="200"/>
    </w:pPr>
    <w:rPr>
      <w:rFonts w:ascii="Calibri" w:hAnsi="Calibri"/>
      <w:szCs w:val="22"/>
    </w:rPr>
  </w:style>
  <w:style w:type="character" w:customStyle="1" w:styleId="25">
    <w:name w:val="标题 1 Char"/>
    <w:basedOn w:val="13"/>
    <w:link w:val="2"/>
    <w:autoRedefine/>
    <w:qFormat/>
    <w:uiPriority w:val="0"/>
    <w:rPr>
      <w:b/>
      <w:bCs/>
      <w:kern w:val="44"/>
      <w:sz w:val="44"/>
      <w:szCs w:val="44"/>
    </w:rPr>
  </w:style>
  <w:style w:type="paragraph" w:customStyle="1" w:styleId="2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autoRedefine/>
    <w:qFormat/>
    <w:uiPriority w:val="34"/>
    <w:pPr>
      <w:ind w:firstLine="420" w:firstLineChars="200"/>
    </w:pPr>
  </w:style>
  <w:style w:type="paragraph" w:customStyle="1" w:styleId="28">
    <w:name w:val="样式3"/>
    <w:basedOn w:val="1"/>
    <w:autoRedefine/>
    <w:qFormat/>
    <w:uiPriority w:val="0"/>
    <w:pPr>
      <w:spacing w:line="0" w:lineRule="atLeast"/>
      <w:outlineLvl w:val="0"/>
    </w:pPr>
    <w:rPr>
      <w:rFonts w:ascii="宋体" w:hAnsi="Courier New"/>
      <w:sz w:val="28"/>
      <w:szCs w:val="24"/>
    </w:rPr>
  </w:style>
  <w:style w:type="paragraph" w:customStyle="1" w:styleId="2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autoRedefine/>
    <w:qFormat/>
    <w:uiPriority w:val="99"/>
    <w:pPr>
      <w:jc w:val="center"/>
      <w:outlineLvl w:val="0"/>
    </w:pPr>
    <w:rPr>
      <w:rFonts w:ascii="宋体" w:hAnsi="宋体"/>
      <w:b/>
      <w:sz w:val="28"/>
      <w:szCs w:val="28"/>
    </w:rPr>
  </w:style>
  <w:style w:type="paragraph" w:customStyle="1" w:styleId="31">
    <w:name w:val="列出段落1"/>
    <w:basedOn w:val="1"/>
    <w:autoRedefine/>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autoRedefine/>
    <w:qFormat/>
    <w:uiPriority w:val="0"/>
    <w:rPr>
      <w:rFonts w:hint="eastAsia" w:ascii="宋体" w:hAnsi="宋体" w:eastAsia="宋体" w:cs="宋体"/>
      <w:color w:val="000000"/>
      <w:sz w:val="18"/>
      <w:szCs w:val="18"/>
      <w:u w:val="none"/>
    </w:rPr>
  </w:style>
  <w:style w:type="paragraph" w:customStyle="1" w:styleId="37">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1024</Words>
  <Characters>5842</Characters>
  <Lines>48</Lines>
  <Paragraphs>13</Paragraphs>
  <TotalTime>0</TotalTime>
  <ScaleCrop>false</ScaleCrop>
  <LinksUpToDate>false</LinksUpToDate>
  <CharactersWithSpaces>6853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2024-05-14T00:27:11Z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A521FBDC2A7E4899A522CA9E47EF1BA4_12</vt:lpwstr>
  </property>
</Properties>
</file>