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4</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719118"/>
      <w:bookmarkStart w:id="5" w:name="_Toc201997946"/>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硬式内镜</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支</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ind w:firstLine="1200" w:firstLineChars="500"/>
              <w:jc w:val="left"/>
              <w:rPr>
                <w:rFonts w:hint="eastAsia"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bCs/>
                <w:color w:val="FF0000"/>
                <w:sz w:val="24"/>
                <w:szCs w:val="24"/>
                <w:lang w:val="en-US" w:eastAsia="zh-CN"/>
              </w:rPr>
            </w:pPr>
            <w:r>
              <w:rPr>
                <w:rFonts w:hint="eastAsia"/>
                <w:color w:val="FF0000"/>
              </w:rPr>
              <w:t>▲</w:t>
            </w:r>
            <w:r>
              <w:rPr>
                <w:rFonts w:hint="eastAsia"/>
              </w:rPr>
              <w:t>1</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sz w:val="24"/>
                <w:szCs w:val="24"/>
                <w:lang w:eastAsia="zh-CN"/>
              </w:rPr>
            </w:pPr>
            <w:r>
              <w:rPr>
                <w:rFonts w:hint="eastAsia" w:ascii="宋体" w:hAnsi="宋体"/>
              </w:rPr>
              <w:t>镜体直径：</w:t>
            </w:r>
            <w:r>
              <w:rPr>
                <w:rFonts w:ascii="Arial" w:hAnsi="Arial" w:cs="Arial"/>
              </w:rPr>
              <w:t>≤</w:t>
            </w:r>
            <w:r>
              <w:rPr>
                <w:rFonts w:hint="eastAsia" w:ascii="宋体" w:hAnsi="宋体"/>
              </w:rPr>
              <w:t>Φ2.7mm；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rPr>
              <w:t>▲</w:t>
            </w: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rPr>
              <w:t>视场角：</w:t>
            </w:r>
            <w:r>
              <w:rPr>
                <w:rFonts w:ascii="Arial" w:hAnsi="Arial" w:cs="Arial"/>
              </w:rPr>
              <w:t>≥</w:t>
            </w:r>
            <w:r>
              <w:rPr>
                <w:rFonts w:hint="eastAsia" w:ascii="宋体" w:hAnsi="宋体"/>
              </w:rPr>
              <w:t>50°；</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sz w:val="24"/>
                <w:szCs w:val="24"/>
              </w:rPr>
            </w:pPr>
            <w:r>
              <w:rPr>
                <w:rFonts w:hint="eastAsia" w:ascii="宋体" w:hAnsi="宋体"/>
              </w:rPr>
              <w:t>视向角：0°；</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rPr>
              <w:t>▲</w:t>
            </w: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color w:val="000000"/>
                <w:kern w:val="2"/>
                <w:sz w:val="24"/>
                <w:szCs w:val="24"/>
                <w:lang w:val="en-US" w:eastAsia="zh-CN" w:bidi="ar-SA"/>
              </w:rPr>
            </w:pPr>
            <w:r>
              <w:rPr>
                <w:rFonts w:hint="eastAsia" w:ascii="宋体" w:hAnsi="宋体"/>
              </w:rPr>
              <w:t>视场中心角分辨力：</w:t>
            </w:r>
            <w:r>
              <w:rPr>
                <w:rFonts w:ascii="Arial" w:hAnsi="Arial" w:cs="Arial"/>
              </w:rPr>
              <w:t>≥</w:t>
            </w:r>
            <w:r>
              <w:rPr>
                <w:rFonts w:hint="eastAsia" w:ascii="宋体" w:hAnsi="宋体"/>
              </w:rPr>
              <w:t>3.00 C/(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center"/>
          </w:tcPr>
          <w:p>
            <w:pPr>
              <w:tabs>
                <w:tab w:val="left" w:pos="7560"/>
              </w:tabs>
              <w:spacing w:line="360" w:lineRule="auto"/>
              <w:jc w:val="left"/>
              <w:rPr>
                <w:rFonts w:hint="eastAsia" w:ascii="宋体" w:hAnsi="宋体" w:eastAsia="宋体" w:cs="宋体"/>
                <w:b/>
                <w:bCs/>
                <w:sz w:val="24"/>
                <w:szCs w:val="24"/>
              </w:rPr>
            </w:pPr>
            <w:r>
              <w:rPr>
                <w:rFonts w:hint="eastAsia" w:ascii="宋体" w:hAnsi="宋体"/>
              </w:rPr>
              <w:t>有效景深范围：</w:t>
            </w:r>
            <w:r>
              <w:rPr>
                <w:rFonts w:ascii="Arial" w:hAnsi="Arial" w:cs="Arial"/>
              </w:rPr>
              <w:t>≥</w:t>
            </w:r>
            <w:r>
              <w:rPr>
                <w:rFonts w:hint="eastAsia" w:ascii="宋体" w:hAnsi="宋体"/>
              </w:rPr>
              <w:t>1～50mm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4"/>
                <w:szCs w:val="24"/>
                <w:lang w:eastAsia="zh-CN"/>
              </w:rPr>
            </w:pPr>
            <w:r>
              <w:rPr>
                <w:rFonts w:hint="eastAsia" w:ascii="宋体" w:hAnsi="宋体"/>
              </w:rPr>
              <w:t>工作长度：</w:t>
            </w:r>
            <w:r>
              <w:rPr>
                <w:rFonts w:ascii="Arial" w:hAnsi="Arial" w:cs="Arial"/>
              </w:rPr>
              <w:t>≥</w:t>
            </w:r>
            <w:r>
              <w:rPr>
                <w:rFonts w:hint="eastAsia" w:ascii="宋体" w:hAnsi="宋体"/>
              </w:rPr>
              <w:t>110mm；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7</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kern w:val="0"/>
                <w:sz w:val="24"/>
                <w:szCs w:val="24"/>
              </w:rPr>
            </w:pPr>
            <w:r>
              <w:rPr>
                <w:rFonts w:hint="eastAsia" w:ascii="宋体" w:hAnsi="宋体"/>
              </w:rPr>
              <w:t>照明镜体光效：</w:t>
            </w:r>
            <w:r>
              <w:rPr>
                <w:rFonts w:ascii="Arial" w:hAnsi="Arial" w:cs="Arial"/>
              </w:rPr>
              <w:t>≥</w:t>
            </w:r>
            <w:r>
              <w:rPr>
                <w:rFonts w:ascii="宋体" w:hAnsi="宋体"/>
              </w:rPr>
              <w:t>ILer</w:t>
            </w:r>
            <w:r>
              <w:rPr>
                <w:rFonts w:hint="eastAsia" w:ascii="宋体" w:hAnsi="宋体"/>
              </w:rPr>
              <w:t>0.57；</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8</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4"/>
                <w:szCs w:val="24"/>
              </w:rPr>
            </w:pPr>
            <w:r>
              <w:rPr>
                <w:rFonts w:hint="eastAsia" w:ascii="宋体" w:hAnsi="宋体"/>
              </w:rPr>
              <w:t>颜色分辨能力：在A标准照明体下的显色指数Ra值</w:t>
            </w:r>
            <w:r>
              <w:rPr>
                <w:rFonts w:ascii="Arial" w:hAnsi="Arial" w:cs="Arial"/>
              </w:rPr>
              <w:t>≥</w:t>
            </w:r>
            <w:r>
              <w:rPr>
                <w:rFonts w:hint="eastAsia" w:ascii="宋体" w:hAnsi="宋体"/>
              </w:rPr>
              <w:t>88，在D65标准照明体下的显色指数Ra值</w:t>
            </w:r>
            <w:r>
              <w:rPr>
                <w:rFonts w:ascii="Arial" w:hAnsi="Arial" w:cs="Arial"/>
              </w:rPr>
              <w:t>≥</w:t>
            </w:r>
            <w:r>
              <w:rPr>
                <w:rFonts w:hint="eastAsia" w:ascii="宋体" w:hAnsi="宋体"/>
              </w:rPr>
              <w:t>88；</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9</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4"/>
                <w:szCs w:val="24"/>
              </w:rPr>
            </w:pPr>
            <w:r>
              <w:rPr>
                <w:rFonts w:hint="eastAsia" w:ascii="宋体" w:hAnsi="宋体"/>
              </w:rPr>
              <w:t>内窥镜镜体采用优质不锈钢材料生产，传像透镜采用柱状透镜加工技术、图像清晰、视场明亮，蓝宝石镜头，永不磨损；</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7286</Words>
  <Characters>7528</Characters>
  <Lines>48</Lines>
  <Paragraphs>13</Paragraphs>
  <TotalTime>2</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2024-04-17T03:14:41Z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