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2</w:t>
            </w:r>
            <w:bookmarkStart w:id="15" w:name="_GoBack"/>
            <w:bookmarkEnd w:id="15"/>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6"/>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2023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4"/>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2861"/>
      <w:bookmarkStart w:id="3" w:name="_Toc201997946"/>
      <w:bookmarkStart w:id="4" w:name="_Toc201719118"/>
      <w:bookmarkStart w:id="5" w:name="_Toc201401658"/>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3"/>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4"/>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pPr>
                    <w:widowControl/>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便携式电子喉镜</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tabs>
                      <w:tab w:val="left" w:pos="487"/>
                    </w:tabs>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19.9万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拒绝进口</w:t>
                  </w:r>
                </w:p>
              </w:tc>
            </w:tr>
          </w:tbl>
          <w:p>
            <w:pPr>
              <w:widowControl/>
              <w:ind w:firstLine="1200" w:firstLineChars="500"/>
              <w:jc w:val="left"/>
              <w:rPr>
                <w:rFonts w:hint="eastAsia" w:ascii="宋体" w:hAnsi="宋体" w:eastAsia="宋体" w:cs="宋体"/>
                <w:color w:val="auto"/>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color w:val="FF0000"/>
                <w:sz w:val="24"/>
                <w:szCs w:val="24"/>
                <w:lang w:val="en-US" w:eastAsia="zh-CN"/>
              </w:rPr>
            </w:pPr>
            <w:r>
              <w:rPr>
                <w:rFonts w:hint="eastAsia"/>
                <w:color w:val="FF0000"/>
                <w:lang w:val="en-US" w:eastAsia="zh-CN"/>
              </w:rPr>
              <w:t>▲</w:t>
            </w:r>
            <w:r>
              <w:rPr>
                <w:rFonts w:hint="eastAsia"/>
                <w:lang w:val="en-US" w:eastAsia="zh-CN"/>
              </w:rPr>
              <w:t>1</w:t>
            </w:r>
          </w:p>
        </w:tc>
        <w:tc>
          <w:tcPr>
            <w:tcW w:w="6648" w:type="dxa"/>
            <w:tcBorders>
              <w:top w:val="single" w:color="auto" w:sz="6" w:space="0"/>
              <w:left w:val="single" w:color="auto" w:sz="6" w:space="0"/>
              <w:bottom w:val="nil"/>
              <w:right w:val="nil"/>
            </w:tcBorders>
            <w:noWrap w:val="0"/>
            <w:vAlign w:val="center"/>
          </w:tcPr>
          <w:p>
            <w:pPr>
              <w:spacing w:line="360" w:lineRule="exact"/>
              <w:jc w:val="both"/>
              <w:rPr>
                <w:rFonts w:hint="eastAsia" w:ascii="宋体" w:hAnsi="宋体" w:eastAsia="宋体" w:cs="宋体"/>
                <w:b/>
                <w:bCs/>
                <w:sz w:val="24"/>
                <w:szCs w:val="24"/>
                <w:lang w:eastAsia="zh-CN"/>
              </w:rPr>
            </w:pPr>
            <w:r>
              <w:rPr>
                <w:rFonts w:hint="eastAsia" w:eastAsia="宋体" w:cs="Times New Roman"/>
                <w:bCs/>
                <w:szCs w:val="21"/>
              </w:rPr>
              <w:t>软管直径≥2.8mm</w:t>
            </w:r>
            <w:r>
              <w:rPr>
                <w:rFonts w:hint="eastAsia" w:eastAsia="宋体" w:cs="Times New Roman"/>
                <w:bCs/>
                <w:szCs w:val="21"/>
                <w:lang w:eastAsia="zh-CN"/>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color w:val="000000"/>
                <w:kern w:val="0"/>
                <w:sz w:val="24"/>
                <w:szCs w:val="24"/>
                <w:lang w:val="en-US" w:eastAsia="zh-CN"/>
              </w:rPr>
              <w:t>2</w:t>
            </w:r>
          </w:p>
        </w:tc>
        <w:tc>
          <w:tcPr>
            <w:tcW w:w="6648" w:type="dxa"/>
            <w:tcBorders>
              <w:top w:val="single" w:color="auto" w:sz="6" w:space="0"/>
              <w:left w:val="single" w:color="auto" w:sz="6" w:space="0"/>
              <w:bottom w:val="nil"/>
              <w:right w:val="nil"/>
            </w:tcBorders>
            <w:noWrap w:val="0"/>
            <w:vAlign w:val="center"/>
          </w:tcPr>
          <w:p>
            <w:pPr>
              <w:spacing w:line="360" w:lineRule="exact"/>
              <w:jc w:val="both"/>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eastAsia="宋体" w:cs="Times New Roman"/>
                <w:bCs/>
                <w:szCs w:val="21"/>
              </w:rPr>
              <w:t>镜管长度≥3</w:t>
            </w:r>
            <w:r>
              <w:rPr>
                <w:rFonts w:hint="eastAsia" w:eastAsia="宋体" w:cs="Times New Roman"/>
                <w:bCs/>
                <w:szCs w:val="21"/>
                <w:lang w:val="en-US" w:eastAsia="zh-CN"/>
              </w:rPr>
              <w:t>00</w:t>
            </w:r>
            <w:r>
              <w:rPr>
                <w:rFonts w:hint="eastAsia" w:eastAsia="宋体" w:cs="Times New Roman"/>
                <w:bCs/>
                <w:szCs w:val="21"/>
              </w:rPr>
              <w:t>mm</w:t>
            </w:r>
            <w:r>
              <w:rPr>
                <w:rFonts w:hint="eastAsia" w:eastAsia="宋体" w:cs="Times New Roman"/>
                <w:bCs/>
                <w:szCs w:val="21"/>
                <w:lang w:eastAsia="zh-CN"/>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color w:val="FF0000"/>
                <w:lang w:val="en-US" w:eastAsia="zh-CN"/>
              </w:rPr>
              <w:t>▲</w:t>
            </w:r>
            <w:r>
              <w:rPr>
                <w:rFonts w:hint="eastAsia" w:ascii="宋体" w:hAnsi="宋体" w:cs="宋体"/>
                <w:color w:val="000000"/>
                <w:kern w:val="0"/>
                <w:sz w:val="24"/>
                <w:szCs w:val="24"/>
                <w:lang w:val="en-US" w:eastAsia="zh-CN"/>
              </w:rPr>
              <w:t>3</w:t>
            </w:r>
          </w:p>
        </w:tc>
        <w:tc>
          <w:tcPr>
            <w:tcW w:w="6648" w:type="dxa"/>
            <w:tcBorders>
              <w:top w:val="single" w:color="auto" w:sz="6" w:space="0"/>
              <w:left w:val="single" w:color="auto" w:sz="6" w:space="0"/>
              <w:bottom w:val="nil"/>
              <w:right w:val="nil"/>
            </w:tcBorders>
            <w:noWrap w:val="0"/>
            <w:vAlign w:val="center"/>
          </w:tcPr>
          <w:p>
            <w:pPr>
              <w:spacing w:line="360" w:lineRule="exact"/>
              <w:jc w:val="both"/>
              <w:rPr>
                <w:rFonts w:hint="eastAsia" w:ascii="宋体" w:hAnsi="宋体" w:eastAsia="宋体" w:cs="宋体"/>
                <w:b w:val="0"/>
                <w:bCs/>
                <w:sz w:val="24"/>
                <w:szCs w:val="24"/>
              </w:rPr>
            </w:pPr>
            <w:r>
              <w:rPr>
                <w:rFonts w:hint="eastAsia" w:eastAsia="宋体" w:cs="Times New Roman"/>
                <w:bCs/>
                <w:szCs w:val="21"/>
                <w:lang w:val="en-US" w:eastAsia="zh-CN"/>
              </w:rPr>
              <w:t>前端蛇骨弯曲角度：双向≥310°向上≥180°，向下≥130°；</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6648" w:type="dxa"/>
            <w:tcBorders>
              <w:top w:val="single" w:color="auto" w:sz="6" w:space="0"/>
              <w:left w:val="single" w:color="auto" w:sz="6" w:space="0"/>
              <w:bottom w:val="nil"/>
              <w:right w:val="nil"/>
            </w:tcBorders>
            <w:noWrap w:val="0"/>
            <w:vAlign w:val="center"/>
          </w:tcPr>
          <w:p>
            <w:pPr>
              <w:spacing w:line="360" w:lineRule="exact"/>
              <w:jc w:val="both"/>
              <w:rPr>
                <w:rFonts w:hint="eastAsia" w:ascii="宋体" w:hAnsi="宋体" w:eastAsia="宋体" w:cs="宋体"/>
                <w:b w:val="0"/>
                <w:bCs/>
                <w:color w:val="000000"/>
                <w:kern w:val="2"/>
                <w:sz w:val="24"/>
                <w:szCs w:val="24"/>
                <w:lang w:val="en-US" w:eastAsia="zh-CN" w:bidi="ar-SA"/>
              </w:rPr>
            </w:pPr>
            <w:r>
              <w:rPr>
                <w:rFonts w:hint="eastAsia" w:eastAsia="宋体" w:cs="Times New Roman"/>
                <w:bCs/>
                <w:szCs w:val="21"/>
              </w:rPr>
              <w:t>内置的全密封防水设计高功率LED光源，光照度≥700Lux</w:t>
            </w:r>
            <w:r>
              <w:rPr>
                <w:rFonts w:hint="eastAsia" w:eastAsia="宋体" w:cs="Times New Roman"/>
                <w:bCs/>
                <w:szCs w:val="21"/>
                <w:lang w:eastAsia="zh-CN"/>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sz w:val="24"/>
                <w:szCs w:val="24"/>
                <w:lang w:val="en-US" w:eastAsia="zh-CN"/>
              </w:rPr>
            </w:pPr>
            <w:r>
              <w:rPr>
                <w:rFonts w:hint="eastAsia"/>
                <w:color w:val="FF0000"/>
                <w:lang w:val="en-US" w:eastAsia="zh-CN"/>
              </w:rPr>
              <w:t>▲</w:t>
            </w:r>
            <w:r>
              <w:rPr>
                <w:rFonts w:hint="eastAsia" w:ascii="宋体" w:hAnsi="宋体" w:cs="宋体"/>
                <w:color w:val="000000"/>
                <w:kern w:val="0"/>
                <w:sz w:val="24"/>
                <w:szCs w:val="24"/>
                <w:lang w:val="en-US" w:eastAsia="zh-CN"/>
              </w:rPr>
              <w:t>5</w:t>
            </w:r>
          </w:p>
        </w:tc>
        <w:tc>
          <w:tcPr>
            <w:tcW w:w="6648" w:type="dxa"/>
            <w:tcBorders>
              <w:top w:val="single" w:color="auto" w:sz="6" w:space="0"/>
              <w:left w:val="single" w:color="auto" w:sz="6" w:space="0"/>
              <w:bottom w:val="nil"/>
              <w:right w:val="nil"/>
            </w:tcBorders>
            <w:noWrap w:val="0"/>
            <w:vAlign w:val="center"/>
          </w:tcPr>
          <w:p>
            <w:pPr>
              <w:spacing w:line="360" w:lineRule="exact"/>
              <w:jc w:val="both"/>
              <w:rPr>
                <w:rFonts w:hint="eastAsia" w:ascii="宋体" w:hAnsi="宋体" w:eastAsia="宋体" w:cs="宋体"/>
                <w:b/>
                <w:bCs/>
                <w:sz w:val="24"/>
                <w:szCs w:val="24"/>
              </w:rPr>
            </w:pPr>
            <w:r>
              <w:rPr>
                <w:rFonts w:hint="eastAsia" w:eastAsia="宋体" w:cs="Times New Roman"/>
                <w:bCs/>
                <w:szCs w:val="21"/>
              </w:rPr>
              <w:t>景深：3-100mm（固定焦距）</w:t>
            </w:r>
            <w:r>
              <w:rPr>
                <w:rFonts w:hint="eastAsia" w:eastAsia="宋体" w:cs="Times New Roman"/>
                <w:bCs/>
                <w:szCs w:val="21"/>
                <w:lang w:eastAsia="zh-CN"/>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c>
          <w:tcPr>
            <w:tcW w:w="6648" w:type="dxa"/>
            <w:tcBorders>
              <w:top w:val="single" w:color="auto" w:sz="6" w:space="0"/>
              <w:left w:val="single" w:color="auto" w:sz="6" w:space="0"/>
              <w:bottom w:val="nil"/>
              <w:right w:val="nil"/>
            </w:tcBorders>
            <w:noWrap w:val="0"/>
            <w:vAlign w:val="center"/>
          </w:tcPr>
          <w:p>
            <w:pPr>
              <w:spacing w:line="360" w:lineRule="exact"/>
              <w:jc w:val="both"/>
              <w:rPr>
                <w:rFonts w:hint="eastAsia" w:ascii="宋体" w:hAnsi="宋体" w:eastAsia="宋体" w:cs="宋体"/>
                <w:sz w:val="24"/>
                <w:szCs w:val="24"/>
                <w:lang w:eastAsia="zh-CN"/>
              </w:rPr>
            </w:pPr>
            <w:r>
              <w:rPr>
                <w:rFonts w:hint="eastAsia" w:eastAsia="宋体" w:cs="Times New Roman"/>
                <w:bCs/>
                <w:szCs w:val="21"/>
              </w:rPr>
              <w:t>采用高分辨率摄像头，预设白平衡功能省去调节步骤，确保显示效果一致性</w:t>
            </w:r>
            <w:r>
              <w:rPr>
                <w:rFonts w:hint="eastAsia" w:eastAsia="宋体" w:cs="Times New Roman"/>
                <w:bCs/>
                <w:szCs w:val="21"/>
                <w:lang w:eastAsia="zh-CN"/>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w:t>
            </w:r>
          </w:p>
        </w:tc>
        <w:tc>
          <w:tcPr>
            <w:tcW w:w="6648" w:type="dxa"/>
            <w:tcBorders>
              <w:top w:val="single" w:color="auto" w:sz="6" w:space="0"/>
              <w:left w:val="single" w:color="auto" w:sz="6" w:space="0"/>
              <w:bottom w:val="nil"/>
              <w:right w:val="nil"/>
            </w:tcBorders>
            <w:noWrap w:val="0"/>
            <w:vAlign w:val="center"/>
          </w:tcPr>
          <w:p>
            <w:pPr>
              <w:spacing w:line="360" w:lineRule="exact"/>
              <w:jc w:val="both"/>
              <w:rPr>
                <w:rFonts w:hint="eastAsia" w:ascii="宋体" w:hAnsi="宋体" w:eastAsia="宋体" w:cs="宋体"/>
                <w:kern w:val="0"/>
                <w:sz w:val="24"/>
                <w:szCs w:val="24"/>
              </w:rPr>
            </w:pPr>
            <w:r>
              <w:rPr>
                <w:rFonts w:hint="eastAsia" w:eastAsia="宋体" w:cs="Times New Roman"/>
                <w:bCs/>
                <w:szCs w:val="21"/>
              </w:rPr>
              <w:t>镜体手柄为医用高分子材料材质,轻盈更耐腐蚀，插入部前端为非金属医用高分子材质，减少气道刺激，镜体可浸泡消毒</w:t>
            </w:r>
            <w:r>
              <w:rPr>
                <w:rFonts w:hint="eastAsia" w:eastAsia="宋体" w:cs="Times New Roman"/>
                <w:bCs/>
                <w:szCs w:val="21"/>
                <w:lang w:eastAsia="zh-CN"/>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c>
          <w:tcPr>
            <w:tcW w:w="6648" w:type="dxa"/>
            <w:tcBorders>
              <w:top w:val="single" w:color="auto" w:sz="6" w:space="0"/>
              <w:left w:val="single" w:color="auto" w:sz="6" w:space="0"/>
              <w:bottom w:val="nil"/>
              <w:right w:val="nil"/>
            </w:tcBorders>
            <w:noWrap w:val="0"/>
            <w:vAlign w:val="center"/>
          </w:tcPr>
          <w:p>
            <w:pPr>
              <w:spacing w:line="360" w:lineRule="exact"/>
              <w:jc w:val="both"/>
              <w:rPr>
                <w:rFonts w:hint="eastAsia" w:ascii="宋体" w:hAnsi="宋体" w:eastAsia="宋体" w:cs="宋体"/>
                <w:sz w:val="24"/>
                <w:szCs w:val="24"/>
              </w:rPr>
            </w:pPr>
            <w:r>
              <w:rPr>
                <w:rFonts w:hint="eastAsia" w:eastAsia="宋体" w:cs="Times New Roman"/>
                <w:bCs/>
                <w:szCs w:val="21"/>
                <w:lang w:val="en-US" w:eastAsia="zh-CN"/>
              </w:rPr>
              <w:t>视场角：≥90°±15%，保证清晰图像和视场及最小的图像畸变；</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bidi="ar-SA"/>
              </w:rPr>
              <w:t>9</w:t>
            </w:r>
          </w:p>
        </w:tc>
        <w:tc>
          <w:tcPr>
            <w:tcW w:w="6648" w:type="dxa"/>
            <w:tcBorders>
              <w:top w:val="single" w:color="auto" w:sz="6" w:space="0"/>
              <w:left w:val="single" w:color="auto" w:sz="6" w:space="0"/>
              <w:bottom w:val="nil"/>
              <w:right w:val="nil"/>
            </w:tcBorders>
            <w:noWrap w:val="0"/>
            <w:vAlign w:val="center"/>
          </w:tcPr>
          <w:p>
            <w:pPr>
              <w:spacing w:line="360" w:lineRule="exact"/>
              <w:jc w:val="both"/>
              <w:rPr>
                <w:rFonts w:hint="eastAsia" w:ascii="宋体" w:hAnsi="宋体" w:eastAsia="宋体" w:cs="宋体"/>
                <w:sz w:val="24"/>
                <w:szCs w:val="24"/>
              </w:rPr>
            </w:pPr>
            <w:r>
              <w:rPr>
                <w:rFonts w:hint="eastAsia" w:eastAsia="宋体" w:cs="Times New Roman"/>
                <w:bCs/>
                <w:szCs w:val="21"/>
              </w:rPr>
              <w:t>显示屏≥</w:t>
            </w:r>
            <w:r>
              <w:rPr>
                <w:rFonts w:hint="eastAsia" w:eastAsia="宋体" w:cs="Times New Roman"/>
                <w:bCs/>
                <w:szCs w:val="21"/>
                <w:lang w:val="en-US" w:eastAsia="zh-CN"/>
              </w:rPr>
              <w:t>8</w:t>
            </w:r>
            <w:r>
              <w:rPr>
                <w:rFonts w:hint="eastAsia" w:eastAsia="宋体" w:cs="Times New Roman"/>
                <w:bCs/>
                <w:szCs w:val="21"/>
              </w:rPr>
              <w:t>.0″TFT</w:t>
            </w:r>
            <w:r>
              <w:rPr>
                <w:rFonts w:hint="eastAsia" w:eastAsia="宋体" w:cs="Times New Roman"/>
                <w:bCs/>
                <w:szCs w:val="21"/>
                <w:lang w:eastAsia="zh-CN"/>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color w:val="FF0000"/>
                <w:lang w:val="en-US" w:eastAsia="zh-CN"/>
              </w:rPr>
              <w:t>▲10</w:t>
            </w:r>
          </w:p>
        </w:tc>
        <w:tc>
          <w:tcPr>
            <w:tcW w:w="6648" w:type="dxa"/>
            <w:tcBorders>
              <w:top w:val="single" w:color="auto" w:sz="6" w:space="0"/>
              <w:left w:val="single" w:color="auto" w:sz="6" w:space="0"/>
              <w:bottom w:val="nil"/>
              <w:right w:val="nil"/>
            </w:tcBorders>
            <w:noWrap w:val="0"/>
            <w:vAlign w:val="center"/>
          </w:tcPr>
          <w:p>
            <w:pPr>
              <w:spacing w:line="360" w:lineRule="exact"/>
              <w:jc w:val="both"/>
              <w:rPr>
                <w:rFonts w:hint="eastAsia" w:ascii="宋体" w:hAnsi="宋体" w:eastAsia="宋体" w:cs="宋体"/>
                <w:sz w:val="24"/>
                <w:szCs w:val="24"/>
              </w:rPr>
            </w:pPr>
            <w:r>
              <w:rPr>
                <w:rFonts w:hint="eastAsia" w:eastAsia="宋体" w:cs="Times New Roman"/>
                <w:bCs/>
                <w:szCs w:val="21"/>
              </w:rPr>
              <w:t>显示器能上下 0~180°转动，左右 0°~180°转动</w:t>
            </w:r>
            <w:r>
              <w:rPr>
                <w:rFonts w:hint="eastAsia" w:eastAsia="宋体" w:cs="Times New Roman"/>
                <w:bCs/>
                <w:szCs w:val="21"/>
                <w:lang w:eastAsia="zh-CN"/>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11</w:t>
            </w:r>
          </w:p>
        </w:tc>
        <w:tc>
          <w:tcPr>
            <w:tcW w:w="6648" w:type="dxa"/>
            <w:tcBorders>
              <w:top w:val="single" w:color="auto" w:sz="6" w:space="0"/>
              <w:left w:val="single" w:color="auto" w:sz="6" w:space="0"/>
              <w:bottom w:val="nil"/>
              <w:right w:val="nil"/>
            </w:tcBorders>
            <w:noWrap w:val="0"/>
            <w:vAlign w:val="center"/>
          </w:tcPr>
          <w:p>
            <w:pPr>
              <w:spacing w:line="360" w:lineRule="exact"/>
              <w:jc w:val="both"/>
              <w:rPr>
                <w:rFonts w:hint="eastAsia" w:ascii="宋体" w:hAnsi="宋体" w:eastAsia="宋体" w:cs="宋体"/>
                <w:sz w:val="24"/>
                <w:szCs w:val="24"/>
              </w:rPr>
            </w:pPr>
            <w:r>
              <w:rPr>
                <w:rFonts w:hint="eastAsia" w:eastAsia="宋体" w:cs="Times New Roman"/>
                <w:bCs/>
                <w:szCs w:val="21"/>
              </w:rPr>
              <w:t>液晶屏像素</w:t>
            </w:r>
            <w:r>
              <w:rPr>
                <w:rFonts w:hint="default" w:eastAsia="宋体" w:cs="Times New Roman"/>
                <w:bCs/>
                <w:szCs w:val="21"/>
              </w:rPr>
              <w:t>≥1024*768</w:t>
            </w:r>
            <w:r>
              <w:rPr>
                <w:rFonts w:hint="eastAsia" w:eastAsia="宋体" w:cs="Times New Roman"/>
                <w:bCs/>
                <w:szCs w:val="21"/>
                <w:lang w:eastAsia="zh-CN"/>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sz w:val="24"/>
                <w:szCs w:val="24"/>
                <w:lang w:val="en-US" w:eastAsia="zh-CN"/>
              </w:rPr>
            </w:pPr>
            <w:r>
              <w:rPr>
                <w:rFonts w:hint="eastAsia" w:ascii="宋体" w:hAnsi="宋体" w:cs="宋体"/>
                <w:color w:val="000000"/>
                <w:kern w:val="0"/>
                <w:sz w:val="24"/>
                <w:szCs w:val="24"/>
                <w:lang w:val="en-US" w:eastAsia="zh-CN"/>
              </w:rPr>
              <w:t>12</w:t>
            </w:r>
          </w:p>
        </w:tc>
        <w:tc>
          <w:tcPr>
            <w:tcW w:w="6648" w:type="dxa"/>
            <w:tcBorders>
              <w:top w:val="single" w:color="auto" w:sz="6" w:space="0"/>
              <w:left w:val="single" w:color="auto" w:sz="6" w:space="0"/>
              <w:bottom w:val="nil"/>
              <w:right w:val="nil"/>
            </w:tcBorders>
            <w:noWrap w:val="0"/>
            <w:vAlign w:val="center"/>
          </w:tcPr>
          <w:p>
            <w:pPr>
              <w:spacing w:line="360" w:lineRule="exact"/>
              <w:jc w:val="both"/>
              <w:rPr>
                <w:rFonts w:hint="eastAsia" w:ascii="宋体" w:hAnsi="宋体" w:eastAsia="宋体" w:cs="宋体"/>
                <w:b/>
                <w:bCs/>
                <w:sz w:val="24"/>
                <w:szCs w:val="24"/>
              </w:rPr>
            </w:pPr>
            <w:r>
              <w:rPr>
                <w:rFonts w:hint="eastAsia" w:eastAsia="宋体" w:cs="Times New Roman"/>
                <w:bCs/>
                <w:szCs w:val="21"/>
              </w:rPr>
              <w:t>记忆功能：可拍照、录像</w:t>
            </w:r>
            <w:r>
              <w:rPr>
                <w:rFonts w:hint="eastAsia" w:eastAsia="宋体" w:cs="Times New Roman"/>
                <w:bCs/>
                <w:szCs w:val="21"/>
                <w:lang w:val="en-US" w:eastAsia="zh-CN"/>
              </w:rPr>
              <w:t>、</w:t>
            </w:r>
            <w:r>
              <w:rPr>
                <w:rFonts w:hint="eastAsia" w:eastAsia="宋体" w:cs="Times New Roman"/>
                <w:bCs/>
                <w:szCs w:val="21"/>
              </w:rPr>
              <w:t>数据存储</w:t>
            </w:r>
            <w:r>
              <w:rPr>
                <w:rFonts w:hint="eastAsia" w:eastAsia="宋体" w:cs="Times New Roman"/>
                <w:bCs/>
                <w:szCs w:val="21"/>
                <w:lang w:eastAsia="zh-CN"/>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color w:val="FF0000"/>
                <w:lang w:val="en-US" w:eastAsia="zh-CN"/>
              </w:rPr>
              <w:t>▲</w:t>
            </w:r>
            <w:r>
              <w:rPr>
                <w:rFonts w:hint="eastAsia" w:ascii="宋体" w:hAnsi="宋体" w:eastAsia="宋体" w:cs="宋体"/>
                <w:color w:val="000000"/>
                <w:kern w:val="0"/>
                <w:sz w:val="24"/>
                <w:szCs w:val="24"/>
                <w:lang w:val="en-US" w:eastAsia="zh-CN"/>
              </w:rPr>
              <w:t>13</w:t>
            </w:r>
          </w:p>
        </w:tc>
        <w:tc>
          <w:tcPr>
            <w:tcW w:w="6648" w:type="dxa"/>
            <w:tcBorders>
              <w:top w:val="single" w:color="auto" w:sz="6" w:space="0"/>
              <w:left w:val="single" w:color="auto" w:sz="6" w:space="0"/>
              <w:bottom w:val="nil"/>
              <w:right w:val="nil"/>
            </w:tcBorders>
            <w:noWrap w:val="0"/>
            <w:vAlign w:val="center"/>
          </w:tcPr>
          <w:p>
            <w:pPr>
              <w:spacing w:line="360" w:lineRule="exact"/>
              <w:jc w:val="both"/>
              <w:rPr>
                <w:rFonts w:hint="eastAsia" w:ascii="宋体" w:hAnsi="宋体" w:eastAsia="宋体" w:cs="宋体"/>
                <w:sz w:val="24"/>
                <w:szCs w:val="24"/>
              </w:rPr>
            </w:pPr>
            <w:r>
              <w:rPr>
                <w:rFonts w:hint="eastAsia" w:eastAsia="宋体" w:cs="Times New Roman"/>
                <w:bCs/>
                <w:szCs w:val="21"/>
              </w:rPr>
              <w:t>具备拍照录像、数据存储功能，显示屏内置32GTF卡（不可插拔，减少固件损伤），可存储照片数量≥30万张，可存储录像时长≥16小时</w:t>
            </w:r>
            <w:r>
              <w:rPr>
                <w:rFonts w:hint="eastAsia" w:eastAsia="宋体" w:cs="Times New Roman"/>
                <w:bCs/>
                <w:szCs w:val="21"/>
                <w:lang w:eastAsia="zh-CN"/>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14</w:t>
            </w:r>
          </w:p>
        </w:tc>
        <w:tc>
          <w:tcPr>
            <w:tcW w:w="6648" w:type="dxa"/>
            <w:tcBorders>
              <w:top w:val="single" w:color="auto" w:sz="6" w:space="0"/>
              <w:left w:val="single" w:color="auto" w:sz="6" w:space="0"/>
              <w:bottom w:val="nil"/>
              <w:right w:val="nil"/>
            </w:tcBorders>
            <w:noWrap w:val="0"/>
            <w:vAlign w:val="center"/>
          </w:tcPr>
          <w:p>
            <w:pPr>
              <w:spacing w:line="360" w:lineRule="exact"/>
              <w:jc w:val="both"/>
              <w:rPr>
                <w:rFonts w:hint="eastAsia" w:ascii="宋体" w:hAnsi="宋体" w:eastAsia="宋体" w:cs="宋体"/>
                <w:sz w:val="24"/>
                <w:szCs w:val="24"/>
              </w:rPr>
            </w:pPr>
            <w:r>
              <w:rPr>
                <w:rFonts w:hint="eastAsia" w:eastAsia="宋体" w:cs="Times New Roman"/>
                <w:bCs/>
                <w:szCs w:val="21"/>
              </w:rPr>
              <w:t>内置可充电式锂电子聚合物电池，不可插拔，减少固件损伤, 电池容量≥2200mAH</w:t>
            </w:r>
            <w:r>
              <w:rPr>
                <w:rFonts w:hint="eastAsia" w:eastAsia="宋体" w:cs="Times New Roman"/>
                <w:bCs/>
                <w:szCs w:val="21"/>
                <w:lang w:eastAsia="zh-CN"/>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6648" w:type="dxa"/>
            <w:tcBorders>
              <w:top w:val="single" w:color="auto" w:sz="6" w:space="0"/>
              <w:left w:val="single" w:color="auto" w:sz="6" w:space="0"/>
              <w:bottom w:val="nil"/>
              <w:right w:val="nil"/>
            </w:tcBorders>
            <w:noWrap w:val="0"/>
            <w:vAlign w:val="center"/>
          </w:tcPr>
          <w:p>
            <w:pPr>
              <w:spacing w:line="360" w:lineRule="exact"/>
              <w:jc w:val="both"/>
              <w:rPr>
                <w:rFonts w:hint="eastAsia" w:ascii="Times New Roman" w:hAnsi="Times New Roman" w:eastAsia="宋体" w:cs="Times New Roman"/>
                <w:lang w:val="en-US" w:eastAsia="zh-CN"/>
              </w:rPr>
            </w:pPr>
            <w:r>
              <w:rPr>
                <w:rFonts w:hint="eastAsia" w:eastAsia="宋体" w:cs="Times New Roman"/>
                <w:bCs/>
                <w:szCs w:val="21"/>
              </w:rPr>
              <w:t>使用年限≥6年，由厂家负责售后服务</w:t>
            </w:r>
            <w:r>
              <w:rPr>
                <w:rFonts w:hint="eastAsia" w:eastAsia="宋体" w:cs="Times New Roman"/>
                <w:bCs/>
                <w:szCs w:val="21"/>
                <w:lang w:eastAsia="zh-CN"/>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陆</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4"/>
        <w:spacing w:line="300" w:lineRule="auto"/>
        <w:jc w:val="center"/>
        <w:rPr>
          <w:rFonts w:asciiTheme="minorEastAsia" w:hAnsiTheme="minorEastAsia" w:eastAsiaTheme="minorEastAsia"/>
          <w:szCs w:val="24"/>
        </w:rPr>
      </w:pPr>
      <w:bookmarkStart w:id="12" w:name="_Toc201743194"/>
      <w:bookmarkStart w:id="13" w:name="_Toc313109540"/>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174781"/>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BE545CB"/>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8752B19"/>
    <w:rsid w:val="2876124D"/>
    <w:rsid w:val="28AA01F1"/>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9D719A7"/>
    <w:rsid w:val="6A3A745F"/>
    <w:rsid w:val="6A5326E7"/>
    <w:rsid w:val="6A7800D0"/>
    <w:rsid w:val="6A9476A7"/>
    <w:rsid w:val="6ABF53AC"/>
    <w:rsid w:val="6B740773"/>
    <w:rsid w:val="6BA96793"/>
    <w:rsid w:val="6BE47E9D"/>
    <w:rsid w:val="6C2D715B"/>
    <w:rsid w:val="6C396224"/>
    <w:rsid w:val="6CCC2F03"/>
    <w:rsid w:val="6D7C1A08"/>
    <w:rsid w:val="6D7E3DB9"/>
    <w:rsid w:val="6E394EAE"/>
    <w:rsid w:val="6EBC525F"/>
    <w:rsid w:val="6EED19D9"/>
    <w:rsid w:val="6EEE2197"/>
    <w:rsid w:val="6EEF7E4F"/>
    <w:rsid w:val="6F182E8D"/>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style>
  <w:style w:type="paragraph" w:styleId="6">
    <w:name w:val="Body Text"/>
    <w:basedOn w:val="1"/>
    <w:autoRedefine/>
    <w:qFormat/>
    <w:uiPriority w:val="0"/>
    <w:pPr>
      <w:jc w:val="center"/>
    </w:pPr>
    <w:rPr>
      <w:rFonts w:ascii="宋体" w:hAnsi="宋体"/>
      <w:color w:val="FF0000"/>
      <w:szCs w:val="24"/>
    </w:r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4"/>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2"/>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7286</Words>
  <Characters>7528</Characters>
  <Lines>48</Lines>
  <Paragraphs>13</Paragraphs>
  <TotalTime>4</TotalTime>
  <ScaleCrop>false</ScaleCrop>
  <LinksUpToDate>false</LinksUpToDate>
  <CharactersWithSpaces>8271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2017-09-05T08:05:00Z</cp:lastPrinted>
  <dcterms:modified xsi:type="dcterms:W3CDTF">2024-04-17T03:20:24Z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2A5DC0B52E264BDCA9D5C391384BACA0</vt:lpwstr>
  </property>
</Properties>
</file>