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jc w:val="center"/>
        <w:rPr>
          <w:rFonts w:ascii="方正小标宋简体" w:eastAsia="方正小标宋简体"/>
        </w:rPr>
      </w:pPr>
      <w:r>
        <w:rPr>
          <w:rFonts w:hint="eastAsia" w:ascii="黑体" w:hAnsi="黑体" w:eastAsia="黑体" w:cs="黑体"/>
          <w:sz w:val="44"/>
          <w:szCs w:val="44"/>
        </w:rPr>
        <w:t>深圳市儿童医院设备采购需求参数表</w:t>
      </w:r>
    </w:p>
    <w:tbl>
      <w:tblPr>
        <w:tblStyle w:val="10"/>
        <w:tblW w:w="9654" w:type="dxa"/>
        <w:jc w:val="center"/>
        <w:tblLayout w:type="autofit"/>
        <w:tblCellMar>
          <w:top w:w="0" w:type="dxa"/>
          <w:left w:w="108" w:type="dxa"/>
          <w:bottom w:w="0" w:type="dxa"/>
          <w:right w:w="108" w:type="dxa"/>
        </w:tblCellMar>
      </w:tblPr>
      <w:tblGrid>
        <w:gridCol w:w="660"/>
        <w:gridCol w:w="1190"/>
        <w:gridCol w:w="7804"/>
      </w:tblGrid>
      <w:tr>
        <w:tblPrEx>
          <w:tblCellMar>
            <w:top w:w="0" w:type="dxa"/>
            <w:left w:w="108" w:type="dxa"/>
            <w:bottom w:w="0" w:type="dxa"/>
            <w:right w:w="108" w:type="dxa"/>
          </w:tblCellMar>
        </w:tblPrEx>
        <w:trPr>
          <w:trHeight w:val="556" w:hRule="atLeast"/>
          <w:jc w:val="center"/>
        </w:trPr>
        <w:tc>
          <w:tcPr>
            <w:tcW w:w="66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序号</w:t>
            </w:r>
          </w:p>
        </w:tc>
        <w:tc>
          <w:tcPr>
            <w:tcW w:w="1190" w:type="dxa"/>
            <w:tcBorders>
              <w:top w:val="single" w:color="3F3F3F" w:sz="4" w:space="0"/>
              <w:left w:val="single" w:color="auto" w:sz="4" w:space="0"/>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804" w:type="dxa"/>
            <w:tcBorders>
              <w:top w:val="single" w:color="3F3F3F" w:sz="4" w:space="0"/>
              <w:left w:val="nil"/>
              <w:bottom w:val="single" w:color="auto" w:sz="4" w:space="0"/>
              <w:right w:val="single" w:color="3F3F3F" w:sz="4" w:space="0"/>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CellMar>
            <w:top w:w="0" w:type="dxa"/>
            <w:left w:w="108" w:type="dxa"/>
            <w:bottom w:w="0" w:type="dxa"/>
            <w:right w:w="108" w:type="dxa"/>
          </w:tblCellMar>
        </w:tblPrEx>
        <w:trPr>
          <w:trHeight w:val="8022" w:hRule="atLeast"/>
          <w:jc w:val="center"/>
        </w:trPr>
        <w:tc>
          <w:tcPr>
            <w:tcW w:w="660" w:type="dxa"/>
            <w:tcBorders>
              <w:top w:val="single" w:color="auto" w:sz="4" w:space="0"/>
              <w:left w:val="single" w:color="auto" w:sz="4" w:space="0"/>
              <w:bottom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rPr>
            </w:pPr>
            <w:r>
              <w:rPr>
                <w:rFonts w:hint="default" w:ascii="Times New Roman" w:hAnsi="Times New Roman" w:cs="Times New Roman"/>
                <w:b/>
                <w:bCs/>
                <w:color w:val="3F3F3F"/>
                <w:kern w:val="0"/>
                <w:sz w:val="22"/>
                <w:lang w:val="en-US" w:eastAsia="zh-CN"/>
              </w:rPr>
              <w:t>1</w:t>
            </w:r>
          </w:p>
        </w:tc>
        <w:tc>
          <w:tcPr>
            <w:tcW w:w="1190" w:type="dxa"/>
            <w:tcBorders>
              <w:top w:val="single" w:color="auto" w:sz="4" w:space="0"/>
              <w:left w:val="single" w:color="3F3F3F" w:sz="4" w:space="0"/>
              <w:bottom w:val="single" w:color="auto" w:sz="4" w:space="0"/>
              <w:right w:val="single" w:color="3F3F3F" w:sz="4" w:space="0"/>
            </w:tcBorders>
            <w:shd w:val="clear" w:color="000000" w:fill="FFFFFF"/>
            <w:vAlign w:val="center"/>
          </w:tcPr>
          <w:p>
            <w:pPr>
              <w:widowControl/>
              <w:jc w:val="center"/>
              <w:rPr>
                <w:rFonts w:hint="default" w:ascii="Times New Roman" w:hAnsi="Times New Roman" w:cs="Times New Roman"/>
                <w:b/>
                <w:bCs/>
                <w:color w:val="3F3F3F"/>
                <w:kern w:val="0"/>
                <w:sz w:val="22"/>
              </w:rPr>
            </w:pPr>
            <w:r>
              <w:rPr>
                <w:rFonts w:hint="default" w:ascii="Times New Roman" w:hAnsi="Times New Roman" w:cs="Times New Roman"/>
                <w:b/>
                <w:bCs/>
                <w:color w:val="3F3F3F"/>
                <w:kern w:val="0"/>
                <w:sz w:val="22"/>
              </w:rPr>
              <w:t>病床清洗消毒烘干机</w:t>
            </w:r>
          </w:p>
        </w:tc>
        <w:tc>
          <w:tcPr>
            <w:tcW w:w="7804" w:type="dxa"/>
            <w:tcBorders>
              <w:top w:val="single" w:color="auto" w:sz="4" w:space="0"/>
              <w:left w:val="nil"/>
              <w:bottom w:val="single" w:color="auto" w:sz="4" w:space="0"/>
              <w:right w:val="single" w:color="auto" w:sz="4" w:space="0"/>
            </w:tcBorders>
            <w:shd w:val="clear" w:color="000000" w:fill="FFFFFF"/>
          </w:tcPr>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bCs/>
                <w:color w:val="000000" w:themeColor="text1"/>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1.▲清洗舱容积：≥6000升，内室尺寸（长×宽×高 mm）：（2100*1400*2100）mm±50mm，外形尺寸（长×宽×高 mm）：（2500*2800*2500）mm±100mm。（提供产品彩页及技术白皮书佐证）</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bCs/>
                <w:color w:val="000000" w:themeColor="text1"/>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2.清洗舱结构：整体由顶板,底板及侧板等平板拼接而成，各平板间采用螺纹连接，非焊接方式固定，清洗舱外部贴有双层性能优良的绝缘隔热材料（提供清洗舱内部结构实物图片）。</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bCs/>
                <w:color w:val="000000" w:themeColor="text1"/>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3.材质要求：舱体≥2mm厚304L不锈钢拉丝板，清洗架：316L不锈钢，外装采用304不锈钢拉丝板。</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bCs/>
                <w:color w:val="000000" w:themeColor="text1"/>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4.门设计要求：开门方式为左右平移门； 双门通道型、双门可实现互锁：门玻璃采用夹层钢化防爆玻璃结构；隔音隔热；门采用压门杆结构的门密封装置，主动压紧方式；密封门自锁设计：密封门未关闭，程序无法启动，程序运行结束后，才能开启密封门；密封门在关闭过程中，遇到障碍，能够自动返回，避免挤伤操作员或损坏设备和器械；自动门槛：开门后，门槛自动移动填补密封门留下的空隙，实现带轮手推车无障碍进入内室，方便操作。</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5.快速管路设计：快速预热水箱设计，双水箱设计。</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6.▲喷淋方式：多排可自动左右摆动的喷头＞95个，分布于内壁两侧，全方位喷淋，覆盖清洗死角。（提供深圳市医院用户舱体内所有</w:t>
            </w:r>
            <w:r>
              <w:rPr>
                <w:rFonts w:hint="default" w:ascii="Times New Roman" w:hAnsi="Times New Roman" w:eastAsia="宋体" w:cs="Times New Roman"/>
                <w:color w:val="000000" w:themeColor="text1"/>
                <w:kern w:val="0"/>
                <w:sz w:val="22"/>
                <w:szCs w:val="22"/>
                <w14:textFill>
                  <w14:solidFill>
                    <w14:schemeClr w14:val="tx1"/>
                  </w14:solidFill>
                </w14:textFill>
              </w:rPr>
              <w:t>喷淋头的</w:t>
            </w:r>
            <w:r>
              <w:rPr>
                <w:rFonts w:hint="default" w:ascii="Times New Roman" w:hAnsi="Times New Roman" w:eastAsia="宋体" w:cs="Times New Roman"/>
                <w:bCs/>
                <w:color w:val="000000" w:themeColor="text1"/>
                <w:sz w:val="22"/>
                <w:szCs w:val="22"/>
                <w14:textFill>
                  <w14:solidFill>
                    <w14:schemeClr w14:val="tx1"/>
                  </w14:solidFill>
                </w14:textFill>
              </w:rPr>
              <w:t>实物图片，并注明用户名称）</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7.干燥系统：风机供风，汽电双级加热系统。（提供汽电双级加热系统实物照片）；</w:t>
            </w:r>
            <w:r>
              <w:rPr>
                <w:rFonts w:hint="default" w:ascii="Times New Roman" w:hAnsi="Times New Roman" w:eastAsia="宋体" w:cs="Times New Roman"/>
                <w:color w:val="000000" w:themeColor="text1"/>
                <w:sz w:val="22"/>
                <w:szCs w:val="22"/>
                <w14:textFill>
                  <w14:solidFill>
                    <w14:schemeClr w14:val="tx1"/>
                  </w14:solidFill>
                </w14:textFill>
              </w:rPr>
              <w:t>清洗舱</w:t>
            </w:r>
            <w:r>
              <w:rPr>
                <w:rFonts w:hint="default" w:ascii="Times New Roman" w:hAnsi="Times New Roman" w:eastAsia="宋体" w:cs="Times New Roman"/>
                <w:color w:val="000000" w:themeColor="text1"/>
                <w:kern w:val="0"/>
                <w:sz w:val="22"/>
                <w:szCs w:val="22"/>
                <w14:textFill>
                  <w14:solidFill>
                    <w14:schemeClr w14:val="tx1"/>
                  </w14:solidFill>
                </w14:textFill>
              </w:rPr>
              <w:t>内部有＞11个进风口，保证热风在清洗舱体内的均匀分布，提高干燥效率。</w:t>
            </w:r>
            <w:r>
              <w:rPr>
                <w:rFonts w:hint="default" w:ascii="Times New Roman" w:hAnsi="Times New Roman" w:eastAsia="宋体" w:cs="Times New Roman"/>
                <w:bCs/>
                <w:color w:val="000000" w:themeColor="text1"/>
                <w:sz w:val="22"/>
                <w:szCs w:val="22"/>
                <w14:textFill>
                  <w14:solidFill>
                    <w14:schemeClr w14:val="tx1"/>
                  </w14:solidFill>
                </w14:textFill>
              </w:rPr>
              <w:t>（提供深圳市医院用户舱体内所有</w:t>
            </w:r>
            <w:r>
              <w:rPr>
                <w:rFonts w:hint="default" w:ascii="Times New Roman" w:hAnsi="Times New Roman" w:eastAsia="宋体" w:cs="Times New Roman"/>
                <w:color w:val="000000" w:themeColor="text1"/>
                <w:kern w:val="0"/>
                <w:sz w:val="22"/>
                <w:szCs w:val="22"/>
                <w14:textFill>
                  <w14:solidFill>
                    <w14:schemeClr w14:val="tx1"/>
                  </w14:solidFill>
                </w14:textFill>
              </w:rPr>
              <w:t>进风口的</w:t>
            </w:r>
            <w:r>
              <w:rPr>
                <w:rFonts w:hint="default" w:ascii="Times New Roman" w:hAnsi="Times New Roman" w:eastAsia="宋体" w:cs="Times New Roman"/>
                <w:bCs/>
                <w:color w:val="000000" w:themeColor="text1"/>
                <w:sz w:val="22"/>
                <w:szCs w:val="22"/>
                <w14:textFill>
                  <w14:solidFill>
                    <w14:schemeClr w14:val="tx1"/>
                  </w14:solidFill>
                </w14:textFill>
              </w:rPr>
              <w:t>实物图片佐证，并注明用户名称）</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8.温度指示器：A级精度温度传感器采集温度，显示精确度≥0.1℃。</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9.加热方式：蒸汽加热，消毒温度：70℃～93℃可调。</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10.能耗：耗水量≤150L/步；耗汽量≤45Kg/循环。</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11.▲循环泵：双循环泵喷淋系统，不锈钢泵体材质AISI316或以上材质，叶轮材质AISI316或以上材质，流量≥1400L （提供深圳市医院用户产品的双循环泵实物图片，并提供循环泵的说明书及用户名称佐证)。</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12.阀门：主要阀门采用气动阀，口径≥2寸。</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13.空气过滤器：过滤精度≤0.3 um，过滤等级可达到H13级（99.99%）。</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14.控制系统：采用工业模块化PLC控制器，非民用安卓操作系统；界面显示：≥10寸彩色触摸屏，能动态的显示设备各个功能部件的运行状态及设备运行的各个状态参数；具有报警信息显示功能。</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15.超温保护：超过设定温度，系统自动切断加热电源；防干烧保护：水位低造成加热管干烧时，系统自动切断加热电源；风压低保护：风压过低造成空气加热管干烧时，系统自动切断加热电源；门障碍保护：门在关闭过程中遇到阻碍时，会停止关门，并且向相反方向运行；过流保护：设备电机过载时，过流保护开关动作，电机停止工作。</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16.记录方式：</w:t>
            </w:r>
            <w:r>
              <w:rPr>
                <w:rFonts w:hint="default" w:ascii="Times New Roman" w:hAnsi="Times New Roman" w:eastAsia="宋体" w:cs="Times New Roman"/>
                <w:color w:val="000000" w:themeColor="text1"/>
                <w:sz w:val="22"/>
                <w:szCs w:val="22"/>
                <w14:textFill>
                  <w14:solidFill>
                    <w14:schemeClr w14:val="tx1"/>
                  </w14:solidFill>
                </w14:textFill>
              </w:rPr>
              <w:t>设备配有打印机，可自动打印温度、时间数据、曲线，并能打印A</w:t>
            </w:r>
            <w:r>
              <w:rPr>
                <w:rFonts w:hint="default" w:ascii="Times New Roman" w:hAnsi="Times New Roman" w:eastAsia="宋体" w:cs="Times New Roman"/>
                <w:color w:val="000000" w:themeColor="text1"/>
                <w:sz w:val="22"/>
                <w:szCs w:val="22"/>
                <w:vertAlign w:val="subscript"/>
                <w14:textFill>
                  <w14:solidFill>
                    <w14:schemeClr w14:val="tx1"/>
                  </w14:solidFill>
                </w14:textFill>
              </w:rPr>
              <w:t>0</w:t>
            </w:r>
            <w:r>
              <w:rPr>
                <w:rFonts w:hint="default" w:ascii="Times New Roman" w:hAnsi="Times New Roman" w:eastAsia="宋体" w:cs="Times New Roman"/>
                <w:color w:val="000000" w:themeColor="text1"/>
                <w:sz w:val="22"/>
                <w:szCs w:val="22"/>
                <w14:textFill>
                  <w14:solidFill>
                    <w14:schemeClr w14:val="tx1"/>
                  </w14:solidFill>
                </w14:textFill>
              </w:rPr>
              <w:t>值；</w:t>
            </w:r>
            <w:r>
              <w:rPr>
                <w:rFonts w:hint="default" w:ascii="Times New Roman" w:hAnsi="Times New Roman" w:eastAsia="宋体" w:cs="Times New Roman"/>
                <w:bCs/>
                <w:color w:val="000000" w:themeColor="text1"/>
                <w:sz w:val="22"/>
                <w:szCs w:val="22"/>
                <w14:textFill>
                  <w14:solidFill>
                    <w14:schemeClr w14:val="tx1"/>
                  </w14:solidFill>
                </w14:textFill>
              </w:rPr>
              <w:t>在去污区获取打印记录，可连接追溯系统；</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17.程序：＞4套预置程序，＞4套自定义程序，程序用户可根据需要进行程序编辑；运行时间：预洗、清洗、漂洗一、漂洗二、消毒、干燥全过程运行时间≤50分钟(车架清洗)（提供运行曲线图）。</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18.自动倾斜功能：清洗结束后，</w:t>
            </w:r>
            <w:r>
              <w:rPr>
                <w:rFonts w:hint="default" w:ascii="Times New Roman" w:hAnsi="Times New Roman" w:eastAsia="宋体" w:cs="Times New Roman"/>
                <w:color w:val="000000" w:themeColor="text1"/>
                <w:sz w:val="22"/>
                <w:szCs w:val="22"/>
                <w14:textFill>
                  <w14:solidFill>
                    <w14:schemeClr w14:val="tx1"/>
                  </w14:solidFill>
                </w14:textFill>
              </w:rPr>
              <w:t>清洗舱的</w:t>
            </w:r>
            <w:r>
              <w:rPr>
                <w:rFonts w:hint="default" w:ascii="Times New Roman" w:hAnsi="Times New Roman" w:eastAsia="宋体" w:cs="Times New Roman"/>
                <w:bCs/>
                <w:color w:val="000000" w:themeColor="text1"/>
                <w:sz w:val="22"/>
                <w:szCs w:val="22"/>
                <w14:textFill>
                  <w14:solidFill>
                    <w14:schemeClr w14:val="tx1"/>
                  </w14:solidFill>
                </w14:textFill>
              </w:rPr>
              <w:t>整个底盘及清洗架可自动向一侧倾斜一定角度，以消除清洗物品中的积水（提供该款清洗机运行过程中，清洗机底盘及清洗架自动倾斜过程的视频）</w:t>
            </w:r>
          </w:p>
          <w:p>
            <w:pPr>
              <w:pStyle w:val="2"/>
              <w:keepNext w:val="0"/>
              <w:keepLines w:val="0"/>
              <w:pageBreakBefore w:val="0"/>
              <w:kinsoku/>
              <w:wordWrap/>
              <w:overflowPunct/>
              <w:topLinePunct w:val="0"/>
              <w:autoSpaceDE/>
              <w:autoSpaceDN/>
              <w:bidi w:val="0"/>
              <w:adjustRightInd/>
              <w:snapToGrid/>
              <w:spacing w:after="0" w:line="264" w:lineRule="auto"/>
              <w:ind w:left="0" w:leftChars="0" w:firstLine="0" w:firstLineChars="0"/>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19.▲产品消毒效果性能：产品符合中华人民共和国医药行业标准YYT 0734.1-2018、YYT 0734.2-2018清洗消毒器要求及EN ISO 15883认证（提供二类产品注册证及EN ISO 15883检测报告）；设备运行消毒盒、外车、手术床、手术鞋等程序，对金黄色葡萄球菌、大肠杆菌、白色念珠菌等杀灭对数值均&gt;3.00，达到国家消毒标准。（提供产品的卫生安全评价报告、中国疾控中心检测的的清洗消毒效果检测报告）</w:t>
            </w:r>
          </w:p>
          <w:p>
            <w:pPr>
              <w:pStyle w:val="2"/>
              <w:keepNext w:val="0"/>
              <w:keepLines w:val="0"/>
              <w:pageBreakBefore w:val="0"/>
              <w:kinsoku/>
              <w:wordWrap/>
              <w:overflowPunct/>
              <w:topLinePunct w:val="0"/>
              <w:autoSpaceDE/>
              <w:autoSpaceDN/>
              <w:bidi w:val="0"/>
              <w:adjustRightInd/>
              <w:snapToGrid/>
              <w:spacing w:after="0" w:line="264" w:lineRule="auto"/>
              <w:ind w:left="0" w:leftChars="0" w:firstLine="0" w:firstLineChars="0"/>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20.安装方式:地上或地坑式安装。</w:t>
            </w:r>
          </w:p>
          <w:p>
            <w:pPr>
              <w:pStyle w:val="2"/>
              <w:keepNext w:val="0"/>
              <w:keepLines w:val="0"/>
              <w:pageBreakBefore w:val="0"/>
              <w:kinsoku/>
              <w:wordWrap/>
              <w:overflowPunct/>
              <w:topLinePunct w:val="0"/>
              <w:autoSpaceDE/>
              <w:autoSpaceDN/>
              <w:bidi w:val="0"/>
              <w:adjustRightInd/>
              <w:snapToGrid/>
              <w:spacing w:after="0" w:line="264" w:lineRule="auto"/>
              <w:ind w:left="0" w:leftChars="0" w:firstLine="0" w:firstLineChars="0"/>
              <w:jc w:val="left"/>
              <w:textAlignment w:val="auto"/>
              <w:rPr>
                <w:rFonts w:hint="default" w:ascii="Times New Roman" w:hAnsi="Times New Roman" w:eastAsia="宋体" w:cs="Times New Roman"/>
                <w:bCs/>
                <w:color w:val="000000" w:themeColor="text1"/>
                <w:sz w:val="22"/>
                <w:szCs w:val="22"/>
                <w14:textFill>
                  <w14:solidFill>
                    <w14:schemeClr w14:val="tx1"/>
                  </w14:solidFill>
                </w14:textFill>
              </w:rPr>
            </w:pPr>
            <w:r>
              <w:rPr>
                <w:rFonts w:hint="default" w:ascii="Times New Roman" w:hAnsi="Times New Roman" w:eastAsia="宋体" w:cs="Times New Roman"/>
                <w:bCs/>
                <w:color w:val="000000" w:themeColor="text1"/>
                <w:sz w:val="22"/>
                <w:szCs w:val="22"/>
                <w14:textFill>
                  <w14:solidFill>
                    <w14:schemeClr w14:val="tx1"/>
                  </w14:solidFill>
                </w14:textFill>
              </w:rPr>
              <w:t>21.使用寿命：≥10年（提供产品卫生安全评价报告及产品铭牌佐证）</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b/>
                <w:bCs/>
                <w:color w:val="000000" w:themeColor="text1"/>
                <w:kern w:val="0"/>
                <w:sz w:val="22"/>
                <w:szCs w:val="22"/>
                <w14:textFill>
                  <w14:solidFill>
                    <w14:schemeClr w14:val="tx1"/>
                  </w14:solidFill>
                </w14:textFill>
              </w:rPr>
            </w:pPr>
            <w:r>
              <w:rPr>
                <w:rFonts w:hint="default" w:ascii="Times New Roman" w:hAnsi="Times New Roman" w:eastAsia="宋体" w:cs="Times New Roman"/>
                <w:b/>
                <w:bCs/>
                <w:color w:val="000000" w:themeColor="text1"/>
                <w:kern w:val="0"/>
                <w:sz w:val="22"/>
                <w:szCs w:val="22"/>
                <w14:textFill>
                  <w14:solidFill>
                    <w14:schemeClr w14:val="tx1"/>
                  </w14:solidFill>
                </w14:textFill>
              </w:rPr>
              <w:t>配置清单</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000000" w:themeColor="text1"/>
                <w:kern w:val="0"/>
                <w:sz w:val="22"/>
                <w:szCs w:val="22"/>
                <w14:textFill>
                  <w14:solidFill>
                    <w14:schemeClr w14:val="tx1"/>
                  </w14:solidFill>
                </w14:textFill>
              </w:rPr>
            </w:pPr>
            <w:r>
              <w:rPr>
                <w:rFonts w:hint="default" w:ascii="Times New Roman" w:hAnsi="Times New Roman" w:eastAsia="宋体" w:cs="Times New Roman"/>
                <w:color w:val="000000" w:themeColor="text1"/>
                <w:kern w:val="0"/>
                <w:sz w:val="22"/>
                <w:szCs w:val="22"/>
                <w14:textFill>
                  <w14:solidFill>
                    <w14:schemeClr w14:val="tx1"/>
                  </w14:solidFill>
                </w14:textFill>
              </w:rPr>
              <w:t>1、主机1台</w:t>
            </w:r>
          </w:p>
          <w:p>
            <w:pPr>
              <w:keepNext w:val="0"/>
              <w:keepLines w:val="0"/>
              <w:pageBreakBefore w:val="0"/>
              <w:widowControl/>
              <w:kinsoku/>
              <w:wordWrap/>
              <w:overflowPunct/>
              <w:topLinePunct w:val="0"/>
              <w:autoSpaceDE/>
              <w:autoSpaceDN/>
              <w:bidi w:val="0"/>
              <w:adjustRightInd/>
              <w:snapToGrid/>
              <w:spacing w:line="264" w:lineRule="auto"/>
              <w:jc w:val="left"/>
              <w:textAlignment w:val="auto"/>
              <w:rPr>
                <w:rFonts w:hint="default" w:ascii="Times New Roman" w:hAnsi="Times New Roman" w:eastAsia="宋体" w:cs="Times New Roman"/>
                <w:color w:val="3F3F3F"/>
                <w:kern w:val="0"/>
                <w:sz w:val="22"/>
                <w:szCs w:val="22"/>
              </w:rPr>
            </w:pPr>
            <w:r>
              <w:rPr>
                <w:rFonts w:hint="default" w:ascii="Times New Roman" w:hAnsi="Times New Roman" w:eastAsia="宋体" w:cs="Times New Roman"/>
                <w:color w:val="000000" w:themeColor="text1"/>
                <w:kern w:val="0"/>
                <w:sz w:val="22"/>
                <w:szCs w:val="22"/>
                <w14:textFill>
                  <w14:solidFill>
                    <w14:schemeClr w14:val="tx1"/>
                  </w14:solidFill>
                </w14:textFill>
              </w:rPr>
              <w:t>2、消毒车1辆</w:t>
            </w:r>
          </w:p>
        </w:tc>
      </w:tr>
    </w:tbl>
    <w:p>
      <w:pPr>
        <w:bidi w:val="0"/>
        <w:rPr>
          <w:rFonts w:hint="eastAsia"/>
        </w:rPr>
      </w:pPr>
    </w:p>
    <w:p>
      <w:pPr>
        <w:pStyle w:val="5"/>
        <w:keepNext/>
        <w:keepLines/>
        <w:pageBreakBefore w:val="0"/>
        <w:widowControl w:val="0"/>
        <w:kinsoku/>
        <w:wordWrap/>
        <w:overflowPunct/>
        <w:topLinePunct w:val="0"/>
        <w:autoSpaceDE/>
        <w:autoSpaceDN/>
        <w:bidi w:val="0"/>
        <w:adjustRightInd/>
        <w:snapToGrid/>
        <w:spacing w:before="240" w:after="240" w:line="413" w:lineRule="auto"/>
        <w:jc w:val="center"/>
        <w:textAlignment w:val="auto"/>
      </w:pPr>
      <w:r>
        <w:rPr>
          <w:rFonts w:hint="eastAsia"/>
        </w:rPr>
        <w:t>设备配套耗材试剂情况</w:t>
      </w:r>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kern w:val="0"/>
          <w:sz w:val="28"/>
          <w:szCs w:val="28"/>
        </w:rPr>
        <w:t xml:space="preserve">） </w:t>
      </w: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配套耗材</w:t>
      </w:r>
    </w:p>
    <w:tbl>
      <w:tblPr>
        <w:tblStyle w:val="10"/>
        <w:tblW w:w="0" w:type="auto"/>
        <w:tblInd w:w="1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4722"/>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0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序号</w:t>
            </w:r>
          </w:p>
        </w:tc>
        <w:tc>
          <w:tcPr>
            <w:tcW w:w="4722"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单位</w:t>
            </w:r>
          </w:p>
        </w:tc>
        <w:tc>
          <w:tcPr>
            <w:tcW w:w="2126"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00" w:type="dxa"/>
            <w:vAlign w:val="center"/>
          </w:tcPr>
          <w:p>
            <w:pPr>
              <w:jc w:val="center"/>
              <w:rPr>
                <w:rFonts w:hint="default" w:ascii="Times New Roman" w:hAnsi="Times New Roman" w:eastAsia="宋体" w:cs="Times New Roman"/>
                <w:b/>
                <w:sz w:val="22"/>
                <w:szCs w:val="22"/>
              </w:rPr>
            </w:pPr>
            <w:r>
              <w:rPr>
                <w:rFonts w:hint="default" w:ascii="Times New Roman" w:hAnsi="Times New Roman" w:eastAsia="宋体" w:cs="Times New Roman"/>
                <w:b/>
                <w:sz w:val="22"/>
                <w:szCs w:val="22"/>
              </w:rPr>
              <w:t>1</w:t>
            </w:r>
          </w:p>
        </w:tc>
        <w:tc>
          <w:tcPr>
            <w:tcW w:w="4722" w:type="dxa"/>
            <w:vAlign w:val="center"/>
          </w:tcPr>
          <w:p>
            <w:pPr>
              <w:jc w:val="center"/>
              <w:rPr>
                <w:rFonts w:hint="eastAsia" w:ascii="Times New Roman" w:hAnsi="Times New Roman" w:eastAsia="宋体" w:cs="Times New Roman"/>
                <w:b/>
                <w:sz w:val="22"/>
                <w:szCs w:val="22"/>
                <w:lang w:val="en-US" w:eastAsia="zh-CN"/>
              </w:rPr>
            </w:pPr>
            <w:r>
              <w:rPr>
                <w:rFonts w:hint="eastAsia" w:ascii="Times New Roman" w:hAnsi="Times New Roman" w:cs="Times New Roman"/>
                <w:sz w:val="22"/>
                <w:szCs w:val="22"/>
                <w:lang w:val="en-US" w:eastAsia="zh-CN"/>
              </w:rPr>
              <w:t>/</w:t>
            </w:r>
          </w:p>
        </w:tc>
        <w:tc>
          <w:tcPr>
            <w:tcW w:w="1985" w:type="dxa"/>
            <w:vAlign w:val="center"/>
          </w:tcPr>
          <w:p>
            <w:pPr>
              <w:jc w:val="center"/>
              <w:rPr>
                <w:rFonts w:hint="eastAsia" w:ascii="Times New Roman" w:hAnsi="Times New Roman" w:eastAsia="宋体" w:cs="Times New Roman"/>
                <w:b/>
                <w:sz w:val="22"/>
                <w:szCs w:val="22"/>
                <w:lang w:val="en-US" w:eastAsia="zh-CN"/>
              </w:rPr>
            </w:pPr>
            <w:r>
              <w:rPr>
                <w:rFonts w:hint="eastAsia" w:ascii="Times New Roman" w:hAnsi="Times New Roman" w:cs="Times New Roman"/>
                <w:b/>
                <w:sz w:val="22"/>
                <w:szCs w:val="22"/>
                <w:lang w:val="en-US" w:eastAsia="zh-CN"/>
              </w:rPr>
              <w:t>/</w:t>
            </w:r>
          </w:p>
        </w:tc>
        <w:tc>
          <w:tcPr>
            <w:tcW w:w="2126" w:type="dxa"/>
            <w:vAlign w:val="center"/>
          </w:tcPr>
          <w:p>
            <w:pPr>
              <w:jc w:val="center"/>
              <w:rPr>
                <w:rFonts w:hint="eastAsia" w:ascii="Times New Roman" w:hAnsi="Times New Roman" w:eastAsia="宋体" w:cs="Times New Roman"/>
                <w:b/>
                <w:sz w:val="22"/>
                <w:szCs w:val="22"/>
                <w:lang w:val="en-US" w:eastAsia="zh-CN"/>
              </w:rPr>
            </w:pPr>
            <w:r>
              <w:rPr>
                <w:rFonts w:hint="eastAsia" w:ascii="Times New Roman" w:hAnsi="Times New Roman" w:cs="Times New Roman"/>
                <w:b/>
                <w:sz w:val="22"/>
                <w:szCs w:val="22"/>
                <w:lang w:val="en-US" w:eastAsia="zh-CN"/>
              </w:rPr>
              <w:t>/</w:t>
            </w:r>
          </w:p>
        </w:tc>
      </w:tr>
    </w:tbl>
    <w:p>
      <w:pPr>
        <w:jc w:val="left"/>
        <w:rPr>
          <w:rFonts w:ascii="Times New Roman" w:hAnsi="Times New Roman"/>
          <w:szCs w:val="21"/>
        </w:rPr>
      </w:pPr>
    </w:p>
    <w:p>
      <w:pPr>
        <w:keepNext w:val="0"/>
        <w:keepLines w:val="0"/>
        <w:pageBreakBefore w:val="0"/>
        <w:widowControl w:val="0"/>
        <w:kinsoku/>
        <w:wordWrap/>
        <w:overflowPunct/>
        <w:topLinePunct w:val="0"/>
        <w:autoSpaceDE/>
        <w:autoSpaceDN/>
        <w:bidi w:val="0"/>
        <w:adjustRightInd/>
        <w:snapToGrid/>
        <w:spacing w:after="157" w:afterLines="50"/>
        <w:jc w:val="left"/>
        <w:textAlignment w:val="auto"/>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10"/>
        <w:tblW w:w="9723" w:type="dxa"/>
        <w:tblInd w:w="16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4731"/>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81"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序号</w:t>
            </w:r>
          </w:p>
        </w:tc>
        <w:tc>
          <w:tcPr>
            <w:tcW w:w="4731"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名称</w:t>
            </w:r>
          </w:p>
        </w:tc>
        <w:tc>
          <w:tcPr>
            <w:tcW w:w="1985"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单位</w:t>
            </w:r>
          </w:p>
        </w:tc>
        <w:tc>
          <w:tcPr>
            <w:tcW w:w="2126" w:type="dxa"/>
            <w:vAlign w:val="center"/>
          </w:tcPr>
          <w:p>
            <w:pPr>
              <w:jc w:val="center"/>
              <w:rPr>
                <w:rFonts w:hint="eastAsia" w:ascii="Times New Roman" w:hAnsi="Times New Roman" w:eastAsia="宋体" w:cs="Times New Roman"/>
                <w:b/>
                <w:sz w:val="22"/>
                <w:szCs w:val="22"/>
                <w:lang w:eastAsia="zh-CN"/>
              </w:rPr>
            </w:pPr>
            <w:r>
              <w:rPr>
                <w:rFonts w:hint="eastAsia" w:ascii="Times New Roman" w:hAnsi="Times New Roman" w:eastAsia="宋体" w:cs="Times New Roman"/>
                <w:b/>
                <w:sz w:val="22"/>
                <w:szCs w:val="22"/>
              </w:rPr>
              <w:t>预算单价</w:t>
            </w:r>
            <w:r>
              <w:rPr>
                <w:rFonts w:hint="eastAsia" w:ascii="Times New Roman" w:hAnsi="Times New Roman" w:eastAsia="宋体" w:cs="Times New Roman"/>
                <w:b/>
                <w:sz w:val="22"/>
                <w:szCs w:val="22"/>
                <w:lang w:eastAsia="zh-CN"/>
              </w:rPr>
              <w:t>（</w:t>
            </w:r>
            <w:r>
              <w:rPr>
                <w:rFonts w:hint="eastAsia" w:ascii="Times New Roman" w:hAnsi="Times New Roman" w:eastAsia="宋体" w:cs="Times New Roman"/>
                <w:b/>
                <w:sz w:val="22"/>
                <w:szCs w:val="22"/>
                <w:lang w:val="en-US" w:eastAsia="zh-CN"/>
              </w:rPr>
              <w:t>元</w:t>
            </w:r>
            <w:r>
              <w:rPr>
                <w:rFonts w:hint="eastAsia" w:ascii="Times New Roman" w:hAnsi="Times New Roman" w:eastAsia="宋体" w:cs="Times New Roman"/>
                <w:b/>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81" w:type="dxa"/>
            <w:vAlign w:val="center"/>
          </w:tcPr>
          <w:p>
            <w:pPr>
              <w:jc w:val="center"/>
              <w:rPr>
                <w:rFonts w:hint="default" w:ascii="Times New Roman" w:hAnsi="Times New Roman" w:eastAsia="宋体" w:cs="Times New Roman"/>
                <w:b/>
                <w:sz w:val="22"/>
                <w:szCs w:val="22"/>
              </w:rPr>
            </w:pPr>
            <w:r>
              <w:rPr>
                <w:rFonts w:hint="eastAsia" w:ascii="Times New Roman" w:hAnsi="Times New Roman" w:eastAsia="宋体" w:cs="Times New Roman"/>
                <w:b/>
                <w:sz w:val="22"/>
                <w:szCs w:val="22"/>
              </w:rPr>
              <w:t>1</w:t>
            </w:r>
          </w:p>
        </w:tc>
        <w:tc>
          <w:tcPr>
            <w:tcW w:w="4731" w:type="dxa"/>
            <w:vAlign w:val="center"/>
          </w:tcPr>
          <w:p>
            <w:pPr>
              <w:jc w:val="center"/>
              <w:rPr>
                <w:rFonts w:hint="eastAsia" w:ascii="Times New Roman" w:hAnsi="Times New Roman" w:eastAsia="宋体" w:cs="Times New Roman"/>
                <w:b/>
                <w:sz w:val="22"/>
                <w:szCs w:val="22"/>
                <w:lang w:eastAsia="zh-CN"/>
              </w:rPr>
            </w:pPr>
            <w:r>
              <w:rPr>
                <w:rFonts w:hint="eastAsia" w:ascii="Times New Roman" w:hAnsi="Times New Roman" w:cs="Times New Roman"/>
                <w:b/>
                <w:sz w:val="22"/>
                <w:szCs w:val="22"/>
                <w:lang w:val="en-US" w:eastAsia="zh-CN"/>
              </w:rPr>
              <w:t>/</w:t>
            </w:r>
            <w:bookmarkStart w:id="0" w:name="_GoBack"/>
            <w:bookmarkEnd w:id="0"/>
          </w:p>
        </w:tc>
        <w:tc>
          <w:tcPr>
            <w:tcW w:w="1985" w:type="dxa"/>
            <w:vAlign w:val="center"/>
          </w:tcPr>
          <w:p>
            <w:pPr>
              <w:jc w:val="center"/>
              <w:rPr>
                <w:rFonts w:hint="eastAsia" w:ascii="Times New Roman" w:hAnsi="Times New Roman" w:eastAsia="宋体" w:cs="Times New Roman"/>
                <w:b/>
                <w:sz w:val="22"/>
                <w:szCs w:val="22"/>
                <w:lang w:val="en-US" w:eastAsia="zh-CN"/>
              </w:rPr>
            </w:pPr>
            <w:r>
              <w:rPr>
                <w:rFonts w:hint="eastAsia" w:ascii="Times New Roman" w:hAnsi="Times New Roman" w:cs="Times New Roman"/>
                <w:b/>
                <w:sz w:val="22"/>
                <w:szCs w:val="22"/>
                <w:lang w:val="en-US" w:eastAsia="zh-CN"/>
              </w:rPr>
              <w:t>/</w:t>
            </w:r>
          </w:p>
        </w:tc>
        <w:tc>
          <w:tcPr>
            <w:tcW w:w="2126" w:type="dxa"/>
            <w:vAlign w:val="center"/>
          </w:tcPr>
          <w:p>
            <w:pPr>
              <w:jc w:val="center"/>
              <w:rPr>
                <w:rFonts w:hint="eastAsia" w:ascii="Times New Roman" w:hAnsi="Times New Roman" w:eastAsia="宋体" w:cs="Times New Roman"/>
                <w:b/>
                <w:sz w:val="22"/>
                <w:szCs w:val="22"/>
                <w:lang w:val="en-US" w:eastAsia="zh-CN"/>
              </w:rPr>
            </w:pPr>
            <w:r>
              <w:rPr>
                <w:rFonts w:hint="eastAsia" w:ascii="Times New Roman" w:hAnsi="Times New Roman" w:cs="Times New Roman"/>
                <w:b/>
                <w:sz w:val="22"/>
                <w:szCs w:val="22"/>
                <w:lang w:val="en-US" w:eastAsia="zh-CN"/>
              </w:rPr>
              <w:t>/</w:t>
            </w:r>
          </w:p>
        </w:tc>
      </w:tr>
    </w:tbl>
    <w:p>
      <w:pPr>
        <w:jc w:val="center"/>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31B84"/>
    <w:rsid w:val="00073630"/>
    <w:rsid w:val="0007571F"/>
    <w:rsid w:val="00086401"/>
    <w:rsid w:val="000B3A24"/>
    <w:rsid w:val="000E0A0A"/>
    <w:rsid w:val="00100D1E"/>
    <w:rsid w:val="0012370B"/>
    <w:rsid w:val="00153A42"/>
    <w:rsid w:val="0015678E"/>
    <w:rsid w:val="00180716"/>
    <w:rsid w:val="0018661F"/>
    <w:rsid w:val="001B0A84"/>
    <w:rsid w:val="001D5E72"/>
    <w:rsid w:val="00206936"/>
    <w:rsid w:val="0025515C"/>
    <w:rsid w:val="002617DE"/>
    <w:rsid w:val="002738F1"/>
    <w:rsid w:val="002C0BFD"/>
    <w:rsid w:val="002C6C45"/>
    <w:rsid w:val="002D02F7"/>
    <w:rsid w:val="002D59FE"/>
    <w:rsid w:val="003141BC"/>
    <w:rsid w:val="0031707A"/>
    <w:rsid w:val="00333E2E"/>
    <w:rsid w:val="003407BA"/>
    <w:rsid w:val="0036311E"/>
    <w:rsid w:val="003938A4"/>
    <w:rsid w:val="003B5D40"/>
    <w:rsid w:val="003D4CEF"/>
    <w:rsid w:val="003E15A0"/>
    <w:rsid w:val="00437E27"/>
    <w:rsid w:val="00447FAF"/>
    <w:rsid w:val="004607A8"/>
    <w:rsid w:val="0046248D"/>
    <w:rsid w:val="004777CE"/>
    <w:rsid w:val="00485E99"/>
    <w:rsid w:val="004B2BE5"/>
    <w:rsid w:val="004B4DC1"/>
    <w:rsid w:val="004B79FD"/>
    <w:rsid w:val="004C6FD8"/>
    <w:rsid w:val="004E09F3"/>
    <w:rsid w:val="004E51B4"/>
    <w:rsid w:val="004E6075"/>
    <w:rsid w:val="004F46EC"/>
    <w:rsid w:val="00536070"/>
    <w:rsid w:val="005B4177"/>
    <w:rsid w:val="006161EF"/>
    <w:rsid w:val="00627CBC"/>
    <w:rsid w:val="00667C4B"/>
    <w:rsid w:val="00696C5E"/>
    <w:rsid w:val="006B7040"/>
    <w:rsid w:val="006C1BAB"/>
    <w:rsid w:val="006C428C"/>
    <w:rsid w:val="006F1FD9"/>
    <w:rsid w:val="0071790B"/>
    <w:rsid w:val="00735F7B"/>
    <w:rsid w:val="007610A6"/>
    <w:rsid w:val="00766032"/>
    <w:rsid w:val="00787AF2"/>
    <w:rsid w:val="00787C5D"/>
    <w:rsid w:val="007D46E8"/>
    <w:rsid w:val="008046EB"/>
    <w:rsid w:val="00812AE4"/>
    <w:rsid w:val="008143CB"/>
    <w:rsid w:val="00890077"/>
    <w:rsid w:val="00893A00"/>
    <w:rsid w:val="00895307"/>
    <w:rsid w:val="008C5084"/>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53A87"/>
    <w:rsid w:val="00A544EC"/>
    <w:rsid w:val="00A70CB8"/>
    <w:rsid w:val="00A75EBB"/>
    <w:rsid w:val="00AA10B5"/>
    <w:rsid w:val="00AA2A2D"/>
    <w:rsid w:val="00AB3ABF"/>
    <w:rsid w:val="00AB43D9"/>
    <w:rsid w:val="00AB686E"/>
    <w:rsid w:val="00AF2364"/>
    <w:rsid w:val="00B04F86"/>
    <w:rsid w:val="00B16C5C"/>
    <w:rsid w:val="00B36BC4"/>
    <w:rsid w:val="00B37A82"/>
    <w:rsid w:val="00BE5B4B"/>
    <w:rsid w:val="00C046E8"/>
    <w:rsid w:val="00C70023"/>
    <w:rsid w:val="00C70D64"/>
    <w:rsid w:val="00C717A1"/>
    <w:rsid w:val="00CA1F88"/>
    <w:rsid w:val="00D1471E"/>
    <w:rsid w:val="00D14837"/>
    <w:rsid w:val="00D2285F"/>
    <w:rsid w:val="00D5527C"/>
    <w:rsid w:val="00D577BE"/>
    <w:rsid w:val="00D650DC"/>
    <w:rsid w:val="00D736F6"/>
    <w:rsid w:val="00D73D7E"/>
    <w:rsid w:val="00D90205"/>
    <w:rsid w:val="00DA2A6D"/>
    <w:rsid w:val="00DB3248"/>
    <w:rsid w:val="00E100C3"/>
    <w:rsid w:val="00E13D8B"/>
    <w:rsid w:val="00E32D03"/>
    <w:rsid w:val="00E43D98"/>
    <w:rsid w:val="00E54CF2"/>
    <w:rsid w:val="00E84839"/>
    <w:rsid w:val="00E87DEE"/>
    <w:rsid w:val="00EA0AF4"/>
    <w:rsid w:val="00EA3933"/>
    <w:rsid w:val="00F128E8"/>
    <w:rsid w:val="00F176BB"/>
    <w:rsid w:val="00F3782E"/>
    <w:rsid w:val="00F40917"/>
    <w:rsid w:val="00F47DA3"/>
    <w:rsid w:val="00F749F5"/>
    <w:rsid w:val="00F84832"/>
    <w:rsid w:val="00FD02B5"/>
    <w:rsid w:val="00FD584F"/>
    <w:rsid w:val="01C45AC6"/>
    <w:rsid w:val="05D82958"/>
    <w:rsid w:val="0AF6215E"/>
    <w:rsid w:val="0D712415"/>
    <w:rsid w:val="0DC30F51"/>
    <w:rsid w:val="0FD418B8"/>
    <w:rsid w:val="135A682F"/>
    <w:rsid w:val="138529B4"/>
    <w:rsid w:val="19832ED4"/>
    <w:rsid w:val="1AF14A49"/>
    <w:rsid w:val="1D85546D"/>
    <w:rsid w:val="1F9E3DC0"/>
    <w:rsid w:val="20527BD7"/>
    <w:rsid w:val="22997A38"/>
    <w:rsid w:val="22DB168B"/>
    <w:rsid w:val="2AE632C3"/>
    <w:rsid w:val="2B5A351B"/>
    <w:rsid w:val="2DD35D80"/>
    <w:rsid w:val="30781E81"/>
    <w:rsid w:val="37801A47"/>
    <w:rsid w:val="39AA6F7C"/>
    <w:rsid w:val="3DDE2232"/>
    <w:rsid w:val="40C77D7C"/>
    <w:rsid w:val="4107115F"/>
    <w:rsid w:val="43E71B8B"/>
    <w:rsid w:val="46116FEE"/>
    <w:rsid w:val="513E4021"/>
    <w:rsid w:val="51E11F6A"/>
    <w:rsid w:val="538A23F9"/>
    <w:rsid w:val="54C55B73"/>
    <w:rsid w:val="58E42F8B"/>
    <w:rsid w:val="5C202BAD"/>
    <w:rsid w:val="5FD35DD0"/>
    <w:rsid w:val="603040BD"/>
    <w:rsid w:val="61773837"/>
    <w:rsid w:val="665054B9"/>
    <w:rsid w:val="66D6776C"/>
    <w:rsid w:val="67582877"/>
    <w:rsid w:val="67A41618"/>
    <w:rsid w:val="69230D68"/>
    <w:rsid w:val="6939071B"/>
    <w:rsid w:val="69653140"/>
    <w:rsid w:val="69F73FEA"/>
    <w:rsid w:val="6AF42ACD"/>
    <w:rsid w:val="6F6C6454"/>
    <w:rsid w:val="704936A5"/>
    <w:rsid w:val="70F0779D"/>
    <w:rsid w:val="71470FFB"/>
    <w:rsid w:val="72344D38"/>
    <w:rsid w:val="75073DF6"/>
    <w:rsid w:val="75563DFD"/>
    <w:rsid w:val="75661A13"/>
    <w:rsid w:val="76DA5057"/>
    <w:rsid w:val="79301740"/>
    <w:rsid w:val="7A86154F"/>
    <w:rsid w:val="7A9152F3"/>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link w:val="14"/>
    <w:qFormat/>
    <w:uiPriority w:val="9"/>
    <w:pPr>
      <w:keepNext/>
      <w:keepLines/>
      <w:spacing w:before="340" w:after="330" w:line="578" w:lineRule="auto"/>
      <w:outlineLvl w:val="0"/>
    </w:pPr>
    <w:rPr>
      <w:b/>
      <w:bCs/>
      <w:kern w:val="44"/>
      <w:sz w:val="44"/>
      <w:szCs w:val="44"/>
    </w:rPr>
  </w:style>
  <w:style w:type="paragraph" w:styleId="5">
    <w:name w:val="heading 2"/>
    <w:basedOn w:val="1"/>
    <w:next w:val="1"/>
    <w:autoRedefine/>
    <w:unhideWhenUsed/>
    <w:qFormat/>
    <w:uiPriority w:val="9"/>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autoRedefine/>
    <w:qFormat/>
    <w:uiPriority w:val="0"/>
    <w:pPr>
      <w:spacing w:after="120"/>
      <w:ind w:left="420" w:leftChars="200"/>
    </w:pPr>
  </w:style>
  <w:style w:type="paragraph" w:styleId="6">
    <w:name w:val="annotation text"/>
    <w:basedOn w:val="1"/>
    <w:link w:val="15"/>
    <w:autoRedefine/>
    <w:unhideWhenUsed/>
    <w:qFormat/>
    <w:uiPriority w:val="99"/>
    <w:pPr>
      <w:jc w:val="left"/>
    </w:pPr>
  </w:style>
  <w:style w:type="paragraph" w:styleId="7">
    <w:name w:val="Balloon Text"/>
    <w:basedOn w:val="1"/>
    <w:link w:val="16"/>
    <w:unhideWhenUsed/>
    <w:qFormat/>
    <w:uiPriority w:val="99"/>
    <w:rPr>
      <w:sz w:val="18"/>
      <w:szCs w:val="18"/>
    </w:rPr>
  </w:style>
  <w:style w:type="paragraph" w:styleId="8">
    <w:name w:val="footer"/>
    <w:basedOn w:val="1"/>
    <w:link w:val="17"/>
    <w:autoRedefine/>
    <w:unhideWhenUsed/>
    <w:qFormat/>
    <w:uiPriority w:val="99"/>
    <w:pPr>
      <w:tabs>
        <w:tab w:val="center" w:pos="4153"/>
        <w:tab w:val="right" w:pos="8306"/>
      </w:tabs>
      <w:snapToGrid w:val="0"/>
      <w:jc w:val="left"/>
    </w:pPr>
    <w:rPr>
      <w:kern w:val="0"/>
      <w:sz w:val="18"/>
      <w:szCs w:val="18"/>
    </w:rPr>
  </w:style>
  <w:style w:type="paragraph" w:styleId="9">
    <w:name w:val="header"/>
    <w:basedOn w:val="1"/>
    <w:link w:val="18"/>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annotation reference"/>
    <w:autoRedefine/>
    <w:unhideWhenUsed/>
    <w:qFormat/>
    <w:uiPriority w:val="99"/>
    <w:rPr>
      <w:sz w:val="21"/>
      <w:szCs w:val="21"/>
    </w:rPr>
  </w:style>
  <w:style w:type="character" w:customStyle="1" w:styleId="14">
    <w:name w:val="标题 1 字符"/>
    <w:link w:val="4"/>
    <w:autoRedefine/>
    <w:qFormat/>
    <w:uiPriority w:val="9"/>
    <w:rPr>
      <w:b/>
      <w:bCs/>
      <w:kern w:val="44"/>
      <w:sz w:val="44"/>
      <w:szCs w:val="44"/>
    </w:rPr>
  </w:style>
  <w:style w:type="character" w:customStyle="1" w:styleId="15">
    <w:name w:val="批注文字 字符"/>
    <w:link w:val="6"/>
    <w:autoRedefine/>
    <w:semiHidden/>
    <w:qFormat/>
    <w:uiPriority w:val="99"/>
    <w:rPr>
      <w:kern w:val="2"/>
      <w:sz w:val="21"/>
      <w:szCs w:val="22"/>
    </w:rPr>
  </w:style>
  <w:style w:type="character" w:customStyle="1" w:styleId="16">
    <w:name w:val="批注框文本 字符"/>
    <w:link w:val="7"/>
    <w:semiHidden/>
    <w:qFormat/>
    <w:uiPriority w:val="99"/>
    <w:rPr>
      <w:kern w:val="2"/>
      <w:sz w:val="18"/>
      <w:szCs w:val="18"/>
    </w:rPr>
  </w:style>
  <w:style w:type="character" w:customStyle="1" w:styleId="17">
    <w:name w:val="页脚 字符"/>
    <w:link w:val="8"/>
    <w:autoRedefine/>
    <w:qFormat/>
    <w:uiPriority w:val="99"/>
    <w:rPr>
      <w:sz w:val="18"/>
      <w:szCs w:val="18"/>
    </w:rPr>
  </w:style>
  <w:style w:type="character" w:customStyle="1" w:styleId="18">
    <w:name w:val="页眉 字符"/>
    <w:link w:val="9"/>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8</Pages>
  <Words>458</Words>
  <Characters>2615</Characters>
  <Lines>21</Lines>
  <Paragraphs>6</Paragraphs>
  <TotalTime>5</TotalTime>
  <ScaleCrop>false</ScaleCrop>
  <LinksUpToDate>false</LinksUpToDate>
  <CharactersWithSpaces>3067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2024-04-02T00:33:36Z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