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黑体" w:hAnsi="黑体" w:eastAsia="黑体" w:cs="黑体"/>
        </w:rPr>
      </w:pPr>
      <w:r>
        <w:rPr>
          <w:rFonts w:hint="eastAsia" w:ascii="黑体" w:hAnsi="黑体" w:eastAsia="黑体" w:cs="黑体"/>
        </w:rPr>
        <w:t>深圳市儿童医院设备采购需求参数表</w:t>
      </w:r>
    </w:p>
    <w:tbl>
      <w:tblPr>
        <w:tblStyle w:val="10"/>
        <w:tblW w:w="9680" w:type="dxa"/>
        <w:jc w:val="center"/>
        <w:tblLayout w:type="autofit"/>
        <w:tblCellMar>
          <w:top w:w="0" w:type="dxa"/>
          <w:left w:w="108" w:type="dxa"/>
          <w:bottom w:w="0" w:type="dxa"/>
          <w:right w:w="108" w:type="dxa"/>
        </w:tblCellMar>
      </w:tblPr>
      <w:tblGrid>
        <w:gridCol w:w="660"/>
        <w:gridCol w:w="1285"/>
        <w:gridCol w:w="7735"/>
      </w:tblGrid>
      <w:tr>
        <w:tblPrEx>
          <w:tblCellMar>
            <w:top w:w="0" w:type="dxa"/>
            <w:left w:w="108" w:type="dxa"/>
            <w:bottom w:w="0" w:type="dxa"/>
            <w:right w:w="108" w:type="dxa"/>
          </w:tblCellMar>
        </w:tblPrEx>
        <w:trPr>
          <w:trHeight w:val="555"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序号</w:t>
            </w:r>
          </w:p>
        </w:tc>
        <w:tc>
          <w:tcPr>
            <w:tcW w:w="1285" w:type="dxa"/>
            <w:tcBorders>
              <w:top w:val="single" w:color="3F3F3F" w:sz="4" w:space="0"/>
              <w:left w:val="single" w:color="auto" w:sz="4" w:space="0"/>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735" w:type="dxa"/>
            <w:tcBorders>
              <w:top w:val="single" w:color="3F3F3F" w:sz="4" w:space="0"/>
              <w:left w:val="nil"/>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CellMar>
            <w:top w:w="0" w:type="dxa"/>
            <w:left w:w="108" w:type="dxa"/>
            <w:bottom w:w="0" w:type="dxa"/>
            <w:right w:w="108" w:type="dxa"/>
          </w:tblCellMar>
        </w:tblPrEx>
        <w:trPr>
          <w:trHeight w:val="5799" w:hRule="atLeast"/>
          <w:jc w:val="center"/>
        </w:trPr>
        <w:tc>
          <w:tcPr>
            <w:tcW w:w="660" w:type="dxa"/>
            <w:tcBorders>
              <w:top w:val="single" w:color="auto" w:sz="4" w:space="0"/>
              <w:left w:val="single" w:color="auto" w:sz="4" w:space="0"/>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1</w:t>
            </w:r>
          </w:p>
        </w:tc>
        <w:tc>
          <w:tcPr>
            <w:tcW w:w="1285" w:type="dxa"/>
            <w:tcBorders>
              <w:top w:val="single" w:color="auto" w:sz="4" w:space="0"/>
              <w:left w:val="single" w:color="3F3F3F" w:sz="4" w:space="0"/>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床垫清洗消毒烘干机</w:t>
            </w:r>
          </w:p>
        </w:tc>
        <w:tc>
          <w:tcPr>
            <w:tcW w:w="7735" w:type="dxa"/>
            <w:tcBorders>
              <w:top w:val="single" w:color="auto" w:sz="4" w:space="0"/>
              <w:left w:val="nil"/>
              <w:bottom w:val="single" w:color="auto" w:sz="4" w:space="0"/>
              <w:right w:val="single" w:color="auto" w:sz="4" w:space="0"/>
            </w:tcBorders>
            <w:shd w:val="clear" w:color="000000" w:fill="FFFFFF"/>
          </w:tcPr>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hint="eastAsia"/>
              </w:rPr>
            </w:pPr>
            <w:r>
              <w:rPr>
                <w:rFonts w:hint="eastAsia"/>
              </w:rPr>
              <w:t>1.</w:t>
            </w:r>
            <w:r>
              <w:rPr>
                <w:rFonts w:hint="eastAsia" w:ascii="宋体" w:hAnsi="宋体" w:cs="宋体"/>
              </w:rPr>
              <w:t>▲</w:t>
            </w:r>
            <w:r>
              <w:rPr>
                <w:rFonts w:hint="eastAsia"/>
              </w:rPr>
              <w:t>容积：≥3700L，腔体尺寸（宽高深）mm：（1120×1250×2650）mm±5mm。（提供产品技术说明和彩页佐证）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2.</w:t>
            </w:r>
            <w:r>
              <w:rPr>
                <w:rFonts w:hint="eastAsia" w:ascii="宋体" w:hAnsi="宋体" w:cs="宋体"/>
              </w:rPr>
              <w:t>▲</w:t>
            </w:r>
            <w:r>
              <w:rPr>
                <w:rFonts w:hint="eastAsia"/>
              </w:rPr>
              <w:t>主体：环形加强筋结构，内腔强度和稳定性更高，多点进汽，多段加热，温度梯度便于内腔蒸汽对流，温度分布更均匀；主体保温采用玻璃棉，厚度60mm；主体设计压力-0.1/0.1Mpa，设计温度≥120℃。（提供产品竣工图纸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3.焊接工艺：全自动焊接机器人焊接保证焊缝质量；氩气保护，自动控制无过烧现象。能有效消除不锈钢晶体间腐蚀倾向，极大地延长使用寿命。（提供产品技术说明和彩页佐证）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4.材质：内壳316L不锈钢或以上材质，夹层316L不锈钢或以上材质。（提供产品技术说明和彩页佐证）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5.夹套数量：环形加强筋结构，环形加强筋个数≥7个。多点进汽，进汽口数量≥7个。（提供产品竣工图纸佐证）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6.门：双门设计，门板背面焊接加强筋，加强筋数量≥4个；动力方式：电机带轮通过同步带驱动门板左右平移开门，全过程自动完成；安全联锁：压力安全联锁装置：通过省级技术监督部门鉴定，门只有关闭到位，电源才能接通加热产生蒸汽；内室有正压或负压压力，门无法打开；双门互锁，一个门处在非关闭状态下，另一个门无法进行门动作；门胶圈：圆形门胶圈，医用透明高抗撕硅橡胶材质，压缩气密封；门障碍报警：关门过程中，遇到障碍，触摸屏会显示报警信息，门动作将反向开启，最大限度的保证安全。</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7.管路：不锈钢卫生级管路，卡箍链接；泵：单级直连式水环真空泵；阀：原装进口气动阀和电磁阀，气动阀保证400万次无故障运行；压变：国际知名品牌，响应时间＜4ms</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8.蒸汽源：非电热，外接蒸汽源或外接独立蒸汽发生器</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9.节能降噪：带有节水降噪装置，带有换热器冷凝水回收系统，节约能源；设有板式换热器，换热效率高，使用寿命长。（提供产品技术说明和彩页佐证）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10.排水方式：低温无压排水，非带压力排水设计。（提供产品技术说明和彩页佐证）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11.控制系统：PLC控制器，并采用触摸屏操作，屏幕尺寸：＞10寸； 分辨率不低于1024×768。（提供产品技术说明和彩页佐证）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12.记录方式：触摸屏记录：相关报警信息存储在触摸屏中，可随时查看；内置热敏打印机，可将程序运行过程中的相关信息打印出来。记录内容：灭菌过程参数：灭菌过程的温度、压力、时间、过程阶段、预置参数等均可使用内置热敏打印机进行打印；报警信息：程序运行过程中相关关键报警信息可在热敏打印纸上打印。</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13.安全保护：超压保护：内室压力超过程序运行允许压力，程序自动退出转入故障状态下处理；门关位检测保护：门开关在程序运行过程中检测异常，程序自动退出转入故障状态下处理。</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 xml:space="preserve">14.程序：消毒类程序≥6套，程序运行时间：标准循环:≦55分钟；脉动次数设定范围：0～99次可设；消毒温度：80℃、85℃和105℃可选；消毒时间：灭菌时间设定范围：0～9999秒可设；干燥时间设定范围：0～9999秒可设。（提供产品技术说明和彩页佐证） </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15.物品装载方式：地坑装载（提供产品技术说明和彩页佐证）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pPr>
            <w:r>
              <w:rPr>
                <w:rFonts w:hint="eastAsia"/>
              </w:rPr>
              <w:t>16.外形尺寸（宽高深）mm：（3200×2000×3200）mm±20mm（提供产品技术说明和彩页佐证）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pPr>
            <w:r>
              <w:rPr>
                <w:rFonts w:hint="eastAsia"/>
              </w:rPr>
              <w:t>17.使用寿命≥15年/30000次灭菌循环（提供产品铭牌佐证）</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rPr>
              <w:t>18.</w:t>
            </w:r>
            <w:r>
              <w:rPr>
                <w:rFonts w:hint="eastAsia" w:ascii="宋体" w:hAnsi="宋体" w:cs="宋体"/>
              </w:rPr>
              <w:t>▲</w:t>
            </w:r>
            <w:r>
              <w:rPr>
                <w:rFonts w:hint="eastAsia"/>
              </w:rPr>
              <w:t>灭菌质量要求：生产企业具备产品的灭菌温度均匀性和灭菌温度稳定性的验证资质，保证后续产品使用有效期内的灭菌参数的严格性（提供生产企业在有效期内的中国合格评定国家认可委员会实验室认可证书）</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b/>
                <w:bCs/>
                <w:color w:val="3F3F3F"/>
                <w:kern w:val="0"/>
                <w:sz w:val="22"/>
              </w:rPr>
            </w:pPr>
            <w:r>
              <w:rPr>
                <w:rFonts w:hint="eastAsia" w:ascii="宋体" w:hAnsi="宋体" w:cs="宋体"/>
                <w:b/>
                <w:bCs/>
                <w:color w:val="3F3F3F"/>
                <w:kern w:val="0"/>
                <w:sz w:val="22"/>
              </w:rPr>
              <w:t>配置清单</w:t>
            </w:r>
          </w:p>
          <w:p>
            <w:pPr>
              <w:keepNext w:val="0"/>
              <w:keepLines w:val="0"/>
              <w:pageBreakBefore w:val="0"/>
              <w:widowControl/>
              <w:kinsoku/>
              <w:wordWrap/>
              <w:overflowPunct/>
              <w:topLinePunct w:val="0"/>
              <w:autoSpaceDE/>
              <w:autoSpaceDN/>
              <w:bidi w:val="0"/>
              <w:adjustRightInd/>
              <w:snapToGrid/>
              <w:spacing w:line="276" w:lineRule="auto"/>
              <w:jc w:val="left"/>
              <w:textAlignment w:val="auto"/>
            </w:pPr>
            <w:r>
              <w:rPr>
                <w:rFonts w:hint="eastAsia"/>
              </w:rPr>
              <w:t>1、主机1台</w:t>
            </w:r>
          </w:p>
          <w:p>
            <w:pPr>
              <w:keepNext w:val="0"/>
              <w:keepLines w:val="0"/>
              <w:pageBreakBefore w:val="0"/>
              <w:widowControl/>
              <w:kinsoku/>
              <w:wordWrap/>
              <w:overflowPunct/>
              <w:topLinePunct w:val="0"/>
              <w:autoSpaceDE/>
              <w:autoSpaceDN/>
              <w:bidi w:val="0"/>
              <w:adjustRightInd/>
              <w:snapToGrid/>
              <w:spacing w:line="276" w:lineRule="auto"/>
              <w:jc w:val="left"/>
              <w:textAlignment w:val="auto"/>
              <w:rPr>
                <w:rFonts w:ascii="宋体" w:hAnsi="宋体" w:cs="宋体"/>
                <w:color w:val="3F3F3F"/>
                <w:kern w:val="0"/>
                <w:sz w:val="22"/>
              </w:rPr>
            </w:pPr>
            <w:r>
              <w:rPr>
                <w:rFonts w:hint="eastAsia"/>
              </w:rPr>
              <w:t>2、消毒车1辆</w:t>
            </w:r>
          </w:p>
        </w:tc>
      </w:tr>
    </w:tbl>
    <w:p>
      <w:pPr>
        <w:pStyle w:val="3"/>
        <w:bidi w:val="0"/>
        <w:jc w:val="center"/>
      </w:pPr>
      <w:r>
        <w:rPr>
          <w:rFonts w:hint="eastAsia"/>
        </w:rPr>
        <w:t>设备配套耗材试剂情况</w:t>
      </w:r>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配套耗材</w:t>
      </w:r>
    </w:p>
    <w:tbl>
      <w:tblPr>
        <w:tblStyle w:val="10"/>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4751"/>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8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4751"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80" w:type="dxa"/>
            <w:vAlign w:val="center"/>
          </w:tcPr>
          <w:p>
            <w:pPr>
              <w:jc w:val="center"/>
              <w:rPr>
                <w:rFonts w:ascii="仿宋_GB2312" w:hAnsi="Times New Roman" w:eastAsia="仿宋_GB2312"/>
                <w:b/>
                <w:sz w:val="28"/>
                <w:szCs w:val="21"/>
              </w:rPr>
            </w:pPr>
            <w:bookmarkStart w:id="0" w:name="_GoBack" w:colFirst="2" w:colLast="3"/>
            <w:r>
              <w:rPr>
                <w:rFonts w:hint="eastAsia" w:ascii="仿宋_GB2312" w:hAnsi="Times New Roman" w:eastAsia="仿宋_GB2312"/>
                <w:b/>
                <w:sz w:val="28"/>
                <w:szCs w:val="21"/>
              </w:rPr>
              <w:t>1</w:t>
            </w:r>
          </w:p>
        </w:tc>
        <w:tc>
          <w:tcPr>
            <w:tcW w:w="4751" w:type="dxa"/>
            <w:vAlign w:val="center"/>
          </w:tcPr>
          <w:p>
            <w:pPr>
              <w:jc w:val="center"/>
              <w:rPr>
                <w:rFonts w:hint="eastAsia" w:ascii="仿宋_GB2312" w:hAnsi="Times New Roman" w:eastAsia="仿宋_GB2312"/>
                <w:b/>
                <w:sz w:val="28"/>
                <w:szCs w:val="21"/>
                <w:lang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bookmarkEnd w:id="0"/>
    </w:tbl>
    <w:p>
      <w:pPr>
        <w:jc w:val="left"/>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10"/>
        <w:tblW w:w="975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741"/>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0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4741"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hint="eastAsia" w:ascii="仿宋_GB2312" w:hAnsi="Times New Roman" w:eastAsia="仿宋_GB2312"/>
                <w:b/>
                <w:sz w:val="24"/>
                <w:szCs w:val="21"/>
                <w:lang w:eastAsia="zh-CN"/>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lang w:eastAsia="zh-CN"/>
              </w:rPr>
              <w:t>（</w:t>
            </w:r>
            <w:r>
              <w:rPr>
                <w:rFonts w:hint="eastAsia" w:ascii="仿宋_GB2312" w:hAnsi="Times New Roman" w:eastAsia="仿宋_GB2312"/>
                <w:b/>
                <w:sz w:val="24"/>
                <w:szCs w:val="21"/>
                <w:lang w:val="en-US" w:eastAsia="zh-CN"/>
              </w:rPr>
              <w:t>元</w:t>
            </w:r>
            <w:r>
              <w:rPr>
                <w:rFonts w:hint="eastAsia" w:ascii="仿宋_GB2312" w:hAnsi="Times New Roman" w:eastAsia="仿宋_GB2312"/>
                <w:b/>
                <w:sz w:val="24"/>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90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4741" w:type="dxa"/>
            <w:vAlign w:val="center"/>
          </w:tcPr>
          <w:p>
            <w:pPr>
              <w:jc w:val="center"/>
              <w:rPr>
                <w:rFonts w:hint="eastAsia" w:ascii="仿宋_GB2312" w:hAnsi="Times New Roman" w:eastAsia="仿宋_GB2312"/>
                <w:sz w:val="24"/>
                <w:szCs w:val="21"/>
                <w:lang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tabs>
          <w:tab w:val="left" w:pos="1710"/>
        </w:tabs>
        <w:rPr>
          <w:rFonts w:ascii="宋体" w:hAnsi="宋体"/>
          <w:b/>
          <w:bCs/>
          <w:sz w:val="24"/>
          <w:szCs w:val="32"/>
        </w:rPr>
      </w:pPr>
      <w:r>
        <w:rPr>
          <w:rFonts w:ascii="宋体" w:hAnsi="宋体"/>
          <w:b/>
          <w:bCs/>
          <w:sz w:val="24"/>
          <w:szCs w:val="32"/>
        </w:rPr>
        <w:tab/>
      </w:r>
    </w:p>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4529"/>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E24B2"/>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544EC"/>
    <w:rsid w:val="00A70CB8"/>
    <w:rsid w:val="00A75EBB"/>
    <w:rsid w:val="00AA10B5"/>
    <w:rsid w:val="00AA2A2D"/>
    <w:rsid w:val="00AB3ABF"/>
    <w:rsid w:val="00AB43D9"/>
    <w:rsid w:val="00AB686E"/>
    <w:rsid w:val="00AF2364"/>
    <w:rsid w:val="00B04F86"/>
    <w:rsid w:val="00B16C5C"/>
    <w:rsid w:val="00B36BC4"/>
    <w:rsid w:val="00B37A82"/>
    <w:rsid w:val="00B929CA"/>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32D03"/>
    <w:rsid w:val="00E43D98"/>
    <w:rsid w:val="00E54CF2"/>
    <w:rsid w:val="00E84839"/>
    <w:rsid w:val="00E87DEE"/>
    <w:rsid w:val="00EA0AF4"/>
    <w:rsid w:val="00EA3933"/>
    <w:rsid w:val="00F128E8"/>
    <w:rsid w:val="00F176BB"/>
    <w:rsid w:val="00F3782E"/>
    <w:rsid w:val="00F40917"/>
    <w:rsid w:val="00F47DA3"/>
    <w:rsid w:val="00F749F5"/>
    <w:rsid w:val="00F84832"/>
    <w:rsid w:val="00FD02B5"/>
    <w:rsid w:val="00FD584F"/>
    <w:rsid w:val="01C45AC6"/>
    <w:rsid w:val="05D82958"/>
    <w:rsid w:val="0D712415"/>
    <w:rsid w:val="0DC30F51"/>
    <w:rsid w:val="135A682F"/>
    <w:rsid w:val="138529B4"/>
    <w:rsid w:val="19832ED4"/>
    <w:rsid w:val="1AF14A49"/>
    <w:rsid w:val="1D85546D"/>
    <w:rsid w:val="20527BD7"/>
    <w:rsid w:val="214C62A1"/>
    <w:rsid w:val="22997A38"/>
    <w:rsid w:val="22DB168B"/>
    <w:rsid w:val="2AE632C3"/>
    <w:rsid w:val="2DD35D80"/>
    <w:rsid w:val="31253085"/>
    <w:rsid w:val="39AA6F7C"/>
    <w:rsid w:val="3DDE2232"/>
    <w:rsid w:val="40C77D7C"/>
    <w:rsid w:val="4107115F"/>
    <w:rsid w:val="43E71B8B"/>
    <w:rsid w:val="46116FEE"/>
    <w:rsid w:val="513E4021"/>
    <w:rsid w:val="51E11F6A"/>
    <w:rsid w:val="538A23F9"/>
    <w:rsid w:val="54C55B73"/>
    <w:rsid w:val="58E42F8B"/>
    <w:rsid w:val="603040BD"/>
    <w:rsid w:val="61773837"/>
    <w:rsid w:val="63FD3550"/>
    <w:rsid w:val="665054B9"/>
    <w:rsid w:val="66D6776C"/>
    <w:rsid w:val="67582877"/>
    <w:rsid w:val="67A41618"/>
    <w:rsid w:val="6939071B"/>
    <w:rsid w:val="69653140"/>
    <w:rsid w:val="6AF42ACD"/>
    <w:rsid w:val="6F6C6454"/>
    <w:rsid w:val="704936A5"/>
    <w:rsid w:val="70F0779D"/>
    <w:rsid w:val="71470FFB"/>
    <w:rsid w:val="71557B0B"/>
    <w:rsid w:val="72344D38"/>
    <w:rsid w:val="75073DF6"/>
    <w:rsid w:val="75563DFD"/>
    <w:rsid w:val="75661A13"/>
    <w:rsid w:val="76C10199"/>
    <w:rsid w:val="76DA5057"/>
    <w:rsid w:val="79301740"/>
    <w:rsid w:val="7A86154F"/>
    <w:rsid w:val="7B180822"/>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autoRedefine/>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5"/>
    <w:unhideWhenUsed/>
    <w:qFormat/>
    <w:uiPriority w:val="99"/>
    <w:pPr>
      <w:jc w:val="left"/>
    </w:pPr>
  </w:style>
  <w:style w:type="paragraph" w:styleId="5">
    <w:name w:val="Body Text Indent"/>
    <w:basedOn w:val="1"/>
    <w:qFormat/>
    <w:uiPriority w:val="0"/>
    <w:pPr>
      <w:spacing w:after="120"/>
      <w:ind w:left="420" w:leftChars="200"/>
    </w:pPr>
  </w:style>
  <w:style w:type="paragraph" w:styleId="6">
    <w:name w:val="Balloon Text"/>
    <w:basedOn w:val="1"/>
    <w:link w:val="16"/>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kern w:val="0"/>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Body Text First Indent 2"/>
    <w:basedOn w:val="5"/>
    <w:autoRedefine/>
    <w:qFormat/>
    <w:uiPriority w:val="0"/>
    <w:pPr>
      <w:ind w:firstLine="420" w:firstLine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99"/>
    <w:rPr>
      <w:sz w:val="21"/>
      <w:szCs w:val="21"/>
    </w:rPr>
  </w:style>
  <w:style w:type="character" w:customStyle="1" w:styleId="14">
    <w:name w:val="标题 1 字符"/>
    <w:link w:val="2"/>
    <w:qFormat/>
    <w:uiPriority w:val="9"/>
    <w:rPr>
      <w:b/>
      <w:bCs/>
      <w:kern w:val="44"/>
      <w:sz w:val="44"/>
      <w:szCs w:val="44"/>
    </w:rPr>
  </w:style>
  <w:style w:type="character" w:customStyle="1" w:styleId="15">
    <w:name w:val="批注文字 字符"/>
    <w:link w:val="4"/>
    <w:semiHidden/>
    <w:qFormat/>
    <w:uiPriority w:val="99"/>
    <w:rPr>
      <w:kern w:val="2"/>
      <w:sz w:val="21"/>
      <w:szCs w:val="22"/>
    </w:rPr>
  </w:style>
  <w:style w:type="character" w:customStyle="1" w:styleId="16">
    <w:name w:val="批注框文本 字符"/>
    <w:link w:val="6"/>
    <w:semiHidden/>
    <w:qFormat/>
    <w:uiPriority w:val="99"/>
    <w:rPr>
      <w:kern w:val="2"/>
      <w:sz w:val="18"/>
      <w:szCs w:val="18"/>
    </w:rPr>
  </w:style>
  <w:style w:type="character" w:customStyle="1" w:styleId="17">
    <w:name w:val="页脚 字符"/>
    <w:link w:val="7"/>
    <w:qFormat/>
    <w:uiPriority w:val="99"/>
    <w:rPr>
      <w:sz w:val="18"/>
      <w:szCs w:val="18"/>
    </w:rPr>
  </w:style>
  <w:style w:type="character" w:customStyle="1" w:styleId="18">
    <w:name w:val="页眉 字符"/>
    <w:link w:val="8"/>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7</Pages>
  <Words>470</Words>
  <Characters>2680</Characters>
  <Lines>22</Lines>
  <Paragraphs>6</Paragraphs>
  <TotalTime>4</TotalTime>
  <ScaleCrop>false</ScaleCrop>
  <LinksUpToDate>false</LinksUpToDate>
  <CharactersWithSpaces>3144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2024-04-02T00:33:35Z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