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深圳市儿童医院设备采购需求参数表</w:t>
      </w:r>
    </w:p>
    <w:p>
      <w:pPr>
        <w:widowControl/>
        <w:jc w:val="left"/>
      </w:pP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97"/>
        <w:gridCol w:w="75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97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597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397" w:type="dxa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连续性血液净化设备</w:t>
            </w:r>
          </w:p>
        </w:tc>
        <w:tc>
          <w:tcPr>
            <w:tcW w:w="7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全中文引导自助式操作菜单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▲6泵(含一个肝素泵)中包含：血泵前泵（PBP）：0—4000ml.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 xml:space="preserve">4个手柄推拉式电子秤(颜色标识)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防静电装置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注册证,安全许可证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具备配套耗材条形码识别器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全中文引导自助式操作菜单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12英寸彩色液晶触摸式显示屏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可选择的CRRT治疗方式：连续静脉静脉血液滤过（CVVH）、连续静脉静脉血液透析（CVVHD）、连续静脉静脉血液透析滤过（CVVHDF）、缓慢持续超滤（SCUF）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开放系统可联合不同的滤器扩展新的治疗,包括血液灌流（HP）, 血浆分离、置换、吸附（TPE）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▲2个夹管阀：在不更换、不手动分离管路下实行：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前稀释CVVH/CVVHDF、后稀释CVVH/CVVHDF、前加后稀释CVVH/CVVHDF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置换液速度：0-8000ml/h ；增幅:10-50ml/h、血液流速：10-450ml/min；增幅:10ml/min、透析液速度： 0-8000ml/h；增幅:50ml/h、废液速度：  0-10000ml/h 、精确度：±10%。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 xml:space="preserve">静脉压检测范围：-50 mmHg - +350 mmHg、动脉压检测范围： -250mmHg - +450 mmHg、滤器前线路压力： -50 - +450mmHg ;废液线路压力：-350 - +400mmHg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具备4个电子秤，分别监测透析量、置换液、血泵前输液的使用和排出的废液量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具备5个压力传感器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按钮式回路静脉排气壶液面高度调节和自动排气，全血路包括排气壶无气-血界面处理技术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漏血监测；当最大废液流速、HCT=32%时，≧0.35ml/min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具有空气超声探测报警 ,可监测出最小20μl的气泡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8" w:lineRule="auto"/>
              <w:ind w:left="425" w:hanging="425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使用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一体化耗材：管路和滤器预连接避免污染，颜色标示易于安装，避免误操作；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8" w:lineRule="auto"/>
              <w:ind w:left="425" w:hanging="425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▲使用能吸附清除血液内细胞因子等炎症介质的滤器和管路配套，可以更好地进行无抗凝治疗，可配套提供针对脓毒血症患者吸附清除内毒素的滤器。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体外血容量极低（60—189ml）,内置条形码，便于识别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▲可以一体化枸橼酸或者肝素抗凝，不需额外增加输注泵配置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▲直接静脉血液加温控制温度：33℃- 43℃，连续可调：0.5℃/档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可通过USB转移资料、存储不低于96个小时的治疗信息，自动存档＞5000个报警及治疗参数变更信息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后备电源在断电情况下，保持整机运行治疗不中断十分钟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88" w:lineRule="auto"/>
              <w:ind w:left="425" w:hanging="425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▲漏液探测器：监测漏液精度50ml。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774"/>
        <w:gridCol w:w="130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77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77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一次性使用血液透析滤过器及配套管路（M60）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1778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77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血浆分离器与管路配套（TPE1000）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3100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3</w:t>
            </w:r>
          </w:p>
        </w:tc>
        <w:tc>
          <w:tcPr>
            <w:tcW w:w="577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一次性使用血液透析滤过器及配套管路（oXiris 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6800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4</w:t>
            </w:r>
          </w:p>
        </w:tc>
        <w:tc>
          <w:tcPr>
            <w:tcW w:w="577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一次性使用血液透析滤过器及配套管路（ST100）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2100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13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B8C067"/>
    <w:multiLevelType w:val="singleLevel"/>
    <w:tmpl w:val="78B8C06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532"/>
    <w:rsid w:val="001D5E72"/>
    <w:rsid w:val="00206936"/>
    <w:rsid w:val="0022324C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2F0F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2729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337F5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2CD9"/>
    <w:rsid w:val="00F47DA3"/>
    <w:rsid w:val="00F749F5"/>
    <w:rsid w:val="00F84832"/>
    <w:rsid w:val="00FD02B5"/>
    <w:rsid w:val="00FD584F"/>
    <w:rsid w:val="00FE2F62"/>
    <w:rsid w:val="12DC2331"/>
    <w:rsid w:val="16C84A74"/>
    <w:rsid w:val="1C98798D"/>
    <w:rsid w:val="1F525822"/>
    <w:rsid w:val="20527BD7"/>
    <w:rsid w:val="2FAD3915"/>
    <w:rsid w:val="358305B7"/>
    <w:rsid w:val="3932788A"/>
    <w:rsid w:val="49CB1BAA"/>
    <w:rsid w:val="4DA0201C"/>
    <w:rsid w:val="52B720AC"/>
    <w:rsid w:val="774150D6"/>
    <w:rsid w:val="78A0407E"/>
    <w:rsid w:val="7A513882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6</Pages>
  <Words>370</Words>
  <Characters>2112</Characters>
  <Lines>17</Lines>
  <Paragraphs>4</Paragraphs>
  <TotalTime>3</TotalTime>
  <ScaleCrop>false</ScaleCrop>
  <LinksUpToDate>false</LinksUpToDate>
  <CharactersWithSpaces>2478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2024-03-28T07:22:37Z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