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rPr>
      </w:pPr>
      <w:r>
        <w:rPr>
          <w:rFonts w:hint="eastAsia" w:ascii="微软雅黑" w:hAnsi="微软雅黑" w:eastAsia="微软雅黑" w:cs="微软雅黑"/>
          <w:b/>
          <w:bCs/>
          <w:color w:val="3F3F3F"/>
          <w:kern w:val="0"/>
          <w:sz w:val="36"/>
          <w:szCs w:val="36"/>
        </w:rPr>
        <w:t>深圳市儿童医院设备采购需求参数表</w:t>
      </w:r>
    </w:p>
    <w:tbl>
      <w:tblPr>
        <w:tblStyle w:val="7"/>
        <w:tblW w:w="9654" w:type="dxa"/>
        <w:jc w:val="center"/>
        <w:tblLayout w:type="fixed"/>
        <w:tblCellMar>
          <w:top w:w="0" w:type="dxa"/>
          <w:left w:w="108" w:type="dxa"/>
          <w:bottom w:w="0" w:type="dxa"/>
          <w:right w:w="108" w:type="dxa"/>
        </w:tblCellMar>
      </w:tblPr>
      <w:tblGrid>
        <w:gridCol w:w="660"/>
        <w:gridCol w:w="1134"/>
        <w:gridCol w:w="7860"/>
      </w:tblGrid>
      <w:tr>
        <w:tblPrEx>
          <w:tblCellMar>
            <w:top w:w="0" w:type="dxa"/>
            <w:left w:w="108" w:type="dxa"/>
            <w:bottom w:w="0" w:type="dxa"/>
            <w:right w:w="108" w:type="dxa"/>
          </w:tblCellMar>
        </w:tblPrEx>
        <w:trPr>
          <w:trHeight w:val="23" w:hRule="atLeast"/>
          <w:jc w:val="center"/>
        </w:trPr>
        <w:tc>
          <w:tcPr>
            <w:tcW w:w="66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left"/>
              <w:rPr>
                <w:rFonts w:ascii="宋体" w:hAnsi="宋体" w:cs="宋体"/>
                <w:b/>
                <w:bCs/>
                <w:color w:val="3F3F3F"/>
                <w:kern w:val="0"/>
                <w:sz w:val="22"/>
              </w:rPr>
            </w:pPr>
            <w:r>
              <w:rPr>
                <w:rFonts w:hint="eastAsia" w:ascii="宋体" w:hAnsi="宋体" w:cs="宋体"/>
                <w:b/>
                <w:bCs/>
                <w:color w:val="3F3F3F"/>
                <w:kern w:val="0"/>
                <w:sz w:val="22"/>
              </w:rPr>
              <w:t>序号</w:t>
            </w:r>
          </w:p>
        </w:tc>
        <w:tc>
          <w:tcPr>
            <w:tcW w:w="1134" w:type="dxa"/>
            <w:tcBorders>
              <w:top w:val="single" w:color="3F3F3F" w:sz="4" w:space="0"/>
              <w:left w:val="single" w:color="auto" w:sz="4" w:space="0"/>
              <w:bottom w:val="single" w:color="3F3F3F" w:sz="4" w:space="0"/>
              <w:right w:val="single" w:color="3F3F3F" w:sz="4" w:space="0"/>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项目名称</w:t>
            </w:r>
          </w:p>
        </w:tc>
        <w:tc>
          <w:tcPr>
            <w:tcW w:w="7860" w:type="dxa"/>
            <w:tcBorders>
              <w:top w:val="single" w:color="3F3F3F" w:sz="4" w:space="0"/>
              <w:left w:val="nil"/>
              <w:bottom w:val="single" w:color="3F3F3F" w:sz="4" w:space="0"/>
              <w:right w:val="single" w:color="3F3F3F" w:sz="4" w:space="0"/>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招标事项及要求</w:t>
            </w:r>
          </w:p>
        </w:tc>
      </w:tr>
      <w:tr>
        <w:tblPrEx>
          <w:tblCellMar>
            <w:top w:w="0" w:type="dxa"/>
            <w:left w:w="108" w:type="dxa"/>
            <w:bottom w:w="0" w:type="dxa"/>
            <w:right w:w="108" w:type="dxa"/>
          </w:tblCellMar>
        </w:tblPrEx>
        <w:trPr>
          <w:trHeight w:val="23" w:hRule="atLeast"/>
          <w:jc w:val="center"/>
        </w:trPr>
        <w:tc>
          <w:tcPr>
            <w:tcW w:w="660" w:type="dxa"/>
            <w:vMerge w:val="restart"/>
            <w:tcBorders>
              <w:top w:val="single" w:color="auto" w:sz="4" w:space="0"/>
              <w:left w:val="single" w:color="3F3F3F" w:sz="4" w:space="0"/>
              <w:right w:val="single" w:color="3F3F3F" w:sz="4" w:space="0"/>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color w:val="3F3F3F"/>
                <w:kern w:val="0"/>
                <w:sz w:val="20"/>
                <w:szCs w:val="20"/>
              </w:rPr>
              <w:t>1</w:t>
            </w:r>
          </w:p>
        </w:tc>
        <w:tc>
          <w:tcPr>
            <w:tcW w:w="1134" w:type="dxa"/>
            <w:vMerge w:val="restart"/>
            <w:tcBorders>
              <w:top w:val="single" w:color="3F3F3F" w:sz="4" w:space="0"/>
              <w:left w:val="single" w:color="3F3F3F" w:sz="4" w:space="0"/>
              <w:right w:val="single" w:color="3F3F3F" w:sz="4" w:space="0"/>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18"/>
                <w:szCs w:val="18"/>
                <w:lang w:val="en-US" w:eastAsia="zh-CN"/>
              </w:rPr>
              <w:t>自体血液回收分离机</w:t>
            </w:r>
          </w:p>
        </w:tc>
        <w:tc>
          <w:tcPr>
            <w:tcW w:w="7860" w:type="dxa"/>
            <w:tcBorders>
              <w:top w:val="single" w:color="3F3F3F" w:sz="4" w:space="0"/>
              <w:left w:val="nil"/>
              <w:bottom w:val="single" w:color="3F3F3F" w:sz="4" w:space="0"/>
              <w:right w:val="single" w:color="3F3F3F" w:sz="4" w:space="0"/>
            </w:tcBorders>
            <w:shd w:val="clear" w:color="000000" w:fill="FFFFFF"/>
            <w:vAlign w:val="center"/>
          </w:tcPr>
          <w:p>
            <w:pPr>
              <w:rPr>
                <w:rFonts w:ascii="宋体" w:hAnsi="宋体" w:cs="宋体"/>
                <w:color w:val="3F3F3F"/>
                <w:kern w:val="0"/>
                <w:sz w:val="20"/>
                <w:szCs w:val="20"/>
              </w:rPr>
            </w:pPr>
            <w:r>
              <w:rPr>
                <w:rFonts w:eastAsiaTheme="minorHAnsi"/>
              </w:rPr>
              <w:t>▲</w:t>
            </w:r>
            <w:r>
              <w:t>1</w:t>
            </w:r>
            <w:r>
              <w:rPr>
                <w:rFonts w:hint="eastAsia"/>
              </w:rPr>
              <w:t>、</w:t>
            </w:r>
            <w:r>
              <w:t>连续式血液处理,血液处理过程无停顿，可避免对红细胞的二次污染，病人无回输反应</w:t>
            </w:r>
          </w:p>
        </w:tc>
      </w:tr>
      <w:tr>
        <w:tblPrEx>
          <w:tblCellMar>
            <w:top w:w="0" w:type="dxa"/>
            <w:left w:w="108" w:type="dxa"/>
            <w:bottom w:w="0" w:type="dxa"/>
            <w:right w:w="108" w:type="dxa"/>
          </w:tblCellMar>
        </w:tblPrEx>
        <w:trPr>
          <w:trHeight w:val="23" w:hRule="atLeast"/>
          <w:jc w:val="center"/>
        </w:trPr>
        <w:tc>
          <w:tcPr>
            <w:tcW w:w="660" w:type="dxa"/>
            <w:vMerge w:val="continue"/>
            <w:tcBorders>
              <w:left w:val="single" w:color="3F3F3F" w:sz="4" w:space="0"/>
              <w:right w:val="single" w:color="3F3F3F" w:sz="4" w:space="0"/>
            </w:tcBorders>
            <w:vAlign w:val="center"/>
          </w:tcPr>
          <w:p>
            <w:pPr>
              <w:widowControl/>
              <w:jc w:val="left"/>
              <w:rPr>
                <w:rFonts w:ascii="宋体" w:hAnsi="宋体" w:cs="宋体"/>
                <w:color w:val="3F3F3F"/>
                <w:kern w:val="0"/>
                <w:sz w:val="20"/>
                <w:szCs w:val="20"/>
              </w:rPr>
            </w:pPr>
          </w:p>
        </w:tc>
        <w:tc>
          <w:tcPr>
            <w:tcW w:w="1134" w:type="dxa"/>
            <w:vMerge w:val="continue"/>
            <w:tcBorders>
              <w:left w:val="single" w:color="3F3F3F" w:sz="4" w:space="0"/>
              <w:right w:val="single" w:color="3F3F3F" w:sz="4" w:space="0"/>
            </w:tcBorders>
            <w:vAlign w:val="center"/>
          </w:tcPr>
          <w:p>
            <w:pPr>
              <w:widowControl/>
              <w:jc w:val="left"/>
              <w:rPr>
                <w:rFonts w:ascii="宋体" w:hAnsi="宋体" w:cs="宋体"/>
                <w:color w:val="3F3F3F"/>
                <w:kern w:val="0"/>
                <w:sz w:val="20"/>
                <w:szCs w:val="20"/>
              </w:rPr>
            </w:pPr>
          </w:p>
        </w:tc>
        <w:tc>
          <w:tcPr>
            <w:tcW w:w="7860" w:type="dxa"/>
            <w:tcBorders>
              <w:top w:val="single" w:color="3F3F3F" w:sz="4" w:space="0"/>
              <w:left w:val="nil"/>
              <w:bottom w:val="single" w:color="3F3F3F" w:sz="4" w:space="0"/>
              <w:right w:val="single" w:color="3F3F3F" w:sz="4" w:space="0"/>
            </w:tcBorders>
            <w:shd w:val="clear" w:color="000000" w:fill="FFFFFF"/>
            <w:vAlign w:val="center"/>
          </w:tcPr>
          <w:p>
            <w:pPr>
              <w:rPr>
                <w:rFonts w:ascii="宋体" w:hAnsi="宋体" w:cs="宋体"/>
                <w:color w:val="3F3F3F"/>
                <w:kern w:val="0"/>
                <w:sz w:val="20"/>
                <w:szCs w:val="20"/>
              </w:rPr>
            </w:pPr>
            <w:r>
              <w:t>2</w:t>
            </w:r>
            <w:r>
              <w:rPr>
                <w:rFonts w:hint="eastAsia"/>
              </w:rPr>
              <w:t>、</w:t>
            </w:r>
            <w:r>
              <w:t>系统具有三个泵，失血泵、洗涤红细胞（PRC）泵和盐水泵，每泵各有独立的管路，实现血液处理的连续进行，泵的工作不停顿。泵的转速：洗涤红细胞泵0－190ml/min，  失血泵0－350ml/min，盐水泵0－400ml/min</w:t>
            </w:r>
          </w:p>
        </w:tc>
      </w:tr>
      <w:tr>
        <w:tblPrEx>
          <w:tblCellMar>
            <w:top w:w="0" w:type="dxa"/>
            <w:left w:w="108" w:type="dxa"/>
            <w:bottom w:w="0" w:type="dxa"/>
            <w:right w:w="108" w:type="dxa"/>
          </w:tblCellMar>
        </w:tblPrEx>
        <w:trPr>
          <w:trHeight w:val="23" w:hRule="atLeast"/>
          <w:jc w:val="center"/>
        </w:trPr>
        <w:tc>
          <w:tcPr>
            <w:tcW w:w="660" w:type="dxa"/>
            <w:vMerge w:val="continue"/>
            <w:tcBorders>
              <w:left w:val="single" w:color="3F3F3F" w:sz="4" w:space="0"/>
              <w:right w:val="single" w:color="3F3F3F" w:sz="4" w:space="0"/>
            </w:tcBorders>
            <w:vAlign w:val="center"/>
          </w:tcPr>
          <w:p>
            <w:pPr>
              <w:widowControl/>
              <w:jc w:val="left"/>
              <w:rPr>
                <w:rFonts w:ascii="宋体" w:hAnsi="宋体" w:cs="宋体"/>
                <w:color w:val="3F3F3F"/>
                <w:kern w:val="0"/>
                <w:sz w:val="20"/>
                <w:szCs w:val="20"/>
              </w:rPr>
            </w:pPr>
          </w:p>
        </w:tc>
        <w:tc>
          <w:tcPr>
            <w:tcW w:w="1134" w:type="dxa"/>
            <w:vMerge w:val="continue"/>
            <w:tcBorders>
              <w:left w:val="single" w:color="3F3F3F" w:sz="4" w:space="0"/>
              <w:right w:val="single" w:color="3F3F3F" w:sz="4" w:space="0"/>
            </w:tcBorders>
            <w:vAlign w:val="center"/>
          </w:tcPr>
          <w:p>
            <w:pPr>
              <w:widowControl/>
              <w:jc w:val="left"/>
              <w:rPr>
                <w:rFonts w:ascii="宋体" w:hAnsi="宋体" w:cs="宋体"/>
                <w:color w:val="3F3F3F"/>
                <w:kern w:val="0"/>
                <w:sz w:val="20"/>
                <w:szCs w:val="20"/>
              </w:rPr>
            </w:pPr>
          </w:p>
        </w:tc>
        <w:tc>
          <w:tcPr>
            <w:tcW w:w="7860" w:type="dxa"/>
            <w:tcBorders>
              <w:top w:val="single" w:color="3F3F3F" w:sz="4" w:space="0"/>
              <w:left w:val="nil"/>
              <w:bottom w:val="single" w:color="3F3F3F" w:sz="4" w:space="0"/>
              <w:right w:val="single" w:color="3F3F3F" w:sz="4" w:space="0"/>
            </w:tcBorders>
            <w:shd w:val="clear" w:color="000000" w:fill="FFFFFF"/>
            <w:vAlign w:val="center"/>
          </w:tcPr>
          <w:p>
            <w:pPr>
              <w:rPr>
                <w:rFonts w:ascii="宋体" w:hAnsi="宋体" w:cs="宋体"/>
                <w:color w:val="3F3F3F"/>
                <w:kern w:val="0"/>
                <w:sz w:val="20"/>
                <w:szCs w:val="20"/>
              </w:rPr>
            </w:pPr>
            <w:r>
              <w:rPr>
                <w:rFonts w:eastAsiaTheme="minorHAnsi"/>
              </w:rPr>
              <w:t>▲</w:t>
            </w:r>
            <w:r>
              <w:t>3</w:t>
            </w:r>
            <w:r>
              <w:rPr>
                <w:rFonts w:hint="eastAsia"/>
              </w:rPr>
              <w:t>、</w:t>
            </w:r>
            <w:r>
              <w:t>离心机转速：0－2400转／</w:t>
            </w:r>
            <w:r>
              <w:rPr>
                <w:rFonts w:hint="eastAsia"/>
                <w:lang w:val="en-US" w:eastAsia="zh-CN"/>
              </w:rPr>
              <w:t>分钟</w:t>
            </w:r>
          </w:p>
        </w:tc>
      </w:tr>
      <w:tr>
        <w:tblPrEx>
          <w:tblCellMar>
            <w:top w:w="0" w:type="dxa"/>
            <w:left w:w="108" w:type="dxa"/>
            <w:bottom w:w="0" w:type="dxa"/>
            <w:right w:w="108" w:type="dxa"/>
          </w:tblCellMar>
        </w:tblPrEx>
        <w:trPr>
          <w:trHeight w:val="23" w:hRule="atLeast"/>
          <w:jc w:val="center"/>
        </w:trPr>
        <w:tc>
          <w:tcPr>
            <w:tcW w:w="660" w:type="dxa"/>
            <w:vMerge w:val="continue"/>
            <w:tcBorders>
              <w:left w:val="single" w:color="3F3F3F" w:sz="4" w:space="0"/>
              <w:right w:val="single" w:color="3F3F3F" w:sz="4" w:space="0"/>
            </w:tcBorders>
            <w:vAlign w:val="center"/>
          </w:tcPr>
          <w:p>
            <w:pPr>
              <w:widowControl/>
              <w:jc w:val="left"/>
              <w:rPr>
                <w:rFonts w:ascii="宋体" w:hAnsi="宋体" w:cs="宋体"/>
                <w:color w:val="3F3F3F"/>
                <w:kern w:val="0"/>
                <w:sz w:val="20"/>
                <w:szCs w:val="20"/>
              </w:rPr>
            </w:pPr>
          </w:p>
        </w:tc>
        <w:tc>
          <w:tcPr>
            <w:tcW w:w="1134" w:type="dxa"/>
            <w:vMerge w:val="continue"/>
            <w:tcBorders>
              <w:left w:val="single" w:color="3F3F3F" w:sz="4" w:space="0"/>
              <w:right w:val="single" w:color="3F3F3F" w:sz="4" w:space="0"/>
            </w:tcBorders>
            <w:vAlign w:val="center"/>
          </w:tcPr>
          <w:p>
            <w:pPr>
              <w:widowControl/>
              <w:jc w:val="left"/>
              <w:rPr>
                <w:rFonts w:ascii="宋体" w:hAnsi="宋体" w:cs="宋体"/>
                <w:color w:val="3F3F3F"/>
                <w:kern w:val="0"/>
                <w:sz w:val="20"/>
                <w:szCs w:val="20"/>
              </w:rPr>
            </w:pPr>
          </w:p>
        </w:tc>
        <w:tc>
          <w:tcPr>
            <w:tcW w:w="7860" w:type="dxa"/>
            <w:tcBorders>
              <w:top w:val="single" w:color="3F3F3F" w:sz="4" w:space="0"/>
              <w:left w:val="nil"/>
              <w:bottom w:val="single" w:color="3F3F3F" w:sz="4" w:space="0"/>
              <w:right w:val="single" w:color="3F3F3F" w:sz="4" w:space="0"/>
            </w:tcBorders>
            <w:shd w:val="clear" w:color="000000" w:fill="FFFFFF"/>
            <w:vAlign w:val="center"/>
          </w:tcPr>
          <w:p>
            <w:pPr>
              <w:rPr>
                <w:rFonts w:ascii="宋体" w:hAnsi="宋体" w:cs="宋体"/>
                <w:color w:val="3F3F3F"/>
                <w:kern w:val="0"/>
                <w:sz w:val="20"/>
                <w:szCs w:val="20"/>
              </w:rPr>
            </w:pPr>
            <w:r>
              <w:t>4</w:t>
            </w:r>
            <w:r>
              <w:rPr>
                <w:rFonts w:hint="eastAsia"/>
              </w:rPr>
              <w:t>、</w:t>
            </w:r>
            <w:r>
              <w:t>紧急情况下，连续的清出的红细胞（PRC）流量可达到100ml/min.，血细胞压积&gt;60％。每十分钟处理出1000ml可回输的红细胞。通常情况下，连续的清洗过的红细胞（PRC）流量达到30－70ml/min</w:t>
            </w:r>
          </w:p>
        </w:tc>
      </w:tr>
      <w:tr>
        <w:tblPrEx>
          <w:tblCellMar>
            <w:top w:w="0" w:type="dxa"/>
            <w:left w:w="108" w:type="dxa"/>
            <w:bottom w:w="0" w:type="dxa"/>
            <w:right w:w="108" w:type="dxa"/>
          </w:tblCellMar>
        </w:tblPrEx>
        <w:trPr>
          <w:trHeight w:val="23" w:hRule="atLeast"/>
          <w:jc w:val="center"/>
        </w:trPr>
        <w:tc>
          <w:tcPr>
            <w:tcW w:w="660" w:type="dxa"/>
            <w:vMerge w:val="continue"/>
            <w:tcBorders>
              <w:left w:val="single" w:color="3F3F3F" w:sz="4" w:space="0"/>
              <w:right w:val="single" w:color="3F3F3F" w:sz="4" w:space="0"/>
            </w:tcBorders>
            <w:vAlign w:val="center"/>
          </w:tcPr>
          <w:p>
            <w:pPr>
              <w:widowControl/>
              <w:jc w:val="left"/>
              <w:rPr>
                <w:rFonts w:ascii="宋体" w:hAnsi="宋体" w:cs="宋体"/>
                <w:color w:val="3F3F3F"/>
                <w:kern w:val="0"/>
                <w:sz w:val="20"/>
                <w:szCs w:val="20"/>
              </w:rPr>
            </w:pPr>
          </w:p>
        </w:tc>
        <w:tc>
          <w:tcPr>
            <w:tcW w:w="1134" w:type="dxa"/>
            <w:vMerge w:val="continue"/>
            <w:tcBorders>
              <w:left w:val="single" w:color="3F3F3F" w:sz="4" w:space="0"/>
              <w:right w:val="single" w:color="3F3F3F" w:sz="4" w:space="0"/>
            </w:tcBorders>
            <w:vAlign w:val="center"/>
          </w:tcPr>
          <w:p>
            <w:pPr>
              <w:widowControl/>
              <w:jc w:val="left"/>
              <w:rPr>
                <w:rFonts w:ascii="宋体" w:hAnsi="宋体" w:cs="宋体"/>
                <w:color w:val="3F3F3F"/>
                <w:kern w:val="0"/>
                <w:sz w:val="20"/>
                <w:szCs w:val="20"/>
              </w:rPr>
            </w:pPr>
          </w:p>
        </w:tc>
        <w:tc>
          <w:tcPr>
            <w:tcW w:w="7860" w:type="dxa"/>
            <w:tcBorders>
              <w:top w:val="single" w:color="3F3F3F" w:sz="4" w:space="0"/>
              <w:left w:val="nil"/>
              <w:bottom w:val="single" w:color="3F3F3F" w:sz="4" w:space="0"/>
              <w:right w:val="single" w:color="3F3F3F" w:sz="4" w:space="0"/>
            </w:tcBorders>
            <w:shd w:val="clear" w:color="000000" w:fill="FFFFFF"/>
            <w:vAlign w:val="center"/>
          </w:tcPr>
          <w:p>
            <w:pPr>
              <w:rPr>
                <w:rFonts w:ascii="宋体" w:hAnsi="宋体" w:cs="宋体"/>
                <w:color w:val="3F3F3F"/>
                <w:kern w:val="0"/>
                <w:sz w:val="20"/>
                <w:szCs w:val="20"/>
              </w:rPr>
            </w:pPr>
            <w:r>
              <w:rPr>
                <w:rFonts w:eastAsiaTheme="minorHAnsi"/>
              </w:rPr>
              <w:t>▲</w:t>
            </w:r>
            <w:r>
              <w:t>5</w:t>
            </w:r>
            <w:r>
              <w:rPr>
                <w:rFonts w:hint="eastAsia"/>
              </w:rPr>
              <w:t>、</w:t>
            </w:r>
            <w:r>
              <w:t>清洗出的红细胞压积恒定在60％以上，机器可根据失血压积的高低自动调节进血量</w:t>
            </w:r>
          </w:p>
        </w:tc>
      </w:tr>
      <w:tr>
        <w:tblPrEx>
          <w:tblCellMar>
            <w:top w:w="0" w:type="dxa"/>
            <w:left w:w="108" w:type="dxa"/>
            <w:bottom w:w="0" w:type="dxa"/>
            <w:right w:w="108" w:type="dxa"/>
          </w:tblCellMar>
        </w:tblPrEx>
        <w:trPr>
          <w:trHeight w:val="23" w:hRule="atLeast"/>
          <w:jc w:val="center"/>
        </w:trPr>
        <w:tc>
          <w:tcPr>
            <w:tcW w:w="660" w:type="dxa"/>
            <w:vMerge w:val="continue"/>
            <w:tcBorders>
              <w:left w:val="single" w:color="3F3F3F" w:sz="4" w:space="0"/>
              <w:right w:val="single" w:color="3F3F3F" w:sz="4" w:space="0"/>
            </w:tcBorders>
            <w:vAlign w:val="center"/>
          </w:tcPr>
          <w:p>
            <w:pPr>
              <w:widowControl/>
              <w:jc w:val="left"/>
              <w:rPr>
                <w:rFonts w:ascii="宋体" w:hAnsi="宋体" w:cs="宋体"/>
                <w:color w:val="3F3F3F"/>
                <w:kern w:val="0"/>
                <w:sz w:val="20"/>
                <w:szCs w:val="20"/>
              </w:rPr>
            </w:pPr>
          </w:p>
        </w:tc>
        <w:tc>
          <w:tcPr>
            <w:tcW w:w="1134" w:type="dxa"/>
            <w:vMerge w:val="continue"/>
            <w:tcBorders>
              <w:left w:val="single" w:color="3F3F3F" w:sz="4" w:space="0"/>
              <w:right w:val="single" w:color="3F3F3F" w:sz="4" w:space="0"/>
            </w:tcBorders>
            <w:vAlign w:val="center"/>
          </w:tcPr>
          <w:p>
            <w:pPr>
              <w:widowControl/>
              <w:jc w:val="left"/>
              <w:rPr>
                <w:rFonts w:ascii="宋体" w:hAnsi="宋体" w:cs="宋体"/>
                <w:color w:val="3F3F3F"/>
                <w:kern w:val="0"/>
                <w:sz w:val="20"/>
                <w:szCs w:val="20"/>
              </w:rPr>
            </w:pPr>
          </w:p>
        </w:tc>
        <w:tc>
          <w:tcPr>
            <w:tcW w:w="7860" w:type="dxa"/>
            <w:tcBorders>
              <w:top w:val="single" w:color="3F3F3F" w:sz="4" w:space="0"/>
              <w:left w:val="nil"/>
              <w:bottom w:val="single" w:color="3F3F3F" w:sz="4" w:space="0"/>
              <w:right w:val="single" w:color="3F3F3F" w:sz="4" w:space="0"/>
            </w:tcBorders>
            <w:shd w:val="clear" w:color="000000" w:fill="FFFFFF"/>
            <w:vAlign w:val="center"/>
          </w:tcPr>
          <w:p>
            <w:pPr>
              <w:widowControl/>
              <w:jc w:val="left"/>
              <w:rPr>
                <w:rFonts w:hint="default" w:ascii="宋体" w:hAnsi="宋体" w:eastAsia="宋体" w:cs="宋体"/>
                <w:color w:val="3F3F3F"/>
                <w:kern w:val="0"/>
                <w:sz w:val="20"/>
                <w:szCs w:val="20"/>
                <w:lang w:val="en-US" w:eastAsia="zh-CN"/>
              </w:rPr>
            </w:pPr>
            <w:r>
              <w:rPr>
                <w:rFonts w:hint="eastAsia" w:ascii="宋体" w:hAnsi="宋体" w:cs="宋体"/>
                <w:color w:val="3F3F3F"/>
                <w:kern w:val="0"/>
                <w:sz w:val="20"/>
                <w:szCs w:val="20"/>
                <w:lang w:val="en-US" w:eastAsia="zh-CN"/>
              </w:rPr>
              <w:t>6、游离血红蛋白清除率可达99.9%</w:t>
            </w:r>
          </w:p>
        </w:tc>
      </w:tr>
      <w:tr>
        <w:tblPrEx>
          <w:tblCellMar>
            <w:top w:w="0" w:type="dxa"/>
            <w:left w:w="108" w:type="dxa"/>
            <w:bottom w:w="0" w:type="dxa"/>
            <w:right w:w="108" w:type="dxa"/>
          </w:tblCellMar>
        </w:tblPrEx>
        <w:trPr>
          <w:trHeight w:val="23" w:hRule="atLeast"/>
          <w:jc w:val="center"/>
        </w:trPr>
        <w:tc>
          <w:tcPr>
            <w:tcW w:w="660" w:type="dxa"/>
            <w:vMerge w:val="continue"/>
            <w:tcBorders>
              <w:left w:val="single" w:color="3F3F3F" w:sz="4" w:space="0"/>
              <w:right w:val="single" w:color="3F3F3F" w:sz="4" w:space="0"/>
            </w:tcBorders>
            <w:vAlign w:val="center"/>
          </w:tcPr>
          <w:p>
            <w:pPr>
              <w:widowControl/>
              <w:jc w:val="left"/>
              <w:rPr>
                <w:rFonts w:ascii="宋体" w:hAnsi="宋体" w:cs="宋体"/>
                <w:color w:val="3F3F3F"/>
                <w:kern w:val="0"/>
                <w:sz w:val="20"/>
                <w:szCs w:val="20"/>
              </w:rPr>
            </w:pPr>
          </w:p>
        </w:tc>
        <w:tc>
          <w:tcPr>
            <w:tcW w:w="1134" w:type="dxa"/>
            <w:vMerge w:val="continue"/>
            <w:tcBorders>
              <w:left w:val="single" w:color="3F3F3F" w:sz="4" w:space="0"/>
              <w:right w:val="single" w:color="3F3F3F" w:sz="4" w:space="0"/>
            </w:tcBorders>
            <w:vAlign w:val="center"/>
          </w:tcPr>
          <w:p>
            <w:pPr>
              <w:widowControl/>
              <w:jc w:val="left"/>
              <w:rPr>
                <w:rFonts w:ascii="宋体" w:hAnsi="宋体" w:cs="宋体"/>
                <w:color w:val="3F3F3F"/>
                <w:kern w:val="0"/>
                <w:sz w:val="20"/>
                <w:szCs w:val="20"/>
              </w:rPr>
            </w:pPr>
          </w:p>
        </w:tc>
        <w:tc>
          <w:tcPr>
            <w:tcW w:w="7860" w:type="dxa"/>
            <w:tcBorders>
              <w:top w:val="single" w:color="3F3F3F" w:sz="4" w:space="0"/>
              <w:left w:val="nil"/>
              <w:bottom w:val="single" w:color="3F3F3F" w:sz="4" w:space="0"/>
              <w:right w:val="single" w:color="3F3F3F" w:sz="4" w:space="0"/>
            </w:tcBorders>
            <w:shd w:val="clear" w:color="000000" w:fill="FFFFFF"/>
            <w:vAlign w:val="center"/>
          </w:tcPr>
          <w:p>
            <w:pPr>
              <w:rPr>
                <w:rFonts w:ascii="宋体" w:hAnsi="宋体" w:cs="宋体"/>
                <w:color w:val="3F3F3F"/>
                <w:kern w:val="0"/>
                <w:sz w:val="20"/>
                <w:szCs w:val="20"/>
              </w:rPr>
            </w:pPr>
            <w:r>
              <w:rPr>
                <w:rFonts w:hint="eastAsia"/>
                <w:lang w:val="en-US" w:eastAsia="zh-CN"/>
              </w:rPr>
              <w:t>7</w:t>
            </w:r>
            <w:r>
              <w:rPr>
                <w:rFonts w:hint="eastAsia"/>
              </w:rPr>
              <w:t>、</w:t>
            </w:r>
            <w:r>
              <w:t>红细胞恢复率达到90％以上</w:t>
            </w:r>
          </w:p>
        </w:tc>
      </w:tr>
      <w:tr>
        <w:tblPrEx>
          <w:tblCellMar>
            <w:top w:w="0" w:type="dxa"/>
            <w:left w:w="108" w:type="dxa"/>
            <w:bottom w:w="0" w:type="dxa"/>
            <w:right w:w="108" w:type="dxa"/>
          </w:tblCellMar>
        </w:tblPrEx>
        <w:trPr>
          <w:trHeight w:val="23" w:hRule="atLeast"/>
          <w:jc w:val="center"/>
        </w:trPr>
        <w:tc>
          <w:tcPr>
            <w:tcW w:w="660" w:type="dxa"/>
            <w:vMerge w:val="continue"/>
            <w:tcBorders>
              <w:left w:val="single" w:color="3F3F3F" w:sz="4" w:space="0"/>
              <w:right w:val="single" w:color="3F3F3F" w:sz="4" w:space="0"/>
            </w:tcBorders>
            <w:shd w:val="clear" w:color="000000" w:fill="FFFFFF"/>
            <w:vAlign w:val="center"/>
          </w:tcPr>
          <w:p>
            <w:pPr>
              <w:widowControl/>
              <w:jc w:val="left"/>
              <w:rPr>
                <w:rFonts w:ascii="宋体" w:hAnsi="宋体" w:cs="宋体"/>
                <w:b/>
                <w:bCs/>
                <w:color w:val="3F3F3F"/>
                <w:kern w:val="0"/>
                <w:sz w:val="22"/>
              </w:rPr>
            </w:pPr>
          </w:p>
        </w:tc>
        <w:tc>
          <w:tcPr>
            <w:tcW w:w="1134" w:type="dxa"/>
            <w:vMerge w:val="continue"/>
            <w:tcBorders>
              <w:left w:val="single" w:color="3F3F3F" w:sz="4" w:space="0"/>
              <w:right w:val="single" w:color="3F3F3F" w:sz="4" w:space="0"/>
            </w:tcBorders>
            <w:shd w:val="clear" w:color="000000" w:fill="FFFFFF"/>
            <w:vAlign w:val="center"/>
          </w:tcPr>
          <w:p>
            <w:pPr>
              <w:widowControl/>
              <w:rPr>
                <w:rFonts w:ascii="宋体" w:hAnsi="宋体" w:cs="宋体"/>
                <w:b/>
                <w:bCs/>
                <w:color w:val="3F3F3F"/>
                <w:kern w:val="0"/>
                <w:sz w:val="22"/>
              </w:rPr>
            </w:pPr>
          </w:p>
        </w:tc>
        <w:tc>
          <w:tcPr>
            <w:tcW w:w="7860" w:type="dxa"/>
            <w:tcBorders>
              <w:top w:val="single" w:color="3F3F3F" w:sz="4" w:space="0"/>
              <w:left w:val="nil"/>
              <w:bottom w:val="single" w:color="3F3F3F" w:sz="4" w:space="0"/>
              <w:right w:val="single" w:color="3F3F3F" w:sz="4" w:space="0"/>
            </w:tcBorders>
            <w:shd w:val="clear" w:color="000000" w:fill="FFFFFF"/>
            <w:vAlign w:val="center"/>
          </w:tcPr>
          <w:p>
            <w:pPr>
              <w:rPr>
                <w:rFonts w:ascii="宋体" w:hAnsi="宋体" w:cs="宋体"/>
                <w:b/>
                <w:bCs/>
                <w:color w:val="3F3F3F"/>
                <w:kern w:val="0"/>
                <w:sz w:val="22"/>
              </w:rPr>
            </w:pPr>
            <w:r>
              <w:rPr>
                <w:rFonts w:eastAsiaTheme="minorHAnsi"/>
              </w:rPr>
              <w:t>▲</w:t>
            </w:r>
            <w:r>
              <w:rPr>
                <w:rFonts w:hint="eastAsia" w:eastAsiaTheme="minorHAnsi"/>
                <w:lang w:val="en-US" w:eastAsia="zh-CN"/>
              </w:rPr>
              <w:t>8</w:t>
            </w:r>
            <w:r>
              <w:rPr>
                <w:rFonts w:hint="eastAsia"/>
              </w:rPr>
              <w:t>、</w:t>
            </w:r>
            <w:r>
              <w:t>血液处理时不受血量限制，起始失血量达到15－30ml即可开始工作。</w:t>
            </w:r>
          </w:p>
        </w:tc>
      </w:tr>
      <w:tr>
        <w:tblPrEx>
          <w:tblCellMar>
            <w:top w:w="0" w:type="dxa"/>
            <w:left w:w="108" w:type="dxa"/>
            <w:bottom w:w="0" w:type="dxa"/>
            <w:right w:w="108" w:type="dxa"/>
          </w:tblCellMar>
        </w:tblPrEx>
        <w:trPr>
          <w:trHeight w:val="23" w:hRule="atLeast"/>
          <w:jc w:val="center"/>
        </w:trPr>
        <w:tc>
          <w:tcPr>
            <w:tcW w:w="660" w:type="dxa"/>
            <w:vMerge w:val="continue"/>
            <w:tcBorders>
              <w:left w:val="single" w:color="3F3F3F" w:sz="4" w:space="0"/>
              <w:right w:val="single" w:color="3F3F3F" w:sz="4" w:space="0"/>
            </w:tcBorders>
            <w:shd w:val="clear" w:color="000000" w:fill="FFFFFF"/>
            <w:vAlign w:val="center"/>
          </w:tcPr>
          <w:p>
            <w:pPr>
              <w:widowControl/>
              <w:jc w:val="left"/>
              <w:rPr>
                <w:rFonts w:ascii="宋体" w:hAnsi="宋体" w:cs="宋体"/>
                <w:b/>
                <w:bCs/>
                <w:color w:val="3F3F3F"/>
                <w:kern w:val="0"/>
                <w:sz w:val="22"/>
              </w:rPr>
            </w:pPr>
          </w:p>
        </w:tc>
        <w:tc>
          <w:tcPr>
            <w:tcW w:w="1134" w:type="dxa"/>
            <w:vMerge w:val="continue"/>
            <w:tcBorders>
              <w:left w:val="single" w:color="3F3F3F" w:sz="4" w:space="0"/>
              <w:right w:val="single" w:color="3F3F3F" w:sz="4" w:space="0"/>
            </w:tcBorders>
            <w:shd w:val="clear" w:color="000000" w:fill="FFFFFF"/>
            <w:vAlign w:val="center"/>
          </w:tcPr>
          <w:p>
            <w:pPr>
              <w:widowControl/>
              <w:jc w:val="center"/>
              <w:rPr>
                <w:rFonts w:ascii="宋体" w:hAnsi="宋体" w:cs="宋体"/>
                <w:b/>
                <w:bCs/>
                <w:color w:val="3F3F3F"/>
                <w:kern w:val="0"/>
                <w:sz w:val="22"/>
              </w:rPr>
            </w:pPr>
          </w:p>
        </w:tc>
        <w:tc>
          <w:tcPr>
            <w:tcW w:w="7860" w:type="dxa"/>
            <w:tcBorders>
              <w:top w:val="single" w:color="3F3F3F" w:sz="4" w:space="0"/>
              <w:left w:val="nil"/>
              <w:bottom w:val="single" w:color="3F3F3F" w:sz="4" w:space="0"/>
              <w:right w:val="single" w:color="3F3F3F" w:sz="4" w:space="0"/>
            </w:tcBorders>
            <w:shd w:val="clear" w:color="000000" w:fill="FFFFFF"/>
            <w:vAlign w:val="center"/>
          </w:tcPr>
          <w:p>
            <w:pPr>
              <w:rPr>
                <w:rFonts w:ascii="宋体" w:hAnsi="宋体" w:cs="宋体"/>
                <w:b/>
                <w:bCs/>
                <w:color w:val="3F3F3F"/>
                <w:kern w:val="0"/>
                <w:sz w:val="22"/>
              </w:rPr>
            </w:pPr>
            <w:r>
              <w:rPr>
                <w:rFonts w:eastAsiaTheme="minorHAnsi"/>
              </w:rPr>
              <w:t>▲</w:t>
            </w:r>
            <w:r>
              <w:rPr>
                <w:rFonts w:hint="eastAsia" w:eastAsiaTheme="minorHAnsi"/>
                <w:lang w:val="en-US" w:eastAsia="zh-CN"/>
              </w:rPr>
              <w:t>9</w:t>
            </w:r>
            <w:r>
              <w:rPr>
                <w:rFonts w:hint="eastAsia"/>
              </w:rPr>
              <w:t>、</w:t>
            </w:r>
            <w:r>
              <w:t>血液清洗质量：抗凝用的肝素清除率可达99.9％</w:t>
            </w:r>
          </w:p>
        </w:tc>
      </w:tr>
      <w:tr>
        <w:tblPrEx>
          <w:tblCellMar>
            <w:top w:w="0" w:type="dxa"/>
            <w:left w:w="108" w:type="dxa"/>
            <w:bottom w:w="0" w:type="dxa"/>
            <w:right w:w="108" w:type="dxa"/>
          </w:tblCellMar>
        </w:tblPrEx>
        <w:trPr>
          <w:trHeight w:val="23" w:hRule="atLeast"/>
          <w:jc w:val="center"/>
        </w:trPr>
        <w:tc>
          <w:tcPr>
            <w:tcW w:w="660" w:type="dxa"/>
            <w:vMerge w:val="continue"/>
            <w:tcBorders>
              <w:left w:val="single" w:color="3F3F3F" w:sz="4" w:space="0"/>
              <w:right w:val="single" w:color="3F3F3F" w:sz="4" w:space="0"/>
            </w:tcBorders>
            <w:shd w:val="clear" w:color="000000" w:fill="FFFFFF"/>
            <w:vAlign w:val="center"/>
          </w:tcPr>
          <w:p>
            <w:pPr>
              <w:widowControl/>
              <w:jc w:val="left"/>
              <w:rPr>
                <w:rFonts w:ascii="宋体" w:hAnsi="宋体" w:cs="宋体"/>
                <w:b/>
                <w:bCs/>
                <w:color w:val="3F3F3F"/>
                <w:kern w:val="0"/>
                <w:sz w:val="22"/>
              </w:rPr>
            </w:pPr>
          </w:p>
        </w:tc>
        <w:tc>
          <w:tcPr>
            <w:tcW w:w="1134" w:type="dxa"/>
            <w:vMerge w:val="continue"/>
            <w:tcBorders>
              <w:left w:val="single" w:color="3F3F3F" w:sz="4" w:space="0"/>
              <w:right w:val="single" w:color="3F3F3F" w:sz="4" w:space="0"/>
            </w:tcBorders>
            <w:shd w:val="clear" w:color="000000" w:fill="FFFFFF"/>
            <w:vAlign w:val="center"/>
          </w:tcPr>
          <w:p>
            <w:pPr>
              <w:widowControl/>
              <w:rPr>
                <w:rFonts w:ascii="宋体" w:hAnsi="宋体" w:cs="宋体"/>
                <w:b/>
                <w:bCs/>
                <w:color w:val="3F3F3F"/>
                <w:kern w:val="0"/>
                <w:sz w:val="22"/>
              </w:rPr>
            </w:pPr>
          </w:p>
        </w:tc>
        <w:tc>
          <w:tcPr>
            <w:tcW w:w="7860" w:type="dxa"/>
            <w:tcBorders>
              <w:top w:val="nil"/>
              <w:left w:val="nil"/>
              <w:bottom w:val="single" w:color="3F3F3F" w:sz="4" w:space="0"/>
              <w:right w:val="single" w:color="3F3F3F" w:sz="4" w:space="0"/>
            </w:tcBorders>
            <w:shd w:val="clear" w:color="000000" w:fill="FFFFFF"/>
            <w:vAlign w:val="center"/>
          </w:tcPr>
          <w:p>
            <w:r>
              <w:t>1</w:t>
            </w:r>
            <w:r>
              <w:rPr>
                <w:rFonts w:hint="eastAsia"/>
                <w:lang w:val="en-US" w:eastAsia="zh-CN"/>
              </w:rPr>
              <w:t>0</w:t>
            </w:r>
            <w:r>
              <w:rPr>
                <w:rFonts w:hint="eastAsia"/>
              </w:rPr>
              <w:t>、</w:t>
            </w:r>
            <w:r>
              <w:t>设备具有三个血液清洗程序：可在手术前设定，或手术中根据临床发生的各种情况在不停机的情况下任意选择合适的程序，以达最佳处理效果</w:t>
            </w:r>
          </w:p>
          <w:p>
            <w:r>
              <w:tab/>
            </w:r>
            <w:r>
              <w:t>a)         低容量清洗：20－40ml/min</w:t>
            </w:r>
          </w:p>
          <w:p>
            <w:r>
              <w:tab/>
            </w:r>
            <w:r>
              <w:t>b)         智能清洗：25－40ml/min</w:t>
            </w:r>
          </w:p>
          <w:p>
            <w:pPr>
              <w:rPr>
                <w:rFonts w:ascii="宋体" w:hAnsi="宋体" w:cs="宋体"/>
                <w:b/>
                <w:bCs/>
                <w:color w:val="3F3F3F"/>
                <w:kern w:val="0"/>
                <w:sz w:val="22"/>
              </w:rPr>
            </w:pPr>
            <w:r>
              <w:tab/>
            </w:r>
            <w:r>
              <w:t>c)          紧急清洗：50-100ml/min</w:t>
            </w:r>
          </w:p>
        </w:tc>
      </w:tr>
      <w:tr>
        <w:tblPrEx>
          <w:tblCellMar>
            <w:top w:w="0" w:type="dxa"/>
            <w:left w:w="108" w:type="dxa"/>
            <w:bottom w:w="0" w:type="dxa"/>
            <w:right w:w="108" w:type="dxa"/>
          </w:tblCellMar>
        </w:tblPrEx>
        <w:trPr>
          <w:trHeight w:val="23" w:hRule="atLeast"/>
          <w:jc w:val="center"/>
        </w:trPr>
        <w:tc>
          <w:tcPr>
            <w:tcW w:w="660" w:type="dxa"/>
            <w:vMerge w:val="continue"/>
            <w:tcBorders>
              <w:left w:val="single" w:color="3F3F3F" w:sz="4" w:space="0"/>
              <w:right w:val="single" w:color="3F3F3F" w:sz="4" w:space="0"/>
            </w:tcBorders>
            <w:shd w:val="clear" w:color="000000" w:fill="FFFFFF"/>
            <w:vAlign w:val="center"/>
          </w:tcPr>
          <w:p>
            <w:pPr>
              <w:widowControl/>
              <w:jc w:val="left"/>
              <w:rPr>
                <w:rFonts w:ascii="宋体" w:hAnsi="宋体" w:cs="宋体"/>
                <w:b/>
                <w:bCs/>
                <w:color w:val="3F3F3F"/>
                <w:kern w:val="0"/>
                <w:sz w:val="22"/>
              </w:rPr>
            </w:pPr>
          </w:p>
        </w:tc>
        <w:tc>
          <w:tcPr>
            <w:tcW w:w="1134" w:type="dxa"/>
            <w:vMerge w:val="continue"/>
            <w:tcBorders>
              <w:left w:val="single" w:color="3F3F3F" w:sz="4" w:space="0"/>
              <w:right w:val="single" w:color="3F3F3F" w:sz="4" w:space="0"/>
            </w:tcBorders>
            <w:shd w:val="clear" w:color="000000" w:fill="FFFFFF"/>
            <w:vAlign w:val="center"/>
          </w:tcPr>
          <w:p>
            <w:pPr>
              <w:widowControl/>
              <w:rPr>
                <w:rFonts w:ascii="宋体" w:hAnsi="宋体" w:cs="宋体"/>
                <w:b/>
                <w:bCs/>
                <w:color w:val="3F3F3F"/>
                <w:kern w:val="0"/>
                <w:sz w:val="22"/>
              </w:rPr>
            </w:pPr>
          </w:p>
        </w:tc>
        <w:tc>
          <w:tcPr>
            <w:tcW w:w="7860" w:type="dxa"/>
            <w:tcBorders>
              <w:top w:val="nil"/>
              <w:left w:val="nil"/>
              <w:bottom w:val="single" w:color="3F3F3F" w:sz="4" w:space="0"/>
              <w:right w:val="single" w:color="3F3F3F" w:sz="4" w:space="0"/>
            </w:tcBorders>
            <w:shd w:val="clear" w:color="000000" w:fill="FFFFFF"/>
            <w:vAlign w:val="center"/>
          </w:tcPr>
          <w:p>
            <w:pPr>
              <w:rPr>
                <w:rFonts w:ascii="宋体" w:hAnsi="宋体" w:cs="宋体"/>
                <w:b/>
                <w:bCs/>
                <w:color w:val="3F3F3F"/>
                <w:kern w:val="0"/>
                <w:sz w:val="22"/>
              </w:rPr>
            </w:pPr>
            <w:r>
              <w:t>1</w:t>
            </w:r>
            <w:r>
              <w:rPr>
                <w:rFonts w:hint="eastAsia"/>
                <w:lang w:val="en-US" w:eastAsia="zh-CN"/>
              </w:rPr>
              <w:t>1</w:t>
            </w:r>
            <w:r>
              <w:rPr>
                <w:rFonts w:hint="eastAsia"/>
              </w:rPr>
              <w:t>、</w:t>
            </w:r>
            <w:r>
              <w:t>在线图文操作培训功能：设备自带耗材安装操作演示培训功能。</w:t>
            </w:r>
            <w:r>
              <w:rPr>
                <w:rFonts w:hint="eastAsia" w:ascii="宋体" w:hAnsi="宋体" w:cs="宋体"/>
                <w:b/>
                <w:bCs/>
                <w:color w:val="3F3F3F"/>
                <w:kern w:val="0"/>
                <w:sz w:val="22"/>
              </w:rPr>
              <w:t>　</w:t>
            </w:r>
          </w:p>
        </w:tc>
      </w:tr>
      <w:tr>
        <w:tblPrEx>
          <w:tblCellMar>
            <w:top w:w="0" w:type="dxa"/>
            <w:left w:w="108" w:type="dxa"/>
            <w:bottom w:w="0" w:type="dxa"/>
            <w:right w:w="108" w:type="dxa"/>
          </w:tblCellMar>
        </w:tblPrEx>
        <w:trPr>
          <w:trHeight w:val="23" w:hRule="atLeast"/>
          <w:jc w:val="center"/>
        </w:trPr>
        <w:tc>
          <w:tcPr>
            <w:tcW w:w="660" w:type="dxa"/>
            <w:vMerge w:val="continue"/>
            <w:tcBorders>
              <w:left w:val="single" w:color="3F3F3F" w:sz="4" w:space="0"/>
              <w:right w:val="single" w:color="3F3F3F" w:sz="4" w:space="0"/>
            </w:tcBorders>
            <w:shd w:val="clear" w:color="000000" w:fill="FFFFFF"/>
            <w:vAlign w:val="center"/>
          </w:tcPr>
          <w:p>
            <w:pPr>
              <w:widowControl/>
              <w:jc w:val="left"/>
              <w:rPr>
                <w:rFonts w:ascii="宋体" w:hAnsi="宋体" w:cs="宋体"/>
                <w:b/>
                <w:bCs/>
                <w:color w:val="3F3F3F"/>
                <w:kern w:val="0"/>
                <w:sz w:val="22"/>
              </w:rPr>
            </w:pPr>
          </w:p>
        </w:tc>
        <w:tc>
          <w:tcPr>
            <w:tcW w:w="1134" w:type="dxa"/>
            <w:vMerge w:val="continue"/>
            <w:tcBorders>
              <w:left w:val="single" w:color="3F3F3F" w:sz="4" w:space="0"/>
              <w:right w:val="single" w:color="3F3F3F" w:sz="4" w:space="0"/>
            </w:tcBorders>
            <w:shd w:val="clear" w:color="000000" w:fill="FFFFFF"/>
            <w:vAlign w:val="center"/>
          </w:tcPr>
          <w:p>
            <w:pPr>
              <w:widowControl/>
              <w:rPr>
                <w:rFonts w:ascii="宋体" w:hAnsi="宋体" w:cs="宋体"/>
                <w:b/>
                <w:bCs/>
                <w:color w:val="3F3F3F"/>
                <w:kern w:val="0"/>
                <w:sz w:val="22"/>
              </w:rPr>
            </w:pPr>
          </w:p>
        </w:tc>
        <w:tc>
          <w:tcPr>
            <w:tcW w:w="7860" w:type="dxa"/>
            <w:tcBorders>
              <w:top w:val="nil"/>
              <w:left w:val="nil"/>
              <w:bottom w:val="single" w:color="3F3F3F" w:sz="4" w:space="0"/>
              <w:right w:val="single" w:color="3F3F3F" w:sz="4" w:space="0"/>
            </w:tcBorders>
            <w:shd w:val="clear" w:color="000000" w:fill="FFFFFF"/>
            <w:vAlign w:val="center"/>
          </w:tcPr>
          <w:p>
            <w:pPr>
              <w:rPr>
                <w:rFonts w:ascii="宋体" w:hAnsi="宋体" w:cs="宋体"/>
                <w:b/>
                <w:bCs/>
                <w:color w:val="3F3F3F"/>
                <w:kern w:val="0"/>
                <w:sz w:val="22"/>
              </w:rPr>
            </w:pPr>
            <w:r>
              <w:rPr>
                <w:rFonts w:hint="eastAsia"/>
                <w:lang w:val="en-US" w:eastAsia="zh-CN"/>
              </w:rPr>
              <w:t>12</w:t>
            </w:r>
            <w:r>
              <w:rPr>
                <w:rFonts w:hint="eastAsia"/>
              </w:rPr>
              <w:t>、</w:t>
            </w:r>
            <w:r>
              <w:t>可在屏幕监测进入HCT值，输出HCT值。</w:t>
            </w:r>
          </w:p>
        </w:tc>
      </w:tr>
      <w:tr>
        <w:tblPrEx>
          <w:tblCellMar>
            <w:top w:w="0" w:type="dxa"/>
            <w:left w:w="108" w:type="dxa"/>
            <w:bottom w:w="0" w:type="dxa"/>
            <w:right w:w="108" w:type="dxa"/>
          </w:tblCellMar>
        </w:tblPrEx>
        <w:trPr>
          <w:trHeight w:val="23" w:hRule="atLeast"/>
          <w:jc w:val="center"/>
        </w:trPr>
        <w:tc>
          <w:tcPr>
            <w:tcW w:w="660" w:type="dxa"/>
            <w:vMerge w:val="continue"/>
            <w:tcBorders>
              <w:left w:val="single" w:color="3F3F3F" w:sz="4" w:space="0"/>
              <w:right w:val="single" w:color="3F3F3F" w:sz="4" w:space="0"/>
            </w:tcBorders>
            <w:shd w:val="clear" w:color="000000" w:fill="FFFFFF"/>
            <w:vAlign w:val="center"/>
          </w:tcPr>
          <w:p>
            <w:pPr>
              <w:widowControl/>
              <w:jc w:val="left"/>
              <w:rPr>
                <w:rFonts w:ascii="宋体" w:hAnsi="宋体" w:cs="宋体"/>
                <w:b/>
                <w:bCs/>
                <w:color w:val="3F3F3F"/>
                <w:kern w:val="0"/>
                <w:sz w:val="22"/>
              </w:rPr>
            </w:pPr>
          </w:p>
        </w:tc>
        <w:tc>
          <w:tcPr>
            <w:tcW w:w="1134" w:type="dxa"/>
            <w:vMerge w:val="continue"/>
            <w:tcBorders>
              <w:left w:val="single" w:color="3F3F3F" w:sz="4" w:space="0"/>
              <w:right w:val="single" w:color="3F3F3F" w:sz="4" w:space="0"/>
            </w:tcBorders>
            <w:shd w:val="clear" w:color="000000" w:fill="FFFFFF"/>
            <w:vAlign w:val="center"/>
          </w:tcPr>
          <w:p>
            <w:pPr>
              <w:widowControl/>
              <w:rPr>
                <w:rFonts w:ascii="宋体" w:hAnsi="宋体" w:cs="宋体"/>
                <w:b/>
                <w:bCs/>
                <w:color w:val="3F3F3F"/>
                <w:kern w:val="0"/>
                <w:sz w:val="22"/>
              </w:rPr>
            </w:pPr>
          </w:p>
        </w:tc>
        <w:tc>
          <w:tcPr>
            <w:tcW w:w="7860" w:type="dxa"/>
            <w:tcBorders>
              <w:top w:val="nil"/>
              <w:left w:val="nil"/>
              <w:bottom w:val="single" w:color="3F3F3F" w:sz="4" w:space="0"/>
              <w:right w:val="single" w:color="3F3F3F" w:sz="4" w:space="0"/>
            </w:tcBorders>
            <w:shd w:val="clear" w:color="000000" w:fill="FFFFFF"/>
            <w:vAlign w:val="center"/>
          </w:tcPr>
          <w:p>
            <w:pPr>
              <w:rPr>
                <w:rFonts w:ascii="宋体" w:hAnsi="宋体" w:cs="宋体"/>
                <w:b/>
                <w:bCs/>
                <w:color w:val="3F3F3F"/>
                <w:kern w:val="0"/>
                <w:sz w:val="22"/>
              </w:rPr>
            </w:pPr>
            <w:r>
              <w:rPr>
                <w:rFonts w:hint="eastAsia"/>
                <w:lang w:val="en-US" w:eastAsia="zh-CN"/>
              </w:rPr>
              <w:t>13</w:t>
            </w:r>
            <w:r>
              <w:rPr>
                <w:rFonts w:hint="eastAsia"/>
              </w:rPr>
              <w:t>、</w:t>
            </w:r>
            <w:r>
              <w:t>设备高度可调节:根据操作者身高，可按照需求调节设备高度</w:t>
            </w:r>
          </w:p>
        </w:tc>
      </w:tr>
      <w:tr>
        <w:tblPrEx>
          <w:tblCellMar>
            <w:top w:w="0" w:type="dxa"/>
            <w:left w:w="108" w:type="dxa"/>
            <w:bottom w:w="0" w:type="dxa"/>
            <w:right w:w="108" w:type="dxa"/>
          </w:tblCellMar>
        </w:tblPrEx>
        <w:trPr>
          <w:trHeight w:val="23" w:hRule="atLeast"/>
          <w:jc w:val="center"/>
        </w:trPr>
        <w:tc>
          <w:tcPr>
            <w:tcW w:w="660" w:type="dxa"/>
            <w:vMerge w:val="continue"/>
            <w:tcBorders>
              <w:left w:val="single" w:color="3F3F3F" w:sz="4" w:space="0"/>
              <w:bottom w:val="single" w:color="3F3F3F" w:sz="4" w:space="0"/>
              <w:right w:val="single" w:color="3F3F3F" w:sz="4" w:space="0"/>
            </w:tcBorders>
            <w:shd w:val="clear" w:color="000000" w:fill="FFFFFF"/>
            <w:vAlign w:val="center"/>
          </w:tcPr>
          <w:p>
            <w:pPr>
              <w:widowControl/>
              <w:jc w:val="left"/>
              <w:rPr>
                <w:rFonts w:ascii="宋体" w:hAnsi="宋体" w:cs="宋体"/>
                <w:b/>
                <w:bCs/>
                <w:color w:val="3F3F3F"/>
                <w:kern w:val="0"/>
                <w:sz w:val="22"/>
              </w:rPr>
            </w:pPr>
          </w:p>
        </w:tc>
        <w:tc>
          <w:tcPr>
            <w:tcW w:w="1134" w:type="dxa"/>
            <w:vMerge w:val="continue"/>
            <w:tcBorders>
              <w:left w:val="single" w:color="3F3F3F" w:sz="4" w:space="0"/>
              <w:bottom w:val="single" w:color="3F3F3F" w:sz="4" w:space="0"/>
              <w:right w:val="single" w:color="3F3F3F" w:sz="4" w:space="0"/>
            </w:tcBorders>
            <w:shd w:val="clear" w:color="000000" w:fill="FFFFFF"/>
            <w:vAlign w:val="center"/>
          </w:tcPr>
          <w:p>
            <w:pPr>
              <w:widowControl/>
              <w:rPr>
                <w:rFonts w:ascii="宋体" w:hAnsi="宋体" w:cs="宋体"/>
                <w:b/>
                <w:bCs/>
                <w:color w:val="3F3F3F"/>
                <w:kern w:val="0"/>
                <w:sz w:val="22"/>
              </w:rPr>
            </w:pPr>
          </w:p>
        </w:tc>
        <w:tc>
          <w:tcPr>
            <w:tcW w:w="7860" w:type="dxa"/>
            <w:tcBorders>
              <w:top w:val="nil"/>
              <w:left w:val="nil"/>
              <w:bottom w:val="single" w:color="3F3F3F" w:sz="4" w:space="0"/>
              <w:right w:val="single" w:color="3F3F3F" w:sz="4" w:space="0"/>
            </w:tcBorders>
            <w:shd w:val="clear" w:color="000000" w:fill="FFFFFF"/>
            <w:vAlign w:val="center"/>
          </w:tcPr>
          <w:p>
            <w:pPr>
              <w:widowControl/>
              <w:jc w:val="left"/>
              <w:rPr>
                <w:rFonts w:hint="default" w:ascii="宋体" w:hAnsi="宋体" w:eastAsia="宋体" w:cs="宋体"/>
                <w:b/>
                <w:bCs/>
                <w:color w:val="3F3F3F"/>
                <w:kern w:val="0"/>
                <w:sz w:val="22"/>
                <w:lang w:val="en-US" w:eastAsia="zh-CN"/>
              </w:rPr>
            </w:pPr>
            <w:r>
              <w:rPr>
                <w:rFonts w:hint="eastAsia" w:ascii="宋体" w:hAnsi="宋体" w:cs="宋体"/>
                <w:b/>
                <w:bCs/>
                <w:color w:val="3F3F3F"/>
                <w:kern w:val="0"/>
                <w:sz w:val="22"/>
                <w:lang w:val="en-US" w:eastAsia="zh-CN"/>
              </w:rPr>
              <w:t>14、</w:t>
            </w:r>
            <w:r>
              <w:t>100％去除失血中的不溶解脂肪</w:t>
            </w:r>
          </w:p>
        </w:tc>
      </w:tr>
    </w:tbl>
    <w:p>
      <w:pPr>
        <w:pStyle w:val="2"/>
        <w:keepNext/>
        <w:keepLines/>
        <w:pageBreakBefore w:val="0"/>
        <w:widowControl w:val="0"/>
        <w:kinsoku/>
        <w:wordWrap/>
        <w:overflowPunct/>
        <w:topLinePunct w:val="0"/>
        <w:autoSpaceDE/>
        <w:autoSpaceDN/>
        <w:bidi w:val="0"/>
        <w:adjustRightInd/>
        <w:snapToGrid/>
        <w:spacing w:before="70" w:after="70" w:line="579" w:lineRule="auto"/>
        <w:jc w:val="center"/>
        <w:textAlignment w:val="auto"/>
        <w:rPr>
          <w:kern w:val="0"/>
        </w:rPr>
      </w:pPr>
      <w:r>
        <w:rPr>
          <w:rFonts w:hint="eastAsia"/>
          <w:kern w:val="0"/>
        </w:rPr>
        <w:t>设备配套耗材试剂情况</w:t>
      </w:r>
    </w:p>
    <w:p>
      <w:pPr>
        <w:jc w:val="left"/>
        <w:rPr>
          <w:rFonts w:ascii="宋体" w:hAnsi="宋体" w:cs="宋体"/>
          <w:b/>
          <w:bCs/>
          <w:kern w:val="0"/>
          <w:sz w:val="28"/>
          <w:szCs w:val="28"/>
        </w:rPr>
      </w:pPr>
      <w:r>
        <w:rPr>
          <w:rFonts w:hint="eastAsia" w:ascii="宋体" w:hAnsi="宋体" w:cs="宋体"/>
          <w:b/>
          <w:bCs/>
          <w:kern w:val="0"/>
          <w:sz w:val="28"/>
          <w:szCs w:val="28"/>
        </w:rPr>
        <w:t>配套耗材或试剂  （</w:t>
      </w:r>
      <w:r>
        <w:rPr>
          <w:rFonts w:hint="eastAsia" w:ascii="宋体" w:hAnsi="宋体" w:cs="宋体"/>
          <w:b/>
          <w:bCs/>
          <w:color w:val="FF0000"/>
          <w:kern w:val="0"/>
          <w:sz w:val="28"/>
          <w:szCs w:val="28"/>
        </w:rPr>
        <w:t xml:space="preserve">开放□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专用</w:t>
      </w:r>
      <w:r>
        <w:rPr>
          <w:rFonts w:hint="eastAsia" w:ascii="宋体" w:hAnsi="宋体" w:cs="宋体"/>
          <w:b/>
          <w:bCs/>
          <w:color w:val="FF0000"/>
          <w:kern w:val="0"/>
          <w:sz w:val="28"/>
          <w:szCs w:val="28"/>
          <w:lang w:eastAsia="zh-CN"/>
        </w:rPr>
        <w:t>☑</w:t>
      </w:r>
      <w:r>
        <w:rPr>
          <w:rFonts w:hint="eastAsia" w:ascii="宋体" w:hAnsi="宋体" w:cs="宋体"/>
          <w:b/>
          <w:bCs/>
          <w:color w:val="FF0000"/>
          <w:kern w:val="0"/>
          <w:sz w:val="28"/>
          <w:szCs w:val="28"/>
        </w:rPr>
        <w:t xml:space="preserve">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 无□</w:t>
      </w:r>
      <w:r>
        <w:rPr>
          <w:rFonts w:hint="eastAsia" w:ascii="宋体" w:hAnsi="宋体" w:cs="宋体"/>
          <w:b/>
          <w:bCs/>
          <w:kern w:val="0"/>
          <w:sz w:val="28"/>
          <w:szCs w:val="28"/>
        </w:rPr>
        <w:t xml:space="preserve">） </w:t>
      </w:r>
      <w:bookmarkStart w:id="0" w:name="_GoBack"/>
      <w:bookmarkEnd w:id="0"/>
    </w:p>
    <w:p>
      <w:pPr>
        <w:jc w:val="left"/>
        <w:rPr>
          <w:rFonts w:ascii="宋体" w:hAnsi="宋体" w:cs="宋体"/>
          <w:b/>
          <w:bCs/>
          <w:kern w:val="0"/>
          <w:sz w:val="24"/>
          <w:szCs w:val="24"/>
        </w:rPr>
      </w:pPr>
      <w:r>
        <w:rPr>
          <w:rFonts w:hint="eastAsia" w:ascii="宋体" w:hAnsi="宋体" w:cs="宋体"/>
          <w:b/>
          <w:bCs/>
          <w:kern w:val="0"/>
          <w:sz w:val="24"/>
          <w:szCs w:val="24"/>
        </w:rPr>
        <w:t>配套耗材</w:t>
      </w:r>
    </w:p>
    <w:tbl>
      <w:tblPr>
        <w:tblStyle w:val="7"/>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5094"/>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0"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094"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60" w:type="dxa"/>
            <w:vAlign w:val="center"/>
          </w:tcPr>
          <w:p>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094" w:type="dxa"/>
            <w:vAlign w:val="center"/>
          </w:tcPr>
          <w:p>
            <w:pPr>
              <w:jc w:val="center"/>
              <w:rPr>
                <w:rFonts w:hint="default" w:ascii="仿宋_GB2312" w:hAnsi="Times New Roman" w:eastAsia="仿宋_GB2312"/>
                <w:b/>
                <w:sz w:val="28"/>
                <w:szCs w:val="21"/>
                <w:lang w:val="en-US" w:eastAsia="zh-CN"/>
              </w:rPr>
            </w:pPr>
            <w:r>
              <w:rPr>
                <w:rFonts w:hint="eastAsia" w:ascii="仿宋_GB2312" w:hAnsi="Times New Roman" w:eastAsia="仿宋_GB2312"/>
                <w:b/>
                <w:sz w:val="28"/>
                <w:szCs w:val="21"/>
                <w:lang w:val="en-US" w:eastAsia="zh-CN"/>
              </w:rPr>
              <w:t>一次性使用自体血回收套件</w:t>
            </w:r>
          </w:p>
        </w:tc>
        <w:tc>
          <w:tcPr>
            <w:tcW w:w="1985" w:type="dxa"/>
            <w:vAlign w:val="center"/>
          </w:tcPr>
          <w:p>
            <w:pPr>
              <w:jc w:val="center"/>
              <w:rPr>
                <w:rFonts w:hint="eastAsia" w:ascii="仿宋_GB2312" w:hAnsi="Times New Roman" w:eastAsia="仿宋_GB2312"/>
                <w:b/>
                <w:sz w:val="28"/>
                <w:szCs w:val="21"/>
                <w:lang w:val="en-US" w:eastAsia="zh-CN"/>
              </w:rPr>
            </w:pPr>
            <w:r>
              <w:rPr>
                <w:rFonts w:hint="eastAsia" w:ascii="仿宋_GB2312" w:hAnsi="Times New Roman" w:eastAsia="仿宋_GB2312"/>
                <w:b/>
                <w:sz w:val="28"/>
                <w:szCs w:val="21"/>
                <w:lang w:val="en-US" w:eastAsia="zh-CN"/>
              </w:rPr>
              <w:t>套</w:t>
            </w:r>
          </w:p>
        </w:tc>
        <w:tc>
          <w:tcPr>
            <w:tcW w:w="2126" w:type="dxa"/>
            <w:vAlign w:val="center"/>
          </w:tcPr>
          <w:p>
            <w:pPr>
              <w:jc w:val="center"/>
              <w:rPr>
                <w:rFonts w:hint="default" w:ascii="仿宋_GB2312" w:hAnsi="Times New Roman" w:eastAsia="仿宋_GB2312"/>
                <w:b/>
                <w:sz w:val="28"/>
                <w:szCs w:val="21"/>
                <w:lang w:val="en-US" w:eastAsia="zh-CN"/>
              </w:rPr>
            </w:pPr>
            <w:r>
              <w:rPr>
                <w:rFonts w:hint="eastAsia" w:ascii="仿宋_GB2312" w:hAnsi="Times New Roman" w:eastAsia="仿宋_GB2312"/>
                <w:b/>
                <w:sz w:val="28"/>
                <w:szCs w:val="21"/>
                <w:lang w:val="en-US" w:eastAsia="zh-CN"/>
              </w:rPr>
              <w:t>2000</w:t>
            </w:r>
          </w:p>
        </w:tc>
      </w:tr>
    </w:tbl>
    <w:p>
      <w:pPr>
        <w:jc w:val="left"/>
        <w:rPr>
          <w:rFonts w:ascii="宋体" w:hAnsi="宋体" w:cs="宋体"/>
          <w:b/>
          <w:bCs/>
          <w:kern w:val="0"/>
          <w:sz w:val="24"/>
          <w:szCs w:val="24"/>
        </w:rPr>
      </w:pPr>
      <w:r>
        <w:rPr>
          <w:rFonts w:hint="eastAsia" w:ascii="宋体" w:hAnsi="宋体" w:cs="宋体"/>
          <w:b/>
          <w:bCs/>
          <w:kern w:val="0"/>
          <w:sz w:val="24"/>
          <w:szCs w:val="24"/>
        </w:rPr>
        <w:t xml:space="preserve">配套试剂 </w:t>
      </w:r>
    </w:p>
    <w:tbl>
      <w:tblPr>
        <w:tblStyle w:val="7"/>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5107"/>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47"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107"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pPr>
              <w:jc w:val="center"/>
              <w:rPr>
                <w:rFonts w:hint="eastAsia" w:ascii="仿宋_GB2312" w:hAnsi="Times New Roman" w:eastAsia="仿宋_GB2312"/>
                <w:b/>
                <w:sz w:val="24"/>
                <w:szCs w:val="21"/>
                <w:lang w:eastAsia="zh-CN"/>
              </w:rPr>
            </w:pPr>
            <w:r>
              <w:rPr>
                <w:rFonts w:hint="eastAsia" w:ascii="仿宋_GB2312" w:hAnsi="Times New Roman" w:eastAsia="仿宋_GB2312"/>
                <w:b/>
                <w:sz w:val="24"/>
                <w:szCs w:val="21"/>
              </w:rPr>
              <w:t>预算单价</w:t>
            </w:r>
            <w:r>
              <w:rPr>
                <w:rFonts w:hint="eastAsia" w:ascii="仿宋_GB2312" w:hAnsi="Times New Roman" w:eastAsia="仿宋_GB2312"/>
                <w:b/>
                <w:sz w:val="24"/>
                <w:szCs w:val="21"/>
                <w:lang w:eastAsia="zh-CN"/>
              </w:rPr>
              <w:t>（</w:t>
            </w:r>
            <w:r>
              <w:rPr>
                <w:rFonts w:hint="eastAsia" w:ascii="仿宋_GB2312" w:hAnsi="Times New Roman" w:eastAsia="仿宋_GB2312"/>
                <w:b/>
                <w:sz w:val="24"/>
                <w:szCs w:val="21"/>
                <w:lang w:val="en-US" w:eastAsia="zh-CN"/>
              </w:rPr>
              <w:t>元</w:t>
            </w:r>
            <w:r>
              <w:rPr>
                <w:rFonts w:hint="eastAsia" w:ascii="仿宋_GB2312" w:hAnsi="Times New Roman" w:eastAsia="仿宋_GB2312"/>
                <w:b/>
                <w:sz w:val="24"/>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47" w:type="dxa"/>
            <w:vAlign w:val="center"/>
          </w:tcPr>
          <w:p>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107" w:type="dxa"/>
            <w:vAlign w:val="center"/>
          </w:tcPr>
          <w:p>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c>
          <w:tcPr>
            <w:tcW w:w="1985" w:type="dxa"/>
            <w:vAlign w:val="center"/>
          </w:tcPr>
          <w:p>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c>
          <w:tcPr>
            <w:tcW w:w="2126" w:type="dxa"/>
            <w:vAlign w:val="center"/>
          </w:tcPr>
          <w:p>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r>
    </w:tbl>
    <w:p>
      <w:pPr>
        <w:jc w:val="center"/>
        <w:rPr>
          <w:rFonts w:ascii="微软雅黑" w:hAnsi="微软雅黑" w:eastAsia="微软雅黑" w:cs="宋体"/>
          <w:color w:val="3F3F3F"/>
          <w:kern w:val="0"/>
          <w:szCs w:val="21"/>
        </w:rPr>
      </w:pPr>
    </w:p>
    <w:sectPr>
      <w:foot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JkMzgyNzdjMGVjMjg3YjM2Y2VmYzc5MTcyMzBjZTUifQ=="/>
  </w:docVars>
  <w:rsids>
    <w:rsidRoot w:val="00180716"/>
    <w:rsid w:val="00031B84"/>
    <w:rsid w:val="0007571F"/>
    <w:rsid w:val="00086401"/>
    <w:rsid w:val="000B3A24"/>
    <w:rsid w:val="000E0A0A"/>
    <w:rsid w:val="00100D1E"/>
    <w:rsid w:val="0012370B"/>
    <w:rsid w:val="00153A42"/>
    <w:rsid w:val="0015678E"/>
    <w:rsid w:val="00180716"/>
    <w:rsid w:val="0018661F"/>
    <w:rsid w:val="001B0A84"/>
    <w:rsid w:val="001D5E72"/>
    <w:rsid w:val="00206936"/>
    <w:rsid w:val="002617DE"/>
    <w:rsid w:val="002738F1"/>
    <w:rsid w:val="002C0BFD"/>
    <w:rsid w:val="002C6C45"/>
    <w:rsid w:val="002D02F7"/>
    <w:rsid w:val="002D59FE"/>
    <w:rsid w:val="003141BC"/>
    <w:rsid w:val="0031707A"/>
    <w:rsid w:val="00333E2E"/>
    <w:rsid w:val="003407BA"/>
    <w:rsid w:val="0036311E"/>
    <w:rsid w:val="003938A4"/>
    <w:rsid w:val="003B5D40"/>
    <w:rsid w:val="003D4CEF"/>
    <w:rsid w:val="003E15A0"/>
    <w:rsid w:val="00437E27"/>
    <w:rsid w:val="00447FAF"/>
    <w:rsid w:val="004607A8"/>
    <w:rsid w:val="0046248D"/>
    <w:rsid w:val="004777CE"/>
    <w:rsid w:val="00485E99"/>
    <w:rsid w:val="004B2BE5"/>
    <w:rsid w:val="004B4DC1"/>
    <w:rsid w:val="004B79FD"/>
    <w:rsid w:val="004C6FD8"/>
    <w:rsid w:val="004E09F3"/>
    <w:rsid w:val="004E51B4"/>
    <w:rsid w:val="004E6075"/>
    <w:rsid w:val="004F46EC"/>
    <w:rsid w:val="00536070"/>
    <w:rsid w:val="005B4177"/>
    <w:rsid w:val="006161EF"/>
    <w:rsid w:val="00627CBC"/>
    <w:rsid w:val="00667C4B"/>
    <w:rsid w:val="00696C5E"/>
    <w:rsid w:val="006B7040"/>
    <w:rsid w:val="006C1BAB"/>
    <w:rsid w:val="006C428C"/>
    <w:rsid w:val="006F1FD9"/>
    <w:rsid w:val="0071790B"/>
    <w:rsid w:val="00735F7B"/>
    <w:rsid w:val="007610A6"/>
    <w:rsid w:val="00766032"/>
    <w:rsid w:val="00787AF2"/>
    <w:rsid w:val="00787C5D"/>
    <w:rsid w:val="008046EB"/>
    <w:rsid w:val="00812AE4"/>
    <w:rsid w:val="008143CB"/>
    <w:rsid w:val="00890077"/>
    <w:rsid w:val="00893A00"/>
    <w:rsid w:val="00895307"/>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92628"/>
    <w:rsid w:val="00A15F96"/>
    <w:rsid w:val="00A53A87"/>
    <w:rsid w:val="00A70CB8"/>
    <w:rsid w:val="00A75EBB"/>
    <w:rsid w:val="00AA10B5"/>
    <w:rsid w:val="00AA2A2D"/>
    <w:rsid w:val="00AB3ABF"/>
    <w:rsid w:val="00AB43D9"/>
    <w:rsid w:val="00AB686E"/>
    <w:rsid w:val="00AF2364"/>
    <w:rsid w:val="00B04F86"/>
    <w:rsid w:val="00B16C5C"/>
    <w:rsid w:val="00B36BC4"/>
    <w:rsid w:val="00B37A82"/>
    <w:rsid w:val="00BE5B4B"/>
    <w:rsid w:val="00C046E8"/>
    <w:rsid w:val="00C70023"/>
    <w:rsid w:val="00C70D64"/>
    <w:rsid w:val="00C717A1"/>
    <w:rsid w:val="00CA1F88"/>
    <w:rsid w:val="00D1471E"/>
    <w:rsid w:val="00D14837"/>
    <w:rsid w:val="00D2285F"/>
    <w:rsid w:val="00D5527C"/>
    <w:rsid w:val="00D577BE"/>
    <w:rsid w:val="00D650DC"/>
    <w:rsid w:val="00D736F6"/>
    <w:rsid w:val="00D73D7E"/>
    <w:rsid w:val="00D90205"/>
    <w:rsid w:val="00DA2A6D"/>
    <w:rsid w:val="00DB3248"/>
    <w:rsid w:val="00E100C3"/>
    <w:rsid w:val="00E13D8B"/>
    <w:rsid w:val="00E43D98"/>
    <w:rsid w:val="00E84839"/>
    <w:rsid w:val="00E87DEE"/>
    <w:rsid w:val="00EA0AF4"/>
    <w:rsid w:val="00EA3933"/>
    <w:rsid w:val="00F128E8"/>
    <w:rsid w:val="00F176BB"/>
    <w:rsid w:val="00F3782E"/>
    <w:rsid w:val="00F40917"/>
    <w:rsid w:val="00F47DA3"/>
    <w:rsid w:val="00F749F5"/>
    <w:rsid w:val="00F84832"/>
    <w:rsid w:val="00FD02B5"/>
    <w:rsid w:val="00FD584F"/>
    <w:rsid w:val="0135676B"/>
    <w:rsid w:val="0D716EA6"/>
    <w:rsid w:val="17457D93"/>
    <w:rsid w:val="1F8D6C7D"/>
    <w:rsid w:val="20527BD7"/>
    <w:rsid w:val="29CB1A51"/>
    <w:rsid w:val="34044C8C"/>
    <w:rsid w:val="348408FC"/>
    <w:rsid w:val="3B551A77"/>
    <w:rsid w:val="4899012A"/>
    <w:rsid w:val="53611054"/>
    <w:rsid w:val="58B13E25"/>
    <w:rsid w:val="5A583DA1"/>
    <w:rsid w:val="612E440C"/>
    <w:rsid w:val="618C6CF2"/>
    <w:rsid w:val="625B67EA"/>
    <w:rsid w:val="64E312BD"/>
    <w:rsid w:val="661063E2"/>
    <w:rsid w:val="69E40510"/>
    <w:rsid w:val="6FEF6908"/>
    <w:rsid w:val="730C4482"/>
    <w:rsid w:val="79FE7010"/>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2"/>
    <w:autoRedefine/>
    <w:unhideWhenUsed/>
    <w:qFormat/>
    <w:uiPriority w:val="99"/>
    <w:pPr>
      <w:jc w:val="left"/>
    </w:pPr>
  </w:style>
  <w:style w:type="paragraph" w:styleId="4">
    <w:name w:val="Balloon Text"/>
    <w:basedOn w:val="1"/>
    <w:link w:val="13"/>
    <w:autoRedefine/>
    <w:unhideWhenUsed/>
    <w:qFormat/>
    <w:uiPriority w:val="99"/>
    <w:rPr>
      <w:sz w:val="18"/>
      <w:szCs w:val="18"/>
    </w:rPr>
  </w:style>
  <w:style w:type="paragraph" w:styleId="5">
    <w:name w:val="footer"/>
    <w:basedOn w:val="1"/>
    <w:link w:val="14"/>
    <w:autoRedefine/>
    <w:unhideWhenUsed/>
    <w:qFormat/>
    <w:uiPriority w:val="99"/>
    <w:pPr>
      <w:tabs>
        <w:tab w:val="center" w:pos="4153"/>
        <w:tab w:val="right" w:pos="8306"/>
      </w:tabs>
      <w:snapToGrid w:val="0"/>
      <w:jc w:val="left"/>
    </w:pPr>
    <w:rPr>
      <w:kern w:val="0"/>
      <w:sz w:val="18"/>
      <w:szCs w:val="18"/>
    </w:rPr>
  </w:style>
  <w:style w:type="paragraph" w:styleId="6">
    <w:name w:val="header"/>
    <w:basedOn w:val="1"/>
    <w:link w:val="15"/>
    <w:autoRedefine/>
    <w:unhideWhenUsed/>
    <w:qFormat/>
    <w:uiPriority w:val="99"/>
    <w:pPr>
      <w:pBdr>
        <w:bottom w:val="single" w:color="auto" w:sz="6" w:space="1"/>
      </w:pBdr>
      <w:tabs>
        <w:tab w:val="center" w:pos="4153"/>
        <w:tab w:val="right" w:pos="8306"/>
      </w:tabs>
      <w:snapToGrid w:val="0"/>
      <w:jc w:val="center"/>
    </w:pPr>
    <w:rPr>
      <w:kern w:val="0"/>
      <w:sz w:val="18"/>
      <w:szCs w:val="18"/>
    </w:rPr>
  </w:style>
  <w:style w:type="table" w:styleId="8">
    <w:name w:val="Table Grid"/>
    <w:basedOn w:val="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autoRedefine/>
    <w:unhideWhenUsed/>
    <w:qFormat/>
    <w:uiPriority w:val="99"/>
    <w:rPr>
      <w:sz w:val="21"/>
      <w:szCs w:val="21"/>
    </w:rPr>
  </w:style>
  <w:style w:type="character" w:customStyle="1" w:styleId="11">
    <w:name w:val="标题 1 字符"/>
    <w:link w:val="2"/>
    <w:autoRedefine/>
    <w:qFormat/>
    <w:uiPriority w:val="9"/>
    <w:rPr>
      <w:b/>
      <w:bCs/>
      <w:kern w:val="44"/>
      <w:sz w:val="44"/>
      <w:szCs w:val="44"/>
    </w:rPr>
  </w:style>
  <w:style w:type="character" w:customStyle="1" w:styleId="12">
    <w:name w:val="批注文字 字符"/>
    <w:link w:val="3"/>
    <w:autoRedefine/>
    <w:semiHidden/>
    <w:qFormat/>
    <w:uiPriority w:val="99"/>
    <w:rPr>
      <w:kern w:val="2"/>
      <w:sz w:val="21"/>
      <w:szCs w:val="22"/>
    </w:rPr>
  </w:style>
  <w:style w:type="character" w:customStyle="1" w:styleId="13">
    <w:name w:val="批注框文本 字符"/>
    <w:link w:val="4"/>
    <w:autoRedefine/>
    <w:semiHidden/>
    <w:qFormat/>
    <w:uiPriority w:val="99"/>
    <w:rPr>
      <w:kern w:val="2"/>
      <w:sz w:val="18"/>
      <w:szCs w:val="18"/>
    </w:rPr>
  </w:style>
  <w:style w:type="character" w:customStyle="1" w:styleId="14">
    <w:name w:val="页脚 字符"/>
    <w:link w:val="5"/>
    <w:autoRedefine/>
    <w:qFormat/>
    <w:uiPriority w:val="99"/>
    <w:rPr>
      <w:sz w:val="18"/>
      <w:szCs w:val="18"/>
    </w:rPr>
  </w:style>
  <w:style w:type="character" w:customStyle="1" w:styleId="15">
    <w:name w:val="页眉 字符"/>
    <w:link w:val="6"/>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6</Pages>
  <Words>218</Words>
  <Characters>1249</Characters>
  <Lines>10</Lines>
  <Paragraphs>2</Paragraphs>
  <TotalTime>17</TotalTime>
  <ScaleCrop>false</ScaleCrop>
  <LinksUpToDate>false</LinksUpToDate>
  <CharactersWithSpaces>1465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2023-11-02T03:07:00Z</dcterms:created>
  <dc:creator>Sky123.Org</dc:creator>
  <cp:lastModifiedBy> </cp:lastModifiedBy>
  <cp:lastPrinted>2020-06-15T03:32:00Z</cp:lastPrinted>
  <dcterms:modified xsi:type="dcterms:W3CDTF">2024-04-02T01:52:02Z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5ECAB3CDAB1E4F2E9F0783FF98891651</vt:lpwstr>
  </property>
</Properties>
</file>