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（设备类）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ind w:left="420"/>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评标信息</w:t>
      </w:r>
    </w:p>
    <w:p>
      <w:pPr>
        <w:ind w:left="420"/>
        <w:rPr>
          <w:rFonts w:hint="eastAsia" w:ascii="宋体" w:hAnsi="宋体"/>
          <w:sz w:val="24"/>
          <w:szCs w:val="24"/>
        </w:rPr>
      </w:pPr>
      <w:r>
        <w:rPr>
          <w:rFonts w:hint="eastAsia" w:asciiTheme="minorEastAsia" w:hAnsiTheme="minorEastAsia" w:eastAsiaTheme="minorEastAsia"/>
          <w:sz w:val="24"/>
          <w:szCs w:val="24"/>
        </w:rPr>
        <w:t>价格分计算</w:t>
      </w:r>
      <w:r>
        <w:rPr>
          <w:rFonts w:hint="eastAsia" w:asciiTheme="minorEastAsia" w:hAnsiTheme="minorEastAsia" w:eastAsiaTheme="minorEastAsia"/>
          <w:sz w:val="24"/>
          <w:szCs w:val="24"/>
          <w:lang w:eastAsia="zh-CN"/>
        </w:rPr>
        <w:t>（每个供应商可进行两次报价，以第二次报价为最终报价）</w:t>
      </w:r>
      <w:r>
        <w:rPr>
          <w:rFonts w:hint="eastAsia" w:asciiTheme="minorEastAsia" w:hAnsiTheme="minorEastAsia" w:eastAsiaTheme="minorEastAsia"/>
          <w:sz w:val="24"/>
          <w:szCs w:val="24"/>
        </w:rPr>
        <w:t>：</w:t>
      </w:r>
      <w:r>
        <w:rPr>
          <w:rFonts w:hint="eastAsia" w:ascii="宋体" w:hAnsi="宋体"/>
          <w:sz w:val="24"/>
          <w:szCs w:val="24"/>
        </w:rPr>
        <w:t>价格分应当采用低价优先法计算，即满足文件要求且投标价格最低的投标报价为评标基准价，其价格分为满分。其他投标人的价格分统一按照下列公式计算：</w:t>
      </w:r>
    </w:p>
    <w:p>
      <w:pPr>
        <w:ind w:left="420"/>
        <w:rPr>
          <w:rFonts w:hint="eastAsia" w:ascii="宋体" w:hAnsi="宋体" w:eastAsia="宋体"/>
          <w:sz w:val="24"/>
          <w:szCs w:val="24"/>
          <w:lang w:eastAsia="zh-CN"/>
        </w:rPr>
      </w:pPr>
      <w:r>
        <w:rPr>
          <w:rFonts w:hint="eastAsia" w:ascii="宋体" w:hAnsi="宋体"/>
          <w:sz w:val="24"/>
          <w:szCs w:val="24"/>
        </w:rPr>
        <w:t>投标报价得分=(评标基准价／投标报价)×权重</w:t>
      </w:r>
      <w:r>
        <w:rPr>
          <w:rFonts w:hint="eastAsia" w:ascii="宋体" w:hAnsi="宋体"/>
          <w:sz w:val="24"/>
          <w:szCs w:val="24"/>
          <w:lang w:eastAsia="zh-CN"/>
        </w:rPr>
        <w:t>分</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备注：投标报价得分四舍五入后，小数点后保留两位有效数；</w:t>
      </w:r>
    </w:p>
    <w:p>
      <w:pPr>
        <w:widowControl/>
        <w:spacing w:line="450" w:lineRule="atLeast"/>
        <w:ind w:firstLine="480" w:firstLineChars="200"/>
        <w:jc w:val="left"/>
        <w:textAlignment w:val="baseline"/>
        <w:rPr>
          <w:rFonts w:asciiTheme="minorEastAsia" w:hAnsiTheme="minorEastAsia" w:eastAsiaTheme="minorEastAsia"/>
          <w:sz w:val="24"/>
          <w:szCs w:val="24"/>
        </w:rPr>
      </w:pPr>
      <w:r>
        <w:rPr>
          <w:rFonts w:hint="eastAsia" w:ascii="宋体" w:hAnsi="宋体"/>
          <w:sz w:val="24"/>
          <w:szCs w:val="24"/>
        </w:rPr>
        <w:t>评标基准价</w:t>
      </w:r>
      <w:r>
        <w:rPr>
          <w:rFonts w:hint="eastAsia" w:asciiTheme="minorEastAsia" w:hAnsiTheme="minorEastAsia" w:eastAsiaTheme="minorEastAsia"/>
          <w:sz w:val="24"/>
          <w:szCs w:val="24"/>
        </w:rPr>
        <w:t>是指所有有效报价中最低的投标报价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b/>
          <w:bCs/>
          <w:color w:val="FF0000"/>
          <w:sz w:val="24"/>
          <w:szCs w:val="24"/>
          <w:lang w:val="en-US" w:eastAsia="zh-CN"/>
        </w:rPr>
        <w:t>注：</w:t>
      </w:r>
      <w:r>
        <w:rPr>
          <w:rFonts w:hint="eastAsia" w:asciiTheme="minorEastAsia" w:hAnsiTheme="minorEastAsia" w:eastAsiaTheme="minorEastAsia"/>
          <w:b/>
          <w:bCs/>
          <w:color w:val="FF0000"/>
          <w:sz w:val="24"/>
          <w:szCs w:val="24"/>
        </w:rPr>
        <w:t>投标人的报价明显低于其他投标人的报价，有可能影响产品质量或者不能诚信履约的，应在评标现场提供书面说明和相关证明材料；不能证明其报价合理性的，将其作为无效投标处理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评审委员会在评标时，应按照以下量化的评审因素，对各投标文件进行分析和比较：</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本项目详细评分细则如下表：</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6"/>
        <w:gridCol w:w="15"/>
        <w:gridCol w:w="1245"/>
        <w:gridCol w:w="699"/>
        <w:gridCol w:w="61"/>
        <w:gridCol w:w="709"/>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序号</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评分项</w:t>
            </w:r>
          </w:p>
        </w:tc>
        <w:tc>
          <w:tcPr>
            <w:tcW w:w="5500" w:type="dxa"/>
            <w:noWrap w:val="0"/>
            <w:vAlign w:val="center"/>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一</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价格部分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二</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技术部分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技术响应情况</w:t>
            </w:r>
          </w:p>
        </w:tc>
        <w:tc>
          <w:tcPr>
            <w:tcW w:w="699" w:type="dxa"/>
            <w:noWrap w:val="0"/>
            <w:vAlign w:val="center"/>
          </w:tcPr>
          <w:p>
            <w:pPr>
              <w:jc w:val="center"/>
              <w:rPr>
                <w:rFonts w:ascii="宋体" w:hAnsi="宋体"/>
                <w:sz w:val="24"/>
                <w:szCs w:val="24"/>
              </w:rPr>
            </w:pPr>
            <w:r>
              <w:rPr>
                <w:rFonts w:hint="eastAsia" w:ascii="宋体" w:hAnsi="宋体"/>
                <w:sz w:val="24"/>
                <w:szCs w:val="24"/>
              </w:rPr>
              <w:t>45分</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pPr>
            <w:r>
              <w:rPr>
                <w:rFonts w:hint="eastAsia"/>
              </w:rPr>
              <w:t>投标人应如实填写《技术规格偏离表》，评审委员会根据技术需求参数响应情况进行打分，各项技术参数指标及要求全部满足的得45分，带“▲”为重要参数，每负偏离一项扣</w:t>
            </w:r>
            <w:r>
              <w:rPr>
                <w:rFonts w:hint="eastAsia"/>
                <w:lang w:val="en-US" w:eastAsia="zh-CN"/>
              </w:rPr>
              <w:t>4.5</w:t>
            </w:r>
            <w:r>
              <w:rPr>
                <w:rFonts w:hint="eastAsia"/>
              </w:rPr>
              <w:t>分，其他参数每负偏离一项扣</w:t>
            </w:r>
            <w:r>
              <w:rPr>
                <w:rFonts w:hint="eastAsia"/>
                <w:lang w:val="en-US" w:eastAsia="zh-CN"/>
              </w:rPr>
              <w:t>1.5</w:t>
            </w:r>
            <w:r>
              <w:rPr>
                <w:rFonts w:hint="eastAsia"/>
              </w:rPr>
              <w:t>分，扣完为止。正偏离不加分。</w:t>
            </w:r>
          </w:p>
          <w:p>
            <w:pPr>
              <w:spacing w:line="280" w:lineRule="exact"/>
              <w:rPr>
                <w:rFonts w:hint="eastAsia"/>
              </w:rPr>
            </w:pPr>
            <w:r>
              <w:rPr>
                <w:rFonts w:hint="eastAsia"/>
              </w:rPr>
              <w:t>注：1、</w:t>
            </w:r>
            <w:r>
              <w:t>对带三角号（</w:t>
            </w:r>
            <w:r>
              <w:rPr>
                <w:rFonts w:hint="eastAsia"/>
              </w:rPr>
              <w:t>“▲”</w:t>
            </w:r>
            <w:r>
              <w:t>）的重要技术参数投标人必须提供相关证明材料（技术白皮书、彩页、产品说明书或检测报告等），否则按负偏离进行扣分。</w:t>
            </w:r>
          </w:p>
          <w:p>
            <w:pPr>
              <w:pStyle w:val="2"/>
              <w:numPr>
                <w:ilvl w:val="0"/>
                <w:numId w:val="3"/>
              </w:numPr>
              <w:jc w:val="left"/>
            </w:pPr>
            <w:r>
              <w:rPr>
                <w:rFonts w:hint="eastAsia"/>
                <w:lang w:eastAsia="zh-CN"/>
              </w:rPr>
              <w:t>负偏离参数项数合计≥技术规格参数项数合计的</w:t>
            </w:r>
            <w:r>
              <w:rPr>
                <w:rFonts w:hint="eastAsia"/>
                <w:lang w:val="en-US" w:eastAsia="zh-CN"/>
              </w:rPr>
              <w:t>50%，技术响应不得分。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2</w:t>
            </w:r>
          </w:p>
        </w:tc>
        <w:tc>
          <w:tcPr>
            <w:tcW w:w="126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技术保障措施</w:t>
            </w:r>
          </w:p>
        </w:tc>
        <w:tc>
          <w:tcPr>
            <w:tcW w:w="699" w:type="dxa"/>
            <w:noWrap w:val="0"/>
            <w:vAlign w:val="center"/>
          </w:tcPr>
          <w:p>
            <w:pPr>
              <w:jc w:val="center"/>
              <w:rPr>
                <w:rFonts w:ascii="宋体" w:hAnsi="宋体"/>
                <w:sz w:val="24"/>
                <w:szCs w:val="24"/>
              </w:rPr>
            </w:pPr>
            <w:r>
              <w:rPr>
                <w:rFonts w:hint="eastAsia" w:ascii="宋体" w:hAnsi="宋体"/>
                <w:sz w:val="24"/>
                <w:szCs w:val="24"/>
              </w:rPr>
              <w:t>3分</w:t>
            </w:r>
          </w:p>
        </w:tc>
        <w:tc>
          <w:tcPr>
            <w:tcW w:w="77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专家打分</w:t>
            </w:r>
          </w:p>
        </w:tc>
        <w:tc>
          <w:tcPr>
            <w:tcW w:w="5500" w:type="dxa"/>
            <w:noWrap w:val="0"/>
            <w:vAlign w:val="center"/>
          </w:tcPr>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在投标文件中详细说明保障措施（包括技术团队和技术方案、所投产品在同类产品中性能水平及应用程度等），评审委员会根据响应情况进行横向比较，按优3分，良2分，中1分，差0分打分。</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优：技术团队和技术方案完善、所投产品在同类产品中性能水平高及应用程度高。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良：技术团队和技术方案较完善、所投产品在同类产品中性能水平较高及应用程度较高。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中：技术团队和技术方案基本完善、所投产品在同类产品中性能水平普通及应用程度普通。</w:t>
            </w:r>
          </w:p>
          <w:p>
            <w:pPr>
              <w:spacing w:line="280" w:lineRule="exact"/>
              <w:rPr>
                <w:rFonts w:ascii="宋体" w:hAnsi="宋体" w:cs="宋体"/>
                <w:b/>
                <w:color w:val="auto"/>
                <w:sz w:val="24"/>
                <w:szCs w:val="24"/>
              </w:rPr>
            </w:pPr>
            <w:r>
              <w:rPr>
                <w:rFonts w:hint="eastAsia" w:ascii="宋体" w:hAnsi="宋体" w:cs="宋体"/>
                <w:color w:val="auto"/>
                <w:kern w:val="0"/>
                <w:sz w:val="24"/>
                <w:szCs w:val="24"/>
              </w:rPr>
              <w:t>差：不能满足基本要求及未提供详细说明。。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三</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商务部分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ascii="宋体" w:hAnsi="宋体"/>
                <w:sz w:val="24"/>
                <w:szCs w:val="24"/>
              </w:rPr>
              <w:t>1</w:t>
            </w:r>
          </w:p>
        </w:tc>
        <w:tc>
          <w:tcPr>
            <w:tcW w:w="1245" w:type="dxa"/>
            <w:noWrap w:val="0"/>
            <w:vAlign w:val="center"/>
          </w:tcPr>
          <w:p>
            <w:pPr>
              <w:spacing w:line="240" w:lineRule="exact"/>
              <w:jc w:val="center"/>
              <w:rPr>
                <w:rFonts w:ascii="宋体" w:hAnsi="宋体"/>
                <w:sz w:val="24"/>
                <w:szCs w:val="24"/>
              </w:rPr>
            </w:pPr>
            <w:r>
              <w:rPr>
                <w:rFonts w:hint="eastAsia" w:ascii="宋体" w:hAnsi="宋体"/>
                <w:sz w:val="24"/>
                <w:szCs w:val="24"/>
              </w:rPr>
              <w:t>免费保修期内售后服务条款偏离情况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5分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color w:val="auto"/>
                <w:sz w:val="24"/>
                <w:szCs w:val="24"/>
              </w:rPr>
            </w:pPr>
            <w:r>
              <w:rPr>
                <w:rFonts w:hint="eastAsia" w:ascii="宋体" w:hAnsi="宋体" w:cs="宋体"/>
                <w:color w:val="auto"/>
                <w:sz w:val="24"/>
                <w:szCs w:val="24"/>
              </w:rPr>
              <w:t>(1)投标人应如实填写《免费保修期内售后服务条款偏离表》，评审委员会根据响应情况进行打分。满足免费保修期的得2分，每增加一年加0.5分，最高得3分。</w:t>
            </w:r>
          </w:p>
          <w:p>
            <w:pPr>
              <w:spacing w:line="280" w:lineRule="exact"/>
              <w:rPr>
                <w:rFonts w:ascii="宋体" w:hAnsi="宋体" w:cs="宋体"/>
                <w:color w:val="auto"/>
                <w:sz w:val="24"/>
                <w:szCs w:val="24"/>
              </w:rPr>
            </w:pPr>
            <w:r>
              <w:rPr>
                <w:rFonts w:hint="eastAsia" w:ascii="宋体" w:hAnsi="宋体" w:cs="宋体"/>
                <w:color w:val="auto"/>
                <w:sz w:val="24"/>
                <w:szCs w:val="24"/>
              </w:rPr>
              <w:t>(2)其他要求全部满足要求的得2分，每负偏离一项扣1分。</w:t>
            </w:r>
          </w:p>
          <w:p>
            <w:pPr>
              <w:spacing w:line="280" w:lineRule="exact"/>
              <w:rPr>
                <w:rFonts w:ascii="宋体" w:hAnsi="宋体" w:cs="宋体"/>
                <w:color w:val="auto"/>
                <w:sz w:val="24"/>
                <w:szCs w:val="24"/>
              </w:rPr>
            </w:pPr>
            <w:r>
              <w:rPr>
                <w:rFonts w:hint="eastAsia" w:ascii="宋体" w:hAnsi="宋体" w:cs="宋体"/>
                <w:color w:val="auto"/>
                <w:sz w:val="24"/>
                <w:szCs w:val="24"/>
              </w:rPr>
              <w:t>以上两项合计5分。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2</w:t>
            </w:r>
          </w:p>
        </w:tc>
        <w:tc>
          <w:tcPr>
            <w:tcW w:w="1245" w:type="dxa"/>
            <w:noWrap w:val="0"/>
            <w:vAlign w:val="center"/>
          </w:tcPr>
          <w:p>
            <w:pPr>
              <w:spacing w:line="240" w:lineRule="exact"/>
              <w:jc w:val="center"/>
              <w:rPr>
                <w:rFonts w:ascii="宋体" w:hAnsi="宋体"/>
                <w:sz w:val="24"/>
                <w:szCs w:val="24"/>
              </w:rPr>
            </w:pPr>
            <w:r>
              <w:rPr>
                <w:rFonts w:hint="eastAsia" w:ascii="宋体" w:hAnsi="宋体" w:cs="宋体"/>
                <w:sz w:val="24"/>
                <w:szCs w:val="24"/>
              </w:rPr>
              <w:t>免费保修期外售后服务条款偏离情况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sz w:val="24"/>
                <w:szCs w:val="24"/>
              </w:rPr>
            </w:pPr>
            <w:r>
              <w:rPr>
                <w:rFonts w:hint="eastAsia" w:ascii="宋体" w:hAnsi="宋体" w:cs="宋体"/>
                <w:sz w:val="24"/>
                <w:szCs w:val="24"/>
              </w:rPr>
              <w:t>投标人应如实填写《免费保修期外售后服务条款偏离表》，评审委员会根据响应情况进行打分，每负偏离一项扣</w:t>
            </w:r>
            <w:r>
              <w:rPr>
                <w:rFonts w:hint="eastAsia" w:ascii="宋体" w:hAnsi="宋体" w:cs="宋体"/>
                <w:sz w:val="24"/>
                <w:szCs w:val="24"/>
                <w:lang w:val="en-US" w:eastAsia="zh-CN"/>
              </w:rPr>
              <w:t>1</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60" w:lineRule="exact"/>
              <w:jc w:val="center"/>
              <w:rPr>
                <w:rFonts w:ascii="宋体" w:hAnsi="宋体"/>
                <w:sz w:val="24"/>
                <w:szCs w:val="24"/>
              </w:rPr>
            </w:pPr>
            <w:r>
              <w:rPr>
                <w:rFonts w:ascii="宋体" w:hAnsi="宋体"/>
                <w:sz w:val="24"/>
                <w:szCs w:val="24"/>
              </w:rPr>
              <w:t>3</w:t>
            </w:r>
          </w:p>
        </w:tc>
        <w:tc>
          <w:tcPr>
            <w:tcW w:w="1245" w:type="dxa"/>
            <w:noWrap w:val="0"/>
            <w:vAlign w:val="center"/>
          </w:tcPr>
          <w:p>
            <w:pPr>
              <w:spacing w:line="260" w:lineRule="exact"/>
              <w:jc w:val="center"/>
              <w:rPr>
                <w:rFonts w:ascii="宋体" w:hAnsi="宋体"/>
                <w:sz w:val="24"/>
                <w:szCs w:val="24"/>
              </w:rPr>
            </w:pPr>
            <w:r>
              <w:rPr>
                <w:rFonts w:hint="eastAsia" w:ascii="宋体" w:hAnsi="宋体"/>
                <w:sz w:val="24"/>
                <w:szCs w:val="24"/>
              </w:rPr>
              <w:t>其他商务要求偏离情况</w:t>
            </w:r>
          </w:p>
        </w:tc>
        <w:tc>
          <w:tcPr>
            <w:tcW w:w="760" w:type="dxa"/>
            <w:gridSpan w:val="2"/>
            <w:noWrap w:val="0"/>
            <w:vAlign w:val="center"/>
          </w:tcPr>
          <w:p>
            <w:pPr>
              <w:spacing w:line="26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6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对招标文件的实质性要求作出有效响应且投标文件按招标文件要求具有有效性和完整性，得优：6分；</w:t>
            </w:r>
          </w:p>
          <w:p>
            <w:pPr>
              <w:spacing w:line="280" w:lineRule="exac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投标文件不缺项，表达不清晰，需现场解答，得良：3分；</w:t>
            </w:r>
          </w:p>
          <w:p>
            <w:pPr>
              <w:spacing w:line="28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投标文件缺项，经现场答辩，不影响评标，得中：1分；</w:t>
            </w:r>
          </w:p>
          <w:p>
            <w:pPr>
              <w:spacing w:line="280" w:lineRule="exact"/>
              <w:rPr>
                <w:rFonts w:ascii="宋体" w:hAnsi="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存在明显缺项，影响评标，不得分。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四</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诚信情况</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诚信情况</w:t>
            </w:r>
          </w:p>
        </w:tc>
        <w:tc>
          <w:tcPr>
            <w:tcW w:w="699" w:type="dxa"/>
            <w:noWrap w:val="0"/>
            <w:vAlign w:val="center"/>
          </w:tcPr>
          <w:p>
            <w:pPr>
              <w:jc w:val="center"/>
              <w:rPr>
                <w:rFonts w:ascii="宋体" w:hAnsi="宋体"/>
                <w:sz w:val="24"/>
                <w:szCs w:val="24"/>
              </w:rPr>
            </w:pPr>
            <w:r>
              <w:rPr>
                <w:rFonts w:hint="eastAsia" w:ascii="宋体" w:hAnsi="宋体"/>
                <w:sz w:val="24"/>
                <w:szCs w:val="24"/>
              </w:rPr>
              <w:t xml:space="preserve">5分 </w:t>
            </w:r>
          </w:p>
        </w:tc>
        <w:tc>
          <w:tcPr>
            <w:tcW w:w="77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sz w:val="24"/>
                <w:szCs w:val="24"/>
              </w:rPr>
            </w:pPr>
            <w:r>
              <w:rPr>
                <w:rFonts w:hint="eastAsia" w:ascii="宋体" w:hAnsi="宋体" w:cs="宋体"/>
                <w:sz w:val="24"/>
                <w:szCs w:val="24"/>
              </w:rPr>
              <w:t>评审标准：依据深财购[2013]27号文的有关规定，本项目将对投标人诚信进行评审：</w:t>
            </w:r>
          </w:p>
          <w:p>
            <w:pPr>
              <w:spacing w:line="280" w:lineRule="exact"/>
              <w:rPr>
                <w:rFonts w:ascii="宋体" w:hAnsi="宋体" w:cs="宋体"/>
                <w:sz w:val="24"/>
                <w:szCs w:val="24"/>
              </w:rPr>
            </w:pPr>
            <w:r>
              <w:rPr>
                <w:rFonts w:hint="eastAsia" w:ascii="宋体" w:hAnsi="宋体" w:cs="宋体"/>
                <w:sz w:val="24"/>
                <w:szCs w:val="24"/>
              </w:rPr>
              <w:t>（1）投标人不存在不诚信情况且按照要求提供承诺函的，得5分。</w:t>
            </w:r>
          </w:p>
          <w:p>
            <w:pPr>
              <w:spacing w:line="280" w:lineRule="exact"/>
              <w:rPr>
                <w:rFonts w:ascii="宋体" w:hAnsi="宋体" w:cs="宋体"/>
                <w:sz w:val="24"/>
                <w:szCs w:val="24"/>
              </w:rPr>
            </w:pPr>
            <w:r>
              <w:rPr>
                <w:rFonts w:hint="eastAsia" w:ascii="宋体" w:hAnsi="宋体" w:cs="宋体"/>
                <w:sz w:val="24"/>
                <w:szCs w:val="24"/>
              </w:rPr>
              <w:t>（2）投标人存在不诚信情况或未按规定提供承诺函的，得0分。</w:t>
            </w:r>
          </w:p>
        </w:tc>
      </w:tr>
    </w:tbl>
    <w:p>
      <w:pPr>
        <w:spacing w:line="360" w:lineRule="auto"/>
        <w:rPr>
          <w:rFonts w:ascii="宋体" w:hAnsi="宋体"/>
          <w:sz w:val="24"/>
          <w:szCs w:val="24"/>
        </w:rPr>
      </w:pPr>
      <w:r>
        <w:rPr>
          <w:rFonts w:hint="eastAsia" w:ascii="宋体" w:hAnsi="宋体"/>
          <w:sz w:val="24"/>
          <w:szCs w:val="24"/>
        </w:rPr>
        <w:t>注：1、每项得分均不能超过该项最高分值，得分精确至小数点后两位。</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2、缺项或不合格，则该项为0分。</w:t>
      </w: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项目投标文件</w:t>
      </w: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开标一览表</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ind w:firstLine="1084" w:firstLineChars="450"/>
        <w:jc w:val="left"/>
        <w:rPr>
          <w:rFonts w:hint="default" w:asciiTheme="minorEastAsia" w:hAnsiTheme="minorEastAsia" w:eastAsiaTheme="minorEastAsia"/>
          <w:b/>
          <w:sz w:val="24"/>
          <w:szCs w:val="24"/>
          <w:u w:val="single"/>
          <w:lang w:val="en-US"/>
        </w:rPr>
      </w:pPr>
      <w:r>
        <w:rPr>
          <w:rFonts w:hint="eastAsia" w:asciiTheme="minorEastAsia" w:hAnsiTheme="minorEastAsia" w:eastAsiaTheme="minorEastAsia"/>
          <w:b/>
          <w:sz w:val="24"/>
          <w:szCs w:val="24"/>
        </w:rPr>
        <w:t>采购编号：</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 - SB</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2023 </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val="en-US" w:eastAsia="zh-CN"/>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投标人名称（公章)：</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投标人代表（签字）：</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投标日期：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 xml:space="preserve">年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p>
    <w:p>
      <w:pPr>
        <w:spacing w:line="300" w:lineRule="auto"/>
        <w:rPr>
          <w:rFonts w:asciiTheme="minorEastAsia" w:hAnsiTheme="minorEastAsia" w:eastAsiaTheme="minorEastAsia"/>
          <w:sz w:val="24"/>
          <w:szCs w:val="24"/>
        </w:rPr>
        <w:sectPr>
          <w:footerReference r:id="rId4" w:type="default"/>
          <w:headerReference r:id="rId3" w:type="even"/>
          <w:pgSz w:w="11906" w:h="16838"/>
          <w:pgMar w:top="1701" w:right="1588" w:bottom="1304" w:left="1588" w:header="1247" w:footer="737" w:gutter="0"/>
          <w:cols w:space="425" w:num="1"/>
          <w:docGrid w:linePitch="380" w:charSpace="-4301"/>
        </w:sectPr>
      </w:pP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开标一览表格式               </w:t>
      </w:r>
    </w:p>
    <w:p>
      <w:pPr>
        <w:pStyle w:val="5"/>
        <w:spacing w:line="300" w:lineRule="auto"/>
        <w:jc w:val="center"/>
        <w:rPr>
          <w:rFonts w:asciiTheme="minorEastAsia" w:hAnsiTheme="minorEastAsia" w:eastAsiaTheme="minorEastAsia"/>
          <w:bCs/>
          <w:szCs w:val="24"/>
        </w:rPr>
      </w:pPr>
      <w:bookmarkStart w:id="0" w:name="_Toc309632062"/>
      <w:bookmarkStart w:id="1" w:name="_Toc313109512"/>
      <w:r>
        <w:rPr>
          <w:rFonts w:hint="eastAsia" w:asciiTheme="minorEastAsia" w:hAnsiTheme="minorEastAsia" w:eastAsiaTheme="minorEastAsia"/>
          <w:bCs/>
          <w:szCs w:val="24"/>
        </w:rPr>
        <w:t>一、开标一览表</w:t>
      </w:r>
      <w:bookmarkEnd w:id="0"/>
      <w:bookmarkEnd w:id="1"/>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 xml:space="preserve">               </w:t>
      </w:r>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项目编号：</w:t>
      </w:r>
      <w:r>
        <w:rPr>
          <w:rFonts w:hint="eastAsia" w:asciiTheme="minorEastAsia" w:hAnsiTheme="minorEastAsia" w:eastAsiaTheme="minorEastAsia"/>
          <w:bCs/>
          <w:snapToGrid w:val="0"/>
          <w:kern w:val="0"/>
          <w:sz w:val="24"/>
          <w:szCs w:val="24"/>
          <w:u w:val="single"/>
        </w:rPr>
        <w:t xml:space="preserve">                     </w:t>
      </w:r>
      <w:r>
        <w:rPr>
          <w:rFonts w:hint="eastAsia" w:asciiTheme="minorEastAsia" w:hAnsiTheme="minorEastAsia" w:eastAsiaTheme="minorEastAsia"/>
          <w:bCs/>
          <w:snapToGrid w:val="0"/>
          <w:kern w:val="0"/>
          <w:sz w:val="24"/>
          <w:szCs w:val="24"/>
        </w:rPr>
        <w:t xml:space="preserve">         </w:t>
      </w:r>
    </w:p>
    <w:p>
      <w:pPr>
        <w:jc w:val="center"/>
        <w:rPr>
          <w:sz w:val="32"/>
          <w:szCs w:val="32"/>
        </w:rPr>
      </w:pPr>
      <w:r>
        <w:rPr>
          <w:rFonts w:hint="eastAsia" w:asciiTheme="minorEastAsia" w:hAnsiTheme="minorEastAsia" w:eastAsiaTheme="minorEastAsia"/>
          <w:bCs/>
          <w:snapToGrid w:val="0"/>
          <w:kern w:val="0"/>
          <w:sz w:val="24"/>
          <w:szCs w:val="24"/>
        </w:rPr>
        <w:t xml:space="preserve">   </w:t>
      </w:r>
    </w:p>
    <w:tbl>
      <w:tblPr>
        <w:tblStyle w:val="14"/>
        <w:tblW w:w="920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819"/>
        <w:gridCol w:w="1682"/>
        <w:gridCol w:w="1374"/>
        <w:gridCol w:w="369"/>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095" w:type="dxa"/>
            <w:gridSpan w:val="2"/>
          </w:tcPr>
          <w:p>
            <w:pPr>
              <w:jc w:val="center"/>
              <w:rPr>
                <w:szCs w:val="21"/>
              </w:rPr>
            </w:pPr>
            <w:r>
              <w:rPr>
                <w:rFonts w:hint="eastAsia"/>
                <w:szCs w:val="21"/>
              </w:rPr>
              <w:t>项目编号</w:t>
            </w:r>
          </w:p>
        </w:tc>
        <w:tc>
          <w:tcPr>
            <w:tcW w:w="3425" w:type="dxa"/>
            <w:gridSpan w:val="3"/>
          </w:tcPr>
          <w:p>
            <w:pPr>
              <w:jc w:val="center"/>
              <w:rPr>
                <w:szCs w:val="21"/>
              </w:rPr>
            </w:pPr>
            <w:r>
              <w:rPr>
                <w:rFonts w:hint="eastAsia"/>
                <w:szCs w:val="21"/>
              </w:rPr>
              <w:t>供应商名称</w:t>
            </w:r>
          </w:p>
        </w:tc>
        <w:tc>
          <w:tcPr>
            <w:tcW w:w="2687" w:type="dxa"/>
          </w:tcPr>
          <w:p>
            <w:pPr>
              <w:jc w:val="center"/>
              <w:rPr>
                <w:szCs w:val="21"/>
              </w:rPr>
            </w:pPr>
            <w:r>
              <w:rPr>
                <w:rFonts w:hint="eastAsia"/>
                <w:szCs w:val="21"/>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3095" w:type="dxa"/>
            <w:gridSpan w:val="2"/>
          </w:tcPr>
          <w:p>
            <w:pPr>
              <w:jc w:val="center"/>
              <w:rPr>
                <w:szCs w:val="21"/>
              </w:rPr>
            </w:pPr>
          </w:p>
        </w:tc>
        <w:tc>
          <w:tcPr>
            <w:tcW w:w="3425" w:type="dxa"/>
            <w:gridSpan w:val="3"/>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276" w:type="dxa"/>
          </w:tcPr>
          <w:p>
            <w:pPr>
              <w:jc w:val="center"/>
              <w:rPr>
                <w:szCs w:val="21"/>
              </w:rPr>
            </w:pPr>
            <w:r>
              <w:rPr>
                <w:rFonts w:hint="eastAsia"/>
                <w:szCs w:val="21"/>
                <w:lang w:eastAsia="zh-CN"/>
              </w:rPr>
              <w:t>品牌</w:t>
            </w:r>
          </w:p>
        </w:tc>
        <w:tc>
          <w:tcPr>
            <w:tcW w:w="1819" w:type="dxa"/>
          </w:tcPr>
          <w:p>
            <w:pPr>
              <w:jc w:val="center"/>
              <w:rPr>
                <w:rFonts w:hint="eastAsia"/>
                <w:szCs w:val="21"/>
                <w:lang w:eastAsia="zh-CN"/>
              </w:rPr>
            </w:pPr>
            <w:r>
              <w:rPr>
                <w:rFonts w:hint="eastAsia"/>
                <w:szCs w:val="21"/>
              </w:rPr>
              <w:t>型号及规格</w:t>
            </w:r>
          </w:p>
        </w:tc>
        <w:tc>
          <w:tcPr>
            <w:tcW w:w="1682" w:type="dxa"/>
          </w:tcPr>
          <w:p>
            <w:pPr>
              <w:jc w:val="center"/>
              <w:rPr>
                <w:szCs w:val="21"/>
              </w:rPr>
            </w:pPr>
            <w:r>
              <w:rPr>
                <w:rFonts w:hint="eastAsia"/>
                <w:szCs w:val="21"/>
              </w:rPr>
              <w:t>产地</w:t>
            </w:r>
          </w:p>
        </w:tc>
        <w:tc>
          <w:tcPr>
            <w:tcW w:w="1743" w:type="dxa"/>
            <w:gridSpan w:val="2"/>
          </w:tcPr>
          <w:p>
            <w:pPr>
              <w:jc w:val="center"/>
              <w:rPr>
                <w:rFonts w:hint="eastAsia"/>
                <w:szCs w:val="21"/>
              </w:rPr>
            </w:pPr>
            <w:r>
              <w:rPr>
                <w:rFonts w:hint="eastAsia"/>
                <w:szCs w:val="21"/>
              </w:rPr>
              <w:t>生产商名称</w:t>
            </w:r>
          </w:p>
        </w:tc>
        <w:tc>
          <w:tcPr>
            <w:tcW w:w="2687"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6" w:type="dxa"/>
          </w:tcPr>
          <w:p>
            <w:pPr>
              <w:jc w:val="center"/>
              <w:rPr>
                <w:szCs w:val="21"/>
              </w:rPr>
            </w:pPr>
          </w:p>
        </w:tc>
        <w:tc>
          <w:tcPr>
            <w:tcW w:w="1819" w:type="dxa"/>
          </w:tcPr>
          <w:p>
            <w:pPr>
              <w:jc w:val="center"/>
              <w:rPr>
                <w:szCs w:val="21"/>
              </w:rPr>
            </w:pPr>
          </w:p>
        </w:tc>
        <w:tc>
          <w:tcPr>
            <w:tcW w:w="1682" w:type="dxa"/>
          </w:tcPr>
          <w:p>
            <w:pPr>
              <w:jc w:val="center"/>
              <w:rPr>
                <w:szCs w:val="21"/>
              </w:rPr>
            </w:pPr>
          </w:p>
        </w:tc>
        <w:tc>
          <w:tcPr>
            <w:tcW w:w="1743" w:type="dxa"/>
            <w:gridSpan w:val="2"/>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5" w:type="dxa"/>
            <w:gridSpan w:val="2"/>
          </w:tcPr>
          <w:p>
            <w:pPr>
              <w:jc w:val="center"/>
              <w:rPr>
                <w:szCs w:val="21"/>
              </w:rPr>
            </w:pPr>
            <w:r>
              <w:rPr>
                <w:rFonts w:hint="eastAsia"/>
                <w:szCs w:val="21"/>
              </w:rPr>
              <w:t>投标总价（人民币/元）</w:t>
            </w:r>
          </w:p>
        </w:tc>
        <w:tc>
          <w:tcPr>
            <w:tcW w:w="3425" w:type="dxa"/>
            <w:gridSpan w:val="3"/>
          </w:tcPr>
          <w:p>
            <w:pPr>
              <w:jc w:val="center"/>
              <w:rPr>
                <w:szCs w:val="21"/>
              </w:rPr>
            </w:pPr>
            <w:r>
              <w:rPr>
                <w:rFonts w:hint="eastAsia"/>
                <w:szCs w:val="21"/>
              </w:rPr>
              <w:t>交货日期</w:t>
            </w:r>
          </w:p>
        </w:tc>
        <w:tc>
          <w:tcPr>
            <w:tcW w:w="2687" w:type="dxa"/>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sz w:val="32"/>
                <w:szCs w:val="32"/>
              </w:rPr>
            </w:pPr>
          </w:p>
        </w:tc>
        <w:tc>
          <w:tcPr>
            <w:tcW w:w="3425" w:type="dxa"/>
            <w:gridSpan w:val="3"/>
          </w:tcPr>
          <w:p>
            <w:pPr>
              <w:jc w:val="center"/>
              <w:rPr>
                <w:sz w:val="32"/>
                <w:szCs w:val="32"/>
              </w:rPr>
            </w:pPr>
          </w:p>
        </w:tc>
        <w:tc>
          <w:tcPr>
            <w:tcW w:w="2687" w:type="dxa"/>
          </w:tcPr>
          <w:p>
            <w:pPr>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是否有专机专用配套试剂、耗材</w:t>
            </w:r>
          </w:p>
        </w:tc>
        <w:tc>
          <w:tcPr>
            <w:tcW w:w="6112" w:type="dxa"/>
            <w:gridSpan w:val="4"/>
          </w:tcPr>
          <w:p>
            <w:pPr>
              <w:jc w:val="center"/>
              <w:rPr>
                <w:rFonts w:hint="eastAsia" w:ascii="Times New Roman" w:hAnsi="Times New Roman" w:cs="Times New Roman"/>
                <w:szCs w:val="21"/>
                <w:lang w:eastAsia="zh-CN"/>
              </w:rPr>
            </w:pPr>
            <w:r>
              <w:rPr>
                <w:rFonts w:hint="eastAsia" w:ascii="Times New Roman" w:hAnsi="Times New Roman" w:cs="Times New Roman"/>
                <w:color w:val="FF0000"/>
                <w:szCs w:val="21"/>
                <w:lang w:eastAsia="zh-CN"/>
              </w:rPr>
              <w:t>（有，填下一栏，无则填无）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restart"/>
          </w:tcPr>
          <w:p>
            <w:pPr>
              <w:jc w:val="center"/>
              <w:rPr>
                <w:rFonts w:hint="eastAsia" w:ascii="Times New Roman" w:hAnsi="Times New Roman" w:cs="Times New Roman"/>
                <w:szCs w:val="21"/>
              </w:rPr>
            </w:pPr>
            <w:r>
              <w:rPr>
                <w:rFonts w:hint="eastAsia" w:ascii="Times New Roman" w:hAnsi="Times New Roman" w:cs="Times New Roman"/>
                <w:szCs w:val="21"/>
                <w:lang w:eastAsia="zh-CN"/>
              </w:rPr>
              <w:t>专机专用配套试剂、耗材价格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规格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continue"/>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r>
    </w:tbl>
    <w:p>
      <w:pPr>
        <w:jc w:val="center"/>
        <w:rPr>
          <w:sz w:val="32"/>
          <w:szCs w:val="32"/>
        </w:rPr>
      </w:pPr>
    </w:p>
    <w:p>
      <w:pPr>
        <w:spacing w:line="300" w:lineRule="auto"/>
        <w:rPr>
          <w:rFonts w:asciiTheme="minorEastAsia" w:hAnsiTheme="minorEastAsia" w:eastAsiaTheme="minorEastAsia"/>
          <w:snapToGrid w:val="0"/>
          <w:kern w:val="0"/>
          <w:sz w:val="24"/>
          <w:szCs w:val="24"/>
        </w:rPr>
      </w:pP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注：</w:t>
      </w:r>
    </w:p>
    <w:p>
      <w:pPr>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1、价格应按“采购文件”中规定的货币单位填写。</w:t>
      </w: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 xml:space="preserve">    2、投标人如果需要对报价或其它内容加以说明，可在备注栏填写。</w:t>
      </w:r>
    </w:p>
    <w:p>
      <w:pPr>
        <w:spacing w:line="360" w:lineRule="auto"/>
        <w:ind w:firstLine="42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投标人名称（公章）：</w:t>
      </w:r>
      <w:r>
        <w:rPr>
          <w:rFonts w:hint="eastAsia" w:asciiTheme="minorEastAsia" w:hAnsiTheme="minorEastAsia" w:eastAsiaTheme="minorEastAsia"/>
          <w:sz w:val="24"/>
          <w:szCs w:val="24"/>
          <w:u w:val="single"/>
        </w:rPr>
        <w:t>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u w:val="single"/>
        </w:rPr>
        <w:t xml:space="preserve">                                   </w:t>
      </w: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sz w:val="24"/>
          <w:szCs w:val="24"/>
        </w:rPr>
      </w:pPr>
      <w:bookmarkStart w:id="2" w:name="_Toc201719118"/>
      <w:bookmarkStart w:id="3" w:name="_Toc201401658"/>
      <w:bookmarkStart w:id="4" w:name="_Toc201743116"/>
      <w:bookmarkStart w:id="5" w:name="_Toc201997946"/>
      <w:bookmarkStart w:id="6" w:name="_Toc201742861"/>
    </w:p>
    <w:p>
      <w:pPr>
        <w:spacing w:line="360" w:lineRule="auto"/>
        <w:ind w:right="-517" w:rightChars="-246" w:firstLine="3132" w:firstLineChars="1300"/>
        <w:rPr>
          <w:rFonts w:asciiTheme="minorEastAsia" w:hAnsiTheme="minorEastAsia" w:eastAsiaTheme="minorEastAsia"/>
          <w:b/>
          <w:snapToGrid w:val="0"/>
          <w:kern w:val="0"/>
          <w:sz w:val="24"/>
          <w:szCs w:val="24"/>
        </w:rPr>
      </w:pPr>
      <w:r>
        <w:rPr>
          <w:rFonts w:hint="eastAsia" w:asciiTheme="minorEastAsia" w:hAnsiTheme="minorEastAsia" w:eastAsiaTheme="minorEastAsia"/>
          <w:b/>
          <w:sz w:val="24"/>
          <w:szCs w:val="24"/>
        </w:rPr>
        <w:t>二、法定代表人授权委托书</w:t>
      </w:r>
    </w:p>
    <w:p>
      <w:pPr>
        <w:pStyle w:val="8"/>
        <w:spacing w:line="4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本授权书声明：</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（公司地址）</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（法定代表人姓名、职务）代表本公司授权</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（被授权人的姓名、职务）为本公司的合法代理人，以本公司名义负责处理在</w:t>
      </w:r>
      <w:r>
        <w:rPr>
          <w:rFonts w:hint="eastAsia" w:asciiTheme="minorEastAsia" w:hAnsiTheme="minorEastAsia" w:eastAsiaTheme="minorEastAsia"/>
          <w:bCs/>
          <w:sz w:val="24"/>
          <w:szCs w:val="24"/>
          <w:lang w:eastAsia="zh-CN"/>
        </w:rPr>
        <w:t>深圳市儿童医院医疗设备</w:t>
      </w:r>
      <w:r>
        <w:rPr>
          <w:rFonts w:hint="eastAsia" w:asciiTheme="minorEastAsia" w:hAnsiTheme="minorEastAsia" w:eastAsiaTheme="minorEastAsia"/>
          <w:bCs/>
          <w:sz w:val="24"/>
          <w:szCs w:val="24"/>
        </w:rPr>
        <w:t>采购活动中相关谈判采购事务。</w:t>
      </w:r>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本授权书于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日签字生效，特此声明。</w:t>
      </w:r>
    </w:p>
    <w:p>
      <w:pPr>
        <w:spacing w:line="500" w:lineRule="exact"/>
        <w:ind w:firstLine="480" w:firstLineChars="200"/>
        <w:jc w:val="left"/>
        <w:rPr>
          <w:rFonts w:asciiTheme="minorEastAsia" w:hAnsiTheme="minorEastAsia" w:eastAsiaTheme="minorEastAsia"/>
          <w:bCs/>
          <w:sz w:val="24"/>
          <w:szCs w:val="24"/>
        </w:rPr>
      </w:pP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供应商法定代表人签字（盖章）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企业公章：</w:t>
      </w:r>
      <w:r>
        <w:rPr>
          <w:rFonts w:hint="eastAsia" w:asciiTheme="minorEastAsia" w:hAnsiTheme="minorEastAsia" w:eastAsiaTheme="minorEastAsia"/>
          <w:bCs/>
          <w:sz w:val="24"/>
          <w:szCs w:val="24"/>
          <w:u w:val="single"/>
        </w:rPr>
        <w:t xml:space="preserve">                                              </w:t>
      </w:r>
    </w:p>
    <w:p>
      <w:pPr>
        <w:spacing w:line="500" w:lineRule="exact"/>
        <w:ind w:firstLine="555"/>
        <w:jc w:val="left"/>
        <w:rPr>
          <w:rFonts w:asciiTheme="minorEastAsia" w:hAnsiTheme="minorEastAsia" w:eastAsiaTheme="minorEastAsia"/>
          <w:bCs/>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8255" t="11430" r="10795" b="952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kAd+1wAAAAoBAAAPAAAAAAAAAAEAIAAAACIAAABkcnMvZG93bnJldi54bWxQSwECFAAU&#10;AAAACACHTuJA6kD+vSsCAAB+BAAADgAAAAAAAAABACAAAAAmAQAAZHJzL2Uyb0RvYy54bWxQSwUG&#10;AAAAAAYABgBZAQAAww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8255" t="10795" r="10795" b="1016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wtRMdoAAAALAQAADwAAAAAAAAABACAAAAAiAAAAZHJzL2Rvd25yZXYueG1sUEsB&#10;AhQAFAAAAAgAh07iQPYH8DwsAgAAfgQAAA4AAAAAAAAAAQAgAAAAKQ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5715" t="10795" r="10795" b="1016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ehgR2QAAAAoBAAAPAAAAAAAAAAEAIAAAACIAAABkcnMvZG93bnJldi54bWxQ&#10;SwECFAAUAAAACACHTuJATsg6iy8CAAB+BAAADgAAAAAAAAABACAAAAAoAQAAZHJzL2Uyb0RvYy54&#10;bWxQSwUGAAAAAAYABgBZAQAAyQ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5715" t="11430" r="10795" b="952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qqikdcAAAAJAQAADwAAAAAAAAABACAAAAAiAAAAZHJzL2Rvd25yZXYueG1sUEsB&#10;AhQAFAAAAAgAh07iQF7y7PAvAgAAfgQAAA4AAAAAAAAAAQAgAAAAJg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tabs>
          <w:tab w:val="left" w:pos="0"/>
        </w:tabs>
        <w:spacing w:line="276" w:lineRule="auto"/>
        <w:jc w:val="lef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bCs/>
          <w:sz w:val="24"/>
          <w:szCs w:val="24"/>
        </w:rPr>
        <w:sectPr>
          <w:pgSz w:w="11906" w:h="16838"/>
          <w:pgMar w:top="1701" w:right="1588" w:bottom="1304" w:left="1588" w:header="1247" w:footer="737" w:gutter="0"/>
          <w:cols w:space="425" w:num="1"/>
          <w:docGrid w:linePitch="380" w:charSpace="-4301"/>
        </w:sectPr>
      </w:pPr>
    </w:p>
    <w:bookmarkEnd w:id="2"/>
    <w:bookmarkEnd w:id="3"/>
    <w:bookmarkEnd w:id="4"/>
    <w:bookmarkEnd w:id="5"/>
    <w:bookmarkEnd w:id="6"/>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技术规格偏离表格式</w:t>
      </w:r>
    </w:p>
    <w:p>
      <w:pPr>
        <w:spacing w:line="360" w:lineRule="auto"/>
        <w:ind w:firstLine="2983" w:firstLineChars="1238"/>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三、技术规格偏离表</w:t>
      </w:r>
    </w:p>
    <w:p>
      <w:pPr>
        <w:rPr>
          <w:rFonts w:asciiTheme="minorEastAsia" w:hAnsiTheme="minorEastAsia" w:eastAsiaTheme="minorEastAsia"/>
          <w:b/>
          <w:bCs/>
          <w:color w:val="FF0000"/>
          <w:sz w:val="24"/>
          <w:szCs w:val="24"/>
        </w:rPr>
      </w:pPr>
    </w:p>
    <w:p>
      <w:pPr>
        <w:rPr>
          <w:rFonts w:asciiTheme="minorEastAsia" w:hAnsiTheme="minorEastAsia" w:eastAsiaTheme="minorEastAsia"/>
          <w:b/>
          <w:bCs/>
          <w:color w:val="FF0000"/>
          <w:sz w:val="24"/>
          <w:szCs w:val="24"/>
        </w:rPr>
      </w:pPr>
      <w:r>
        <w:rPr>
          <w:rFonts w:hint="eastAsia" w:asciiTheme="minorEastAsia" w:hAnsiTheme="minorEastAsia" w:eastAsiaTheme="minorEastAsia"/>
          <w:b/>
          <w:bCs/>
          <w:color w:val="FF0000"/>
          <w:sz w:val="24"/>
          <w:szCs w:val="24"/>
        </w:rPr>
        <w:t>注：▲参数为重要参数，</w:t>
      </w:r>
      <w:r>
        <w:rPr>
          <w:rFonts w:hint="eastAsia" w:asciiTheme="minorEastAsia" w:hAnsiTheme="minorEastAsia" w:eastAsiaTheme="minorEastAsia"/>
          <w:b/>
          <w:color w:val="FF0000"/>
          <w:sz w:val="24"/>
          <w:szCs w:val="24"/>
        </w:rPr>
        <w:t>投标人必须提供相关证明材料（技术白皮书、彩页、产品说明书或检测报告等），否则按负偏离进行扣分，但</w:t>
      </w:r>
      <w:r>
        <w:rPr>
          <w:rFonts w:hint="eastAsia" w:asciiTheme="minorEastAsia" w:hAnsiTheme="minorEastAsia" w:eastAsiaTheme="minorEastAsia"/>
          <w:b/>
          <w:bCs/>
          <w:color w:val="FF0000"/>
          <w:sz w:val="24"/>
          <w:szCs w:val="24"/>
        </w:rPr>
        <w:t>不作为废标条款。</w:t>
      </w:r>
    </w:p>
    <w:p>
      <w:pPr>
        <w:rPr>
          <w:rFonts w:asciiTheme="minorEastAsia" w:hAnsiTheme="minorEastAsia" w:eastAsiaTheme="minorEastAsia"/>
          <w:sz w:val="24"/>
          <w:szCs w:val="24"/>
        </w:rPr>
      </w:pPr>
    </w:p>
    <w:tbl>
      <w:tblPr>
        <w:tblStyle w:val="1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1"/>
        <w:gridCol w:w="1662"/>
        <w:gridCol w:w="1740"/>
        <w:gridCol w:w="141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7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招标技术要求</w:t>
            </w:r>
          </w:p>
        </w:tc>
        <w:tc>
          <w:tcPr>
            <w:tcW w:w="17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投标技术响应</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2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1、“招标技术要求”一栏应填写招标文件“具体技术要求”的内容。如“具体技术要求”内容空白，则“招标技术要求”一栏应填写招标文件相关的全部技术要求内容)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2、“投标技术响应”一栏必须详细填写投标产品的具体参数，并应对照招标技术要求一一对应响应。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3、“偏离情况”一栏应如实填写“正偏离”、“负偏离”或“无偏离”。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5、证明资料要求（可提交复印件）：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说明书或彩页应为制造商公布或出具的中文产品说明书或彩页；提供外文说明书或彩页的，须同时提供对应中文翻译说明，评标依据以中文翻译内容为准，外文说明书或彩页仅供参考；产品说明书或彩页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（2）我国政府机构出具的产品检验和核准证件应为证件正面、背面和附件标注的全部具体内容；产品检验和核准证件的尺寸和清晰度应该能够被阅读、识别和判断。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未达到以上提供要求的，评审小组有权认定为不合格响应，其相关分数予以扣减或作废标处理。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6、评审小组有权对以谋取中标为目的的技术规格模糊响应（如有意照搬照抄招标文件的技术要求）或虚假响应予以认定，并视情况报医院相关监督管理部门予以处罚。</w:t>
      </w:r>
    </w:p>
    <w:p>
      <w:pPr>
        <w:spacing w:line="360" w:lineRule="auto"/>
        <w:jc w:val="left"/>
        <w:rPr>
          <w:rFonts w:asciiTheme="minorEastAsia" w:hAnsiTheme="minorEastAsia" w:eastAsiaTheme="minorEastAsia"/>
          <w:sz w:val="24"/>
          <w:szCs w:val="24"/>
        </w:rPr>
      </w:pPr>
      <w:bookmarkStart w:id="7" w:name="_Toc313109527"/>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商务需求偏离表格式</w:t>
      </w: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四、商务需求偏离表</w:t>
      </w:r>
      <w:bookmarkEnd w:id="7"/>
    </w:p>
    <w:p>
      <w:pPr>
        <w:pStyle w:val="23"/>
        <w:jc w:val="left"/>
        <w:rPr>
          <w:rFonts w:asciiTheme="minorEastAsia" w:hAnsiTheme="minorEastAsia" w:eastAsiaTheme="minorEastAsia"/>
          <w:sz w:val="24"/>
          <w:szCs w:val="24"/>
        </w:rPr>
      </w:pPr>
    </w:p>
    <w:tbl>
      <w:tblPr>
        <w:tblStyle w:val="14"/>
        <w:tblpPr w:leftFromText="180" w:rightFromText="180" w:vertAnchor="text"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目录</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招标商务条款</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投标商务条款</w:t>
            </w:r>
          </w:p>
        </w:tc>
        <w:tc>
          <w:tcPr>
            <w:tcW w:w="14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bl>
    <w:p>
      <w:pPr>
        <w:pStyle w:val="23"/>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1、“招标商务条款”一栏必须填写招标文件“商务需求”的内容（如有），并分别对应“（一）免费保修期内售后服务要求、（二）免费保修期外售后服务要求、（三）其他商务要求”的内容进行填写。</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2、“投标商务条款”一栏必须详细填写投标商务条款的内容。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3、“偏离情况”栏中应如实填写“正偏离”、“负偏离”或“无偏离”。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4、交货期条款为不可负偏离条款，投标文件响应为“负偏离”的，投标文件将按废标处理。</w:t>
      </w:r>
    </w:p>
    <w:p>
      <w:pPr>
        <w:spacing w:line="360" w:lineRule="auto"/>
        <w:rPr>
          <w:rFonts w:asciiTheme="minorEastAsia" w:hAnsiTheme="minorEastAsia" w:eastAsiaTheme="minorEastAsia"/>
          <w:sz w:val="24"/>
          <w:szCs w:val="24"/>
        </w:rPr>
        <w:sectPr>
          <w:pgSz w:w="11906" w:h="16838"/>
          <w:pgMar w:top="1701" w:right="1588" w:bottom="1304" w:left="1588" w:header="1247" w:footer="737" w:gutter="0"/>
          <w:cols w:space="425" w:num="1"/>
          <w:docGrid w:linePitch="380" w:charSpace="-4301"/>
        </w:sectPr>
      </w:pPr>
      <w:r>
        <w:rPr>
          <w:rFonts w:hint="eastAsia" w:asciiTheme="minorEastAsia" w:hAnsiTheme="minorEastAsia" w:eastAsiaTheme="minorEastAsia"/>
          <w:sz w:val="24"/>
          <w:szCs w:val="24"/>
        </w:rPr>
        <w:t>5、开标一览表中填写的“交货期”必须与本表填写的“交货期”一致。如填写不一致，以开标一览表填写的“交货期”为准。</w:t>
      </w:r>
    </w:p>
    <w:p>
      <w:pPr>
        <w:spacing w:line="30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投标分项报价表格式</w:t>
      </w:r>
    </w:p>
    <w:p>
      <w:pPr>
        <w:spacing w:line="360" w:lineRule="auto"/>
        <w:jc w:val="center"/>
        <w:rPr>
          <w:rFonts w:asciiTheme="minorEastAsia" w:hAnsiTheme="minorEastAsia" w:eastAsiaTheme="minorEastAsia"/>
          <w:b/>
          <w:bCs/>
          <w:sz w:val="24"/>
          <w:szCs w:val="24"/>
        </w:rPr>
      </w:pPr>
      <w:bookmarkStart w:id="8" w:name="_Toc313109531"/>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五、投标分项报价表</w:t>
      </w:r>
      <w:bookmarkEnd w:id="8"/>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单位：元</w:t>
      </w:r>
    </w:p>
    <w:tbl>
      <w:tblPr>
        <w:tblStyle w:val="14"/>
        <w:tblW w:w="95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236"/>
        <w:gridCol w:w="1419"/>
        <w:gridCol w:w="990"/>
        <w:gridCol w:w="705"/>
        <w:gridCol w:w="852"/>
        <w:gridCol w:w="711"/>
        <w:gridCol w:w="808"/>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46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3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41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9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w:t>
            </w:r>
          </w:p>
        </w:tc>
        <w:tc>
          <w:tcPr>
            <w:tcW w:w="70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w:t>
            </w:r>
          </w:p>
        </w:tc>
        <w:tc>
          <w:tcPr>
            <w:tcW w:w="85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711"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tc>
        <w:tc>
          <w:tcPr>
            <w:tcW w:w="80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合价</w:t>
            </w:r>
          </w:p>
        </w:tc>
        <w:tc>
          <w:tcPr>
            <w:tcW w:w="139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３</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４</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５</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６</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83" w:type="dxa"/>
            <w:gridSpan w:val="8"/>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计</w:t>
            </w:r>
          </w:p>
        </w:tc>
        <w:tc>
          <w:tcPr>
            <w:tcW w:w="1395" w:type="dxa"/>
            <w:vAlign w:val="center"/>
          </w:tcPr>
          <w:p>
            <w:pPr>
              <w:jc w:val="center"/>
              <w:rPr>
                <w:rFonts w:asciiTheme="minorEastAsia" w:hAnsiTheme="minorEastAsia" w:eastAsiaTheme="minorEastAsia"/>
                <w:sz w:val="24"/>
                <w:szCs w:val="24"/>
              </w:rPr>
            </w:pPr>
          </w:p>
        </w:tc>
      </w:tr>
    </w:tbl>
    <w:p>
      <w:pPr>
        <w:pStyle w:val="24"/>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2、开标一览表的投标总价必须与本报价表的投标总价一致。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3、“原产地”是指该产品的实际生产加工地，而非品牌总公司所在地。</w:t>
      </w:r>
    </w:p>
    <w:p>
      <w:pPr>
        <w:rPr>
          <w:rFonts w:asciiTheme="minorEastAsia" w:hAnsiTheme="minorEastAsia" w:eastAsiaTheme="minorEastAsia"/>
          <w:color w:val="FF0000"/>
          <w:kern w:val="0"/>
          <w:sz w:val="24"/>
          <w:szCs w:val="24"/>
          <w:highlight w:val="yellow"/>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（二）零配件、消耗品和延续保修合同报价清单（不包括在投标总价内）</w:t>
      </w:r>
    </w:p>
    <w:p>
      <w:pPr>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注：价格最高的前5项零配件、消耗品和延续保修合同的报价明细必须填写于此清单中。如耗材价格较贵并长期使用则按需求分类报价评分。</w:t>
      </w:r>
    </w:p>
    <w:tbl>
      <w:tblPr>
        <w:tblStyle w:val="14"/>
        <w:tblW w:w="7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027"/>
        <w:gridCol w:w="72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规格及型号</w:t>
            </w:r>
          </w:p>
        </w:tc>
        <w:tc>
          <w:tcPr>
            <w:tcW w:w="90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原产地</w:t>
            </w:r>
          </w:p>
        </w:tc>
        <w:tc>
          <w:tcPr>
            <w:tcW w:w="102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w:t>
            </w:r>
          </w:p>
        </w:tc>
        <w:tc>
          <w:tcPr>
            <w:tcW w:w="7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7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bl>
    <w:p>
      <w:pPr>
        <w:ind w:firstLine="482" w:firstLineChars="200"/>
        <w:rPr>
          <w:rFonts w:asciiTheme="minorEastAsia" w:hAnsiTheme="minorEastAsia" w:eastAsiaTheme="minorEastAsia"/>
          <w:b/>
          <w:bCs/>
          <w:sz w:val="24"/>
          <w:szCs w:val="24"/>
        </w:rPr>
      </w:pPr>
    </w:p>
    <w:tbl>
      <w:tblPr>
        <w:tblStyle w:val="14"/>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服务名称</w:t>
            </w:r>
          </w:p>
        </w:tc>
        <w:tc>
          <w:tcPr>
            <w:tcW w:w="260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服务内容</w:t>
            </w:r>
          </w:p>
        </w:tc>
        <w:tc>
          <w:tcPr>
            <w:tcW w:w="1705"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延续保修合同</w:t>
            </w: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p>
        </w:tc>
        <w:tc>
          <w:tcPr>
            <w:tcW w:w="2262" w:type="dxa"/>
          </w:tcPr>
          <w:p>
            <w:pPr>
              <w:jc w:val="center"/>
              <w:rPr>
                <w:rFonts w:asciiTheme="minorEastAsia" w:hAnsiTheme="minorEastAsia" w:eastAsiaTheme="minorEastAsia"/>
                <w:sz w:val="24"/>
                <w:szCs w:val="24"/>
              </w:rPr>
            </w:pP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bl>
    <w:p>
      <w:pPr>
        <w:ind w:firstLine="482" w:firstLineChars="200"/>
        <w:rPr>
          <w:rFonts w:asciiTheme="minorEastAsia" w:hAnsiTheme="minorEastAsia" w:eastAsiaTheme="minorEastAsia"/>
          <w:b/>
          <w:bCs/>
          <w:sz w:val="24"/>
          <w:szCs w:val="24"/>
        </w:rPr>
      </w:pPr>
    </w:p>
    <w:p>
      <w:pPr>
        <w:ind w:firstLine="482" w:firstLineChars="200"/>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（三）供应商认为需要涉及的其他内容报价清单</w:t>
      </w:r>
    </w:p>
    <w:p>
      <w:pPr>
        <w:spacing w:line="480" w:lineRule="auto"/>
        <w:jc w:val="left"/>
        <w:rPr>
          <w:rFonts w:cs="宋体" w:asciiTheme="minorEastAsia" w:hAnsiTheme="minorEastAsia" w:eastAsiaTheme="minorEastAsia"/>
          <w:sz w:val="24"/>
          <w:szCs w:val="24"/>
        </w:rPr>
      </w:pPr>
    </w:p>
    <w:p>
      <w:pPr>
        <w:spacing w:line="48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0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jc w:val="left"/>
        <w:rPr>
          <w:rFonts w:asciiTheme="minorEastAsia" w:hAnsiTheme="minorEastAsia" w:eastAsiaTheme="minorEastAsia"/>
          <w:sz w:val="24"/>
          <w:szCs w:val="24"/>
        </w:rPr>
      </w:pPr>
    </w:p>
    <w:p>
      <w:pPr>
        <w:spacing w:line="300" w:lineRule="auto"/>
        <w:jc w:val="left"/>
        <w:rPr>
          <w:rFonts w:asciiTheme="minorEastAsia" w:hAnsiTheme="minorEastAsia" w:eastAsiaTheme="minorEastAsia"/>
          <w:sz w:val="24"/>
          <w:szCs w:val="24"/>
        </w:rPr>
      </w:pPr>
    </w:p>
    <w:p>
      <w:pPr>
        <w:spacing w:line="300" w:lineRule="auto"/>
        <w:rPr>
          <w:rFonts w:asciiTheme="minorEastAsia" w:hAnsiTheme="minorEastAsia" w:eastAsiaTheme="minorEastAsia"/>
          <w:b/>
          <w:bCs/>
          <w:sz w:val="24"/>
          <w:szCs w:val="24"/>
        </w:rPr>
      </w:pPr>
      <w:r>
        <w:rPr>
          <w:rFonts w:asciiTheme="minorEastAsia" w:hAnsiTheme="minorEastAsia" w:eastAsiaTheme="minorEastAsia"/>
          <w:sz w:val="24"/>
          <w:szCs w:val="24"/>
        </w:rPr>
        <w:br w:type="page"/>
      </w:r>
      <w:bookmarkStart w:id="9" w:name="_Toc309632085"/>
      <w:r>
        <w:rPr>
          <w:rFonts w:hint="eastAsia" w:asciiTheme="minorEastAsia" w:hAnsiTheme="minorEastAsia" w:eastAsiaTheme="minorEastAsia"/>
          <w:sz w:val="24"/>
          <w:szCs w:val="24"/>
        </w:rPr>
        <w:t>货物说明一览表格式</w:t>
      </w:r>
    </w:p>
    <w:p>
      <w:pPr>
        <w:spacing w:line="360" w:lineRule="auto"/>
        <w:jc w:val="center"/>
        <w:rPr>
          <w:rFonts w:asciiTheme="minorEastAsia" w:hAnsiTheme="minorEastAsia" w:eastAsiaTheme="minorEastAsia"/>
          <w:b/>
          <w:bCs/>
          <w:sz w:val="24"/>
          <w:szCs w:val="24"/>
        </w:rPr>
      </w:pPr>
      <w:bookmarkStart w:id="10" w:name="_Toc313109532"/>
      <w:r>
        <w:rPr>
          <w:rFonts w:hint="eastAsia" w:asciiTheme="minorEastAsia" w:hAnsiTheme="minorEastAsia" w:eastAsiaTheme="minorEastAsia"/>
          <w:b/>
          <w:bCs/>
          <w:sz w:val="24"/>
          <w:szCs w:val="24"/>
        </w:rPr>
        <w:t>六、货物说明一览表</w:t>
      </w:r>
      <w:bookmarkEnd w:id="9"/>
      <w:bookmarkEnd w:id="10"/>
    </w:p>
    <w:p>
      <w:pPr>
        <w:pStyle w:val="8"/>
        <w:jc w:val="left"/>
        <w:rPr>
          <w:rFonts w:asciiTheme="minorEastAsia" w:hAnsiTheme="minorEastAsia" w:eastAsiaTheme="minorEastAsia"/>
          <w:sz w:val="24"/>
          <w:szCs w:val="24"/>
        </w:rPr>
      </w:pPr>
    </w:p>
    <w:tbl>
      <w:tblPr>
        <w:tblStyle w:val="14"/>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90"/>
        <w:gridCol w:w="1376"/>
        <w:gridCol w:w="6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2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3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6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994"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bl>
    <w:p>
      <w:pPr>
        <w:pStyle w:val="8"/>
        <w:jc w:val="left"/>
        <w:rPr>
          <w:rFonts w:asciiTheme="minorEastAsia" w:hAnsiTheme="minorEastAsia" w:eastAsiaTheme="minorEastAsia"/>
          <w:sz w:val="24"/>
          <w:szCs w:val="24"/>
        </w:rPr>
      </w:pPr>
    </w:p>
    <w:p>
      <w:pPr>
        <w:pStyle w:val="8"/>
        <w:ind w:firstLine="960" w:firstLineChars="4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提示：提供制造商出具的产品中文说明书、彩页、照片等相关资料。</w:t>
      </w:r>
    </w:p>
    <w:p>
      <w:pPr>
        <w:jc w:val="center"/>
        <w:rPr>
          <w:rFonts w:asciiTheme="minorEastAsia" w:hAnsiTheme="minorEastAsia" w:eastAsiaTheme="minorEastAsia"/>
          <w:b/>
          <w:sz w:val="24"/>
          <w:szCs w:val="24"/>
        </w:rPr>
      </w:pPr>
      <w:r>
        <w:rPr>
          <w:rFonts w:cs="宋体" w:asciiTheme="minorEastAsia" w:hAnsiTheme="minorEastAsia" w:eastAsiaTheme="minorEastAsia"/>
          <w:spacing w:val="8"/>
          <w:kern w:val="0"/>
          <w:sz w:val="24"/>
          <w:szCs w:val="24"/>
        </w:rPr>
        <w:br w:type="page"/>
      </w:r>
      <w:r>
        <w:rPr>
          <w:rFonts w:hint="eastAsia" w:asciiTheme="minorEastAsia" w:hAnsiTheme="minorEastAsia" w:eastAsiaTheme="minorEastAsia"/>
          <w:b/>
          <w:bCs/>
          <w:sz w:val="24"/>
          <w:szCs w:val="24"/>
        </w:rPr>
        <w:t>七、诚信情况承诺函</w:t>
      </w:r>
    </w:p>
    <w:p>
      <w:pPr>
        <w:spacing w:line="312" w:lineRule="auto"/>
        <w:rPr>
          <w:rFonts w:asciiTheme="minorEastAsia" w:hAnsiTheme="minorEastAsia" w:eastAsiaTheme="minorEastAsia"/>
          <w:sz w:val="24"/>
          <w:szCs w:val="24"/>
        </w:rPr>
      </w:pPr>
    </w:p>
    <w:p>
      <w:pPr>
        <w:spacing w:line="360" w:lineRule="auto"/>
        <w:rPr>
          <w:rFonts w:asciiTheme="minorEastAsia" w:hAnsiTheme="minorEastAsia" w:eastAsiaTheme="minorEastAsia"/>
          <w:i/>
          <w:iCs/>
          <w:sz w:val="24"/>
          <w:szCs w:val="24"/>
        </w:rPr>
      </w:pPr>
      <w:r>
        <w:rPr>
          <w:rFonts w:hint="eastAsia" w:asciiTheme="minorEastAsia" w:hAnsiTheme="minorEastAsia" w:eastAsiaTheme="minorEastAsia"/>
          <w:sz w:val="24"/>
          <w:szCs w:val="24"/>
        </w:rPr>
        <w:t>致：深圳市儿童医院</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我司参加贵</w:t>
      </w:r>
      <w:r>
        <w:rPr>
          <w:rFonts w:hint="eastAsia" w:asciiTheme="minorEastAsia" w:hAnsiTheme="minorEastAsia" w:eastAsiaTheme="minorEastAsia"/>
          <w:sz w:val="24"/>
          <w:szCs w:val="24"/>
          <w:u w:val="single"/>
        </w:rPr>
        <w:t xml:space="preserve">院                     </w:t>
      </w:r>
      <w:r>
        <w:rPr>
          <w:rFonts w:hint="eastAsia" w:asciiTheme="minorEastAsia" w:hAnsiTheme="minorEastAsia" w:eastAsiaTheme="minorEastAsia"/>
          <w:sz w:val="24"/>
          <w:szCs w:val="24"/>
        </w:rPr>
        <w:t>招标项目投标，在此郑重承诺：</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1、我司未</w:t>
      </w:r>
      <w:r>
        <w:rPr>
          <w:rFonts w:asciiTheme="minorEastAsia" w:hAnsiTheme="minorEastAsia" w:eastAsiaTheme="minorEastAsia"/>
          <w:sz w:val="24"/>
          <w:szCs w:val="24"/>
        </w:rPr>
        <w:t>在政府采购活动中出现以下情形之一</w:t>
      </w:r>
      <w:r>
        <w:rPr>
          <w:rFonts w:hint="eastAsia" w:asciiTheme="minorEastAsia" w:hAnsiTheme="minorEastAsia" w:eastAsiaTheme="minorEastAsia"/>
          <w:sz w:val="24"/>
          <w:szCs w:val="24"/>
        </w:rPr>
        <w:t>：</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被纪检监察部门立案调查，违法违规事实成立的；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未按规定签订、履行采购合同，造成严重后果的；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隐瞒真实情况，提供虚假资料的；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以非法手段排斥其他供应商参与竞争的；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与其他采购参加人串通投标的；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在采购活动中应当回避而未回避的；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恶意投诉的；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向采购项目相关人行贿或者提供其他不当利益的；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阻碍、抗拒主管部门监督检查的；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在政府采购主管部门履约检查中不及格或评价为差的；</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（十一）主管部门认定的其他情形。</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480" w:lineRule="auto"/>
        <w:ind w:firstLine="360" w:firstLineChars="1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rPr>
          <w:rFonts w:asciiTheme="minorEastAsia" w:hAnsiTheme="minorEastAsia" w:eastAsiaTheme="minorEastAsia"/>
          <w:sz w:val="24"/>
          <w:szCs w:val="24"/>
        </w:rPr>
      </w:pPr>
      <w:bookmarkStart w:id="11" w:name="_Toc313109535"/>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bCs/>
          <w:snapToGrid w:val="0"/>
          <w:kern w:val="0"/>
          <w:sz w:val="24"/>
          <w:szCs w:val="24"/>
        </w:rPr>
        <w:t>八、</w:t>
      </w:r>
      <w:r>
        <w:rPr>
          <w:rFonts w:hint="eastAsia" w:asciiTheme="minorEastAsia" w:hAnsiTheme="minorEastAsia" w:eastAsiaTheme="minorEastAsia"/>
          <w:b/>
          <w:sz w:val="24"/>
          <w:szCs w:val="24"/>
        </w:rPr>
        <w:t>产品质量保证书</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本公司销售的产品是经由国家相关部门严格审核获准进入市场。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为保证您安全、放心地使用本产品，我公司对产品的质量和服务郑重承诺：</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使用本产品的患者均能得到公司高质量的售前、售中、售后服务。</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因产品质量缺陷造成的伤害和损失（经国家法定权威部门鉴定，情况属实），则与医院无关，由本公司与产品生产厂家负责赔偿责任。</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因使用本产品而导致的医患纠纷，在未明确责任前，本公司愿意协助医院积极处理。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销售公司（盖章）：</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代表签名：</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日    期：</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sz w:val="24"/>
          <w:szCs w:val="24"/>
        </w:rPr>
      </w:pPr>
      <w:r>
        <w:rPr>
          <w:rFonts w:hint="eastAsia" w:asciiTheme="minorEastAsia" w:hAnsiTheme="minorEastAsia" w:eastAsiaTheme="minorEastAsia"/>
          <w:b/>
          <w:bCs/>
          <w:sz w:val="24"/>
          <w:szCs w:val="24"/>
        </w:rPr>
        <w:t>九、投标人认为需要补充的其他资料（如有）</w:t>
      </w:r>
      <w:bookmarkEnd w:id="11"/>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pStyle w:val="3"/>
        <w:spacing w:line="360" w:lineRule="auto"/>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采购需求文件</w:t>
      </w:r>
    </w:p>
    <w:tbl>
      <w:tblPr>
        <w:tblStyle w:val="14"/>
        <w:tblW w:w="10065" w:type="dxa"/>
        <w:tblCellSpacing w:w="0" w:type="dxa"/>
        <w:tblInd w:w="-537"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123"/>
        <w:gridCol w:w="6648"/>
        <w:gridCol w:w="110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项目背景</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1973"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货物清单</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tbl>
            <w:tblPr>
              <w:tblStyle w:val="14"/>
              <w:tblW w:w="8827" w:type="dxa"/>
              <w:tblCellSpacing w:w="0" w:type="dxa"/>
              <w:tblInd w:w="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476"/>
              <w:gridCol w:w="1495"/>
              <w:gridCol w:w="1311"/>
              <w:gridCol w:w="1770"/>
              <w:gridCol w:w="177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62" w:hRule="atLeast"/>
                <w:tblHeader/>
                <w:tblCellSpacing w:w="0" w:type="dxa"/>
              </w:trPr>
              <w:tc>
                <w:tcPr>
                  <w:tcW w:w="2476" w:type="dxa"/>
                  <w:tcBorders>
                    <w:top w:val="single" w:color="E9AD1D" w:sz="0" w:space="0"/>
                    <w:left w:val="single" w:color="FFFFFF" w:sz="6" w:space="0"/>
                    <w:bottom w:val="single" w:color="E9AD1D" w:sz="0" w:space="0"/>
                    <w:right w:val="single" w:color="FFFFFF"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设备</w:t>
                  </w:r>
                  <w:r>
                    <w:rPr>
                      <w:rFonts w:ascii="宋体" w:hAnsi="宋体" w:cs="宋体"/>
                      <w:b/>
                      <w:bCs/>
                      <w:color w:val="000000"/>
                      <w:kern w:val="0"/>
                      <w:sz w:val="24"/>
                      <w:szCs w:val="24"/>
                    </w:rPr>
                    <w:t xml:space="preserve">名称 </w:t>
                  </w:r>
                </w:p>
              </w:tc>
              <w:tc>
                <w:tcPr>
                  <w:tcW w:w="1495" w:type="dxa"/>
                  <w:tcBorders>
                    <w:top w:val="single" w:color="E9AD1D" w:sz="0" w:space="0"/>
                    <w:left w:val="single" w:color="FFFFFF"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数量</w:t>
                  </w:r>
                </w:p>
              </w:tc>
              <w:tc>
                <w:tcPr>
                  <w:tcW w:w="1311"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770"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w:t>
                  </w:r>
                  <w:r>
                    <w:rPr>
                      <w:rFonts w:ascii="宋体" w:hAnsi="宋体" w:cs="宋体"/>
                      <w:b/>
                      <w:bCs/>
                      <w:color w:val="000000"/>
                      <w:kern w:val="0"/>
                      <w:sz w:val="24"/>
                      <w:szCs w:val="24"/>
                    </w:rPr>
                    <w:t>预算</w:t>
                  </w:r>
                  <w:r>
                    <w:rPr>
                      <w:rFonts w:hint="eastAsia" w:ascii="宋体" w:hAnsi="宋体" w:cs="宋体"/>
                      <w:b/>
                      <w:bCs/>
                      <w:color w:val="000000"/>
                      <w:kern w:val="0"/>
                      <w:sz w:val="24"/>
                      <w:szCs w:val="24"/>
                    </w:rPr>
                    <w:t>金</w:t>
                  </w:r>
                  <w:r>
                    <w:rPr>
                      <w:rFonts w:ascii="宋体" w:hAnsi="宋体" w:cs="宋体"/>
                      <w:b/>
                      <w:bCs/>
                      <w:color w:val="000000"/>
                      <w:kern w:val="0"/>
                      <w:sz w:val="24"/>
                      <w:szCs w:val="24"/>
                    </w:rPr>
                    <w:t>额(元)</w:t>
                  </w:r>
                </w:p>
              </w:tc>
              <w:tc>
                <w:tcPr>
                  <w:tcW w:w="1775"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2476" w:type="dxa"/>
                  <w:tcBorders>
                    <w:top w:val="single" w:color="E9AD1D" w:sz="6" w:space="0"/>
                    <w:left w:val="single" w:color="FFFFFF" w:sz="6" w:space="0"/>
                    <w:bottom w:val="single" w:color="FBF1D7" w:sz="0" w:space="0"/>
                    <w:right w:val="single" w:color="FFFFFF" w:sz="0" w:space="0"/>
                  </w:tcBorders>
                  <w:shd w:val="clear" w:color="auto" w:fill="FFFDFA"/>
                  <w:noWrap w:val="0"/>
                  <w:vAlign w:val="center"/>
                </w:tcPr>
                <w:p>
                  <w:pPr>
                    <w:widowControl/>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医用低温真空干燥柜</w:t>
                  </w:r>
                </w:p>
              </w:tc>
              <w:tc>
                <w:tcPr>
                  <w:tcW w:w="1495" w:type="dxa"/>
                  <w:tcBorders>
                    <w:top w:val="single" w:color="E9AD1D" w:sz="6" w:space="0"/>
                    <w:left w:val="single" w:color="FFFFFF" w:sz="6" w:space="0"/>
                    <w:bottom w:val="single" w:color="FBF1D7" w:sz="0" w:space="0"/>
                    <w:right w:val="single" w:color="FBF1D7" w:sz="0" w:space="0"/>
                  </w:tcBorders>
                  <w:shd w:val="clear" w:color="auto" w:fill="FFFDFA"/>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1311"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台</w:t>
                  </w:r>
                </w:p>
              </w:tc>
              <w:tc>
                <w:tcPr>
                  <w:tcW w:w="1770"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tabs>
                      <w:tab w:val="left" w:pos="487"/>
                    </w:tabs>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19.5万</w:t>
                  </w:r>
                </w:p>
              </w:tc>
              <w:tc>
                <w:tcPr>
                  <w:tcW w:w="1775"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拒绝进口</w:t>
                  </w:r>
                </w:p>
              </w:tc>
            </w:tr>
          </w:tbl>
          <w:p>
            <w:pPr>
              <w:widowControl/>
              <w:ind w:firstLine="1200" w:firstLineChars="500"/>
              <w:jc w:val="left"/>
              <w:rPr>
                <w:rFonts w:hint="eastAsia" w:ascii="宋体" w:hAnsi="宋体" w:eastAsia="宋体" w:cs="宋体"/>
                <w:color w:val="auto"/>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restart"/>
            <w:tcBorders>
              <w:top w:val="single" w:color="auto" w:sz="6" w:space="0"/>
              <w:left w:val="single" w:color="auto" w:sz="6" w:space="0"/>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kern w:val="0"/>
                <w:sz w:val="24"/>
                <w:szCs w:val="24"/>
              </w:rPr>
              <w:t>技术要求</w:t>
            </w: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具体参数要求</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评分分值（合计45分）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ind w:firstLine="480" w:firstLineChars="200"/>
              <w:jc w:val="both"/>
              <w:rPr>
                <w:rFonts w:hint="eastAsia" w:ascii="宋体" w:hAnsi="宋体" w:eastAsia="宋体" w:cs="宋体"/>
                <w:b/>
                <w:bCs/>
                <w:color w:val="FF0000"/>
                <w:sz w:val="24"/>
                <w:szCs w:val="24"/>
                <w:lang w:val="en-US" w:eastAsia="zh-CN"/>
              </w:rPr>
            </w:pPr>
            <w:r>
              <w:rPr>
                <w:rFonts w:hint="eastAsia" w:ascii="仿宋" w:hAnsi="仿宋" w:eastAsia="仿宋" w:cs="仿宋"/>
                <w:bCs/>
                <w:sz w:val="24"/>
                <w:szCs w:val="24"/>
              </w:rPr>
              <w:t>▲</w:t>
            </w:r>
            <w:r>
              <w:rPr>
                <w:rFonts w:hint="eastAsia"/>
                <w:lang w:val="en-US" w:eastAsia="zh-CN"/>
              </w:rPr>
              <w:t>1</w:t>
            </w:r>
          </w:p>
        </w:tc>
        <w:tc>
          <w:tcPr>
            <w:tcW w:w="6648" w:type="dxa"/>
            <w:tcBorders>
              <w:top w:val="single" w:color="auto" w:sz="6" w:space="0"/>
              <w:left w:val="single" w:color="auto" w:sz="6" w:space="0"/>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jc w:val="left"/>
              <w:textAlignment w:val="auto"/>
              <w:rPr>
                <w:rFonts w:hint="eastAsia" w:ascii="宋体" w:hAnsi="宋体" w:eastAsia="宋体" w:cs="宋体"/>
                <w:b/>
                <w:bCs/>
                <w:sz w:val="24"/>
                <w:szCs w:val="24"/>
                <w:lang w:eastAsia="zh-CN"/>
              </w:rPr>
            </w:pPr>
            <w:r>
              <w:rPr>
                <w:rFonts w:hint="eastAsia" w:ascii="仿宋" w:hAnsi="仿宋" w:eastAsia="仿宋" w:cs="仿宋"/>
                <w:color w:val="auto"/>
                <w:kern w:val="2"/>
                <w:sz w:val="24"/>
                <w:szCs w:val="24"/>
                <w:lang w:val="en-US" w:eastAsia="zh-CN" w:bidi="ar-SA"/>
              </w:rPr>
              <w:t>容积：≥260 L</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仿宋" w:hAnsi="仿宋" w:eastAsia="仿宋" w:cs="仿宋"/>
                <w:bCs/>
                <w:sz w:val="24"/>
                <w:szCs w:val="24"/>
              </w:rPr>
              <w:t>▲</w:t>
            </w:r>
            <w:r>
              <w:rPr>
                <w:rFonts w:hint="eastAsia" w:ascii="宋体" w:hAnsi="宋体"/>
                <w:color w:val="000000"/>
                <w:kern w:val="0"/>
                <w:sz w:val="24"/>
                <w:szCs w:val="24"/>
                <w:lang w:val="en-US" w:eastAsia="zh-CN"/>
              </w:rPr>
              <w:t>2</w:t>
            </w:r>
          </w:p>
        </w:tc>
        <w:tc>
          <w:tcPr>
            <w:tcW w:w="6648" w:type="dxa"/>
            <w:tcBorders>
              <w:top w:val="single" w:color="auto" w:sz="6" w:space="0"/>
              <w:left w:val="single" w:color="auto" w:sz="6" w:space="0"/>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jc w:val="left"/>
              <w:textAlignment w:val="auto"/>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auto"/>
                <w:kern w:val="2"/>
                <w:sz w:val="24"/>
                <w:szCs w:val="24"/>
                <w:lang w:val="en-US" w:eastAsia="zh-CN" w:bidi="ar-SA"/>
              </w:rPr>
              <w:t xml:space="preserve">尺寸：场地限制，外部尺寸≤800*800*1850mm （长宽高）. 舱体尺寸≥500*650*700mm（长宽高） </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341"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ind w:firstLine="480" w:firstLineChars="200"/>
              <w:jc w:val="both"/>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3</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b w:val="0"/>
                <w:bCs/>
                <w:sz w:val="24"/>
                <w:szCs w:val="24"/>
              </w:rPr>
            </w:pPr>
            <w:r>
              <w:rPr>
                <w:rFonts w:hint="eastAsia" w:ascii="仿宋" w:hAnsi="仿宋" w:eastAsia="仿宋" w:cs="仿宋"/>
                <w:kern w:val="0"/>
                <w:sz w:val="24"/>
              </w:rPr>
              <w:t>采用</w:t>
            </w:r>
            <w:r>
              <w:rPr>
                <w:rFonts w:hint="eastAsia" w:ascii="仿宋" w:hAnsi="仿宋" w:eastAsia="仿宋" w:cs="仿宋"/>
                <w:sz w:val="24"/>
              </w:rPr>
              <w:t>真空干燥技术：利用极速抽真空的方法，使水的沸点降低，从而达到在低温状态下器械能够快速彻底的干燥；(需提供拥有相关技术的证明资料)</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4</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b w:val="0"/>
                <w:bCs/>
                <w:color w:val="000000"/>
                <w:kern w:val="2"/>
                <w:sz w:val="24"/>
                <w:szCs w:val="24"/>
                <w:lang w:val="en-US" w:eastAsia="zh-CN" w:bidi="ar-SA"/>
              </w:rPr>
            </w:pPr>
            <w:r>
              <w:rPr>
                <w:rFonts w:hint="eastAsia" w:ascii="仿宋" w:hAnsi="仿宋" w:eastAsia="仿宋" w:cs="仿宋"/>
                <w:sz w:val="24"/>
              </w:rPr>
              <w:t>采用PLC控制系统，智能化信息管理系统记录每一个工作细节，工作数据可以保存3年以上；</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ascii="宋体" w:hAnsi="宋体"/>
                <w:color w:val="000000"/>
                <w:kern w:val="0"/>
                <w:sz w:val="24"/>
                <w:szCs w:val="24"/>
                <w:lang w:val="en-US" w:eastAsia="zh-CN"/>
              </w:rPr>
              <w:t>5</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b/>
                <w:bCs/>
                <w:sz w:val="24"/>
                <w:szCs w:val="24"/>
              </w:rPr>
            </w:pPr>
            <w:r>
              <w:rPr>
                <w:rFonts w:hint="eastAsia" w:ascii="仿宋" w:hAnsi="仿宋" w:eastAsia="仿宋" w:cs="仿宋"/>
                <w:sz w:val="24"/>
              </w:rPr>
              <w:t>采用彩色</w:t>
            </w:r>
            <w:r>
              <w:rPr>
                <w:rFonts w:hint="eastAsia" w:ascii="仿宋" w:hAnsi="仿宋" w:eastAsia="仿宋" w:cs="仿宋"/>
                <w:kern w:val="0"/>
                <w:sz w:val="24"/>
              </w:rPr>
              <w:t>触摸屏人机界面,智能数显干燥</w:t>
            </w:r>
            <w:r>
              <w:rPr>
                <w:rFonts w:hint="eastAsia" w:ascii="仿宋" w:hAnsi="仿宋" w:eastAsia="仿宋" w:cs="仿宋"/>
                <w:sz w:val="24"/>
              </w:rPr>
              <w:t>温度、时间、真空度、报警信息等设备运行参数，有利于随时了解设备运行情况；</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6</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lang w:eastAsia="zh-CN"/>
              </w:rPr>
            </w:pPr>
            <w:r>
              <w:rPr>
                <w:rFonts w:hint="eastAsia" w:ascii="仿宋" w:hAnsi="仿宋" w:eastAsia="仿宋" w:cs="仿宋"/>
                <w:kern w:val="0"/>
                <w:sz w:val="24"/>
              </w:rPr>
              <w:t>工作区温度偏差：≤±1.0℃，确保工作室温度均匀；</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7</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kern w:val="0"/>
                <w:sz w:val="24"/>
                <w:szCs w:val="24"/>
              </w:rPr>
            </w:pPr>
            <w:r>
              <w:rPr>
                <w:rFonts w:hint="eastAsia" w:ascii="仿宋" w:hAnsi="仿宋" w:eastAsia="仿宋" w:cs="仿宋"/>
                <w:kern w:val="0"/>
                <w:sz w:val="24"/>
              </w:rPr>
              <w:t>自动设置抽放气程序，让细小管腔内的水分在压力控制下变成水蒸汽，并及时抽出饱和蒸汽至箱体外，提高干燥效率；</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8</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rPr>
            </w:pPr>
            <w:r>
              <w:rPr>
                <w:rFonts w:hint="eastAsia" w:ascii="仿宋" w:hAnsi="仿宋" w:eastAsia="仿宋" w:cs="仿宋"/>
                <w:sz w:val="24"/>
              </w:rPr>
              <w:t>具有干燥时间、提醒功能；</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9</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rPr>
            </w:pPr>
            <w:r>
              <w:rPr>
                <w:rFonts w:hint="eastAsia" w:ascii="仿宋" w:hAnsi="仿宋" w:eastAsia="仿宋" w:cs="仿宋"/>
                <w:sz w:val="24"/>
              </w:rPr>
              <w:t>多种干燥模式可根据不同的器械材质选择不同的干燥模式；</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10</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rPr>
            </w:pPr>
            <w:r>
              <w:rPr>
                <w:rFonts w:hint="eastAsia" w:ascii="仿宋" w:hAnsi="仿宋" w:eastAsia="仿宋" w:cs="仿宋"/>
                <w:sz w:val="24"/>
              </w:rPr>
              <w:t>设备故障自动检测、报警系统，保障操作安全；</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11</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rPr>
            </w:pPr>
            <w:r>
              <w:rPr>
                <w:rFonts w:hint="eastAsia" w:ascii="仿宋" w:hAnsi="仿宋" w:eastAsia="仿宋" w:cs="仿宋"/>
                <w:sz w:val="24"/>
              </w:rPr>
              <w:t>具有高精度水汽检测传感器，实时监控工作仓内水分残留情况，器械彻底干燥后，自动停机；</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ascii="宋体" w:hAnsi="宋体"/>
                <w:color w:val="000000"/>
                <w:kern w:val="0"/>
                <w:sz w:val="24"/>
                <w:szCs w:val="24"/>
                <w:lang w:val="en-US" w:eastAsia="zh-CN"/>
              </w:rPr>
              <w:t>12</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b/>
                <w:bCs/>
                <w:sz w:val="24"/>
                <w:szCs w:val="24"/>
              </w:rPr>
            </w:pPr>
            <w:r>
              <w:rPr>
                <w:rFonts w:hint="eastAsia" w:ascii="仿宋" w:hAnsi="仿宋" w:eastAsia="仿宋" w:cs="仿宋"/>
                <w:sz w:val="24"/>
              </w:rPr>
              <w:t>开门方式为手动双开门，操作方便简单,门采用钢化玻璃密封，带有高透玻璃视窗，保证密封同时，可在运行中观察内部负载情况；</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color w:val="000000"/>
                <w:kern w:val="0"/>
                <w:sz w:val="24"/>
                <w:szCs w:val="24"/>
                <w:lang w:val="en-US" w:eastAsia="zh-CN"/>
              </w:rPr>
              <w:t>13</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rPr>
            </w:pPr>
            <w:r>
              <w:rPr>
                <w:rFonts w:hint="eastAsia" w:ascii="仿宋" w:hAnsi="仿宋" w:eastAsia="仿宋" w:cs="仿宋"/>
                <w:sz w:val="24"/>
              </w:rPr>
              <w:t>干燥舱材质采用优质不锈钢板拼接成型，表面光洁，提高热辐射效率</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color w:val="000000"/>
                <w:kern w:val="0"/>
                <w:sz w:val="24"/>
                <w:szCs w:val="24"/>
                <w:lang w:val="en-US" w:eastAsia="zh-CN"/>
              </w:rPr>
              <w:t>14</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宋体" w:hAnsi="宋体" w:eastAsia="宋体" w:cs="宋体"/>
                <w:sz w:val="24"/>
                <w:szCs w:val="24"/>
              </w:rPr>
            </w:pPr>
            <w:r>
              <w:rPr>
                <w:rFonts w:hint="eastAsia" w:ascii="仿宋" w:hAnsi="仿宋" w:eastAsia="仿宋" w:cs="仿宋"/>
                <w:sz w:val="24"/>
              </w:rPr>
              <w:t>进气</w:t>
            </w:r>
            <w:r>
              <w:rPr>
                <w:rFonts w:hint="eastAsia" w:ascii="仿宋" w:hAnsi="仿宋" w:eastAsia="仿宋" w:cs="仿宋"/>
                <w:kern w:val="0"/>
                <w:sz w:val="24"/>
              </w:rPr>
              <w:t>采用初效高效组合空气过滤器</w:t>
            </w:r>
            <w:r>
              <w:rPr>
                <w:rFonts w:hint="eastAsia" w:ascii="仿宋" w:hAnsi="仿宋" w:eastAsia="仿宋" w:cs="仿宋"/>
                <w:sz w:val="24"/>
              </w:rPr>
              <w:t>，过滤精度0.3μm，有效阻隔空气中的粉尘颗粒等进入舱体，</w:t>
            </w:r>
            <w:r>
              <w:rPr>
                <w:rFonts w:hint="eastAsia" w:ascii="仿宋" w:hAnsi="仿宋" w:eastAsia="仿宋" w:cs="仿宋"/>
                <w:kern w:val="0"/>
                <w:sz w:val="24"/>
              </w:rPr>
              <w:t>防止空气的二次污染；</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仿宋" w:hAnsi="仿宋" w:eastAsia="仿宋" w:cs="仿宋"/>
                <w:bCs/>
                <w:sz w:val="24"/>
                <w:szCs w:val="24"/>
              </w:rPr>
              <w:t>▲</w:t>
            </w:r>
            <w:r>
              <w:rPr>
                <w:rFonts w:hint="eastAsia" w:ascii="宋体" w:hAnsi="宋体"/>
                <w:color w:val="000000"/>
                <w:kern w:val="0"/>
                <w:sz w:val="24"/>
                <w:szCs w:val="24"/>
                <w:lang w:val="en-US" w:eastAsia="zh-CN"/>
              </w:rPr>
              <w:t>15</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Times New Roman" w:hAnsi="Times New Roman" w:eastAsia="宋体" w:cs="Times New Roman"/>
                <w:lang w:val="en-US" w:eastAsia="zh-CN"/>
              </w:rPr>
            </w:pPr>
            <w:r>
              <w:rPr>
                <w:rFonts w:hint="eastAsia" w:ascii="仿宋" w:hAnsi="仿宋" w:eastAsia="仿宋" w:cs="仿宋"/>
                <w:sz w:val="24"/>
              </w:rPr>
              <w:t>真空泵采用水冷无油式医用真空泵，维护简单</w:t>
            </w:r>
            <w:r>
              <w:rPr>
                <w:rFonts w:hint="eastAsia" w:ascii="仿宋" w:hAnsi="仿宋" w:eastAsia="仿宋" w:cs="仿宋"/>
                <w:sz w:val="24"/>
                <w:lang w:eastAsia="zh-CN"/>
              </w:rPr>
              <w:t>（</w:t>
            </w:r>
            <w:r>
              <w:rPr>
                <w:rFonts w:hint="eastAsia" w:ascii="仿宋" w:hAnsi="仿宋" w:eastAsia="仿宋" w:cs="仿宋"/>
                <w:sz w:val="24"/>
              </w:rPr>
              <w:t>需提供真空泵实物图片</w:t>
            </w:r>
            <w:r>
              <w:rPr>
                <w:rFonts w:hint="eastAsia" w:ascii="仿宋" w:hAnsi="仿宋" w:eastAsia="仿宋" w:cs="仿宋"/>
                <w:sz w:val="24"/>
                <w:lang w:eastAsia="zh-CN"/>
              </w:rPr>
              <w:t>）</w:t>
            </w:r>
            <w:r>
              <w:rPr>
                <w:rFonts w:hint="eastAsia" w:ascii="仿宋" w:hAnsi="仿宋" w:eastAsia="仿宋" w:cs="仿宋"/>
                <w:sz w:val="24"/>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bookmarkEnd w:id="15"/>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olor w:val="000000"/>
                <w:kern w:val="0"/>
                <w:sz w:val="24"/>
                <w:szCs w:val="24"/>
                <w:lang w:val="en-US" w:eastAsia="zh-CN"/>
              </w:rPr>
              <w:t>16</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ascii="Times New Roman" w:hAnsi="Times New Roman" w:eastAsia="宋体" w:cs="Times New Roman"/>
                <w:lang w:val="en-US" w:eastAsia="zh-CN"/>
              </w:rPr>
            </w:pPr>
            <w:r>
              <w:rPr>
                <w:rFonts w:hint="eastAsia" w:ascii="仿宋" w:hAnsi="仿宋" w:eastAsia="仿宋" w:cs="仿宋"/>
                <w:sz w:val="24"/>
              </w:rPr>
              <w:t>干燥温度：常温至95℃，真空等级：-80</w:t>
            </w:r>
            <w:r>
              <w:rPr>
                <w:rFonts w:hint="eastAsia" w:ascii="仿宋" w:hAnsi="仿宋" w:eastAsia="仿宋" w:cs="仿宋"/>
                <w:sz w:val="24"/>
                <w:lang w:val="en-US" w:eastAsia="zh-CN"/>
              </w:rPr>
              <w:t>K</w:t>
            </w:r>
            <w:r>
              <w:rPr>
                <w:rFonts w:hint="eastAsia" w:ascii="仿宋" w:hAnsi="仿宋" w:eastAsia="仿宋" w:cs="仿宋"/>
                <w:sz w:val="24"/>
              </w:rPr>
              <w:t>Pa～92</w:t>
            </w:r>
            <w:r>
              <w:rPr>
                <w:rFonts w:hint="eastAsia" w:ascii="仿宋" w:hAnsi="仿宋" w:eastAsia="仿宋" w:cs="仿宋"/>
                <w:sz w:val="24"/>
                <w:lang w:val="en-US" w:eastAsia="zh-CN"/>
              </w:rPr>
              <w:t>K</w:t>
            </w:r>
            <w:r>
              <w:rPr>
                <w:rFonts w:hint="eastAsia" w:ascii="仿宋" w:hAnsi="仿宋" w:eastAsia="仿宋" w:cs="仿宋"/>
                <w:sz w:val="24"/>
              </w:rPr>
              <w:t>Pa</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17</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sz w:val="24"/>
                <w:szCs w:val="32"/>
                <w:vertAlign w:val="baseline"/>
              </w:rPr>
            </w:pPr>
            <w:r>
              <w:rPr>
                <w:rFonts w:hint="eastAsia" w:ascii="仿宋" w:hAnsi="仿宋" w:eastAsia="仿宋" w:cs="仿宋"/>
                <w:sz w:val="24"/>
              </w:rPr>
              <w:t>加热方式：外置加热；</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18</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sz w:val="24"/>
                <w:szCs w:val="32"/>
                <w:vertAlign w:val="baseline"/>
              </w:rPr>
            </w:pPr>
            <w:r>
              <w:rPr>
                <w:rFonts w:hint="eastAsia" w:ascii="仿宋" w:hAnsi="仿宋" w:eastAsia="仿宋" w:cs="仿宋"/>
                <w:sz w:val="24"/>
              </w:rPr>
              <w:t>加热功率：≤</w:t>
            </w:r>
            <w:r>
              <w:rPr>
                <w:rFonts w:hint="eastAsia" w:ascii="仿宋" w:hAnsi="仿宋" w:eastAsia="仿宋" w:cs="仿宋"/>
                <w:sz w:val="24"/>
                <w:lang w:val="en-US" w:eastAsia="zh-CN"/>
              </w:rPr>
              <w:t>9</w:t>
            </w:r>
            <w:r>
              <w:rPr>
                <w:rFonts w:hint="eastAsia" w:ascii="仿宋" w:hAnsi="仿宋" w:eastAsia="仿宋" w:cs="仿宋"/>
                <w:sz w:val="24"/>
              </w:rPr>
              <w:t>KW</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19</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sz w:val="24"/>
                <w:szCs w:val="32"/>
                <w:vertAlign w:val="baseline"/>
              </w:rPr>
            </w:pPr>
            <w:r>
              <w:rPr>
                <w:rFonts w:hint="eastAsia" w:ascii="仿宋" w:hAnsi="仿宋" w:eastAsia="仿宋" w:cs="仿宋"/>
                <w:sz w:val="24"/>
              </w:rPr>
              <w:t>设备总功率：≤</w:t>
            </w:r>
            <w:r>
              <w:rPr>
                <w:rFonts w:hint="eastAsia" w:ascii="仿宋" w:hAnsi="仿宋" w:eastAsia="仿宋" w:cs="仿宋"/>
                <w:sz w:val="24"/>
                <w:lang w:val="en-US" w:eastAsia="zh-CN"/>
              </w:rPr>
              <w:t>13</w:t>
            </w:r>
            <w:r>
              <w:rPr>
                <w:rFonts w:hint="eastAsia" w:ascii="仿宋" w:hAnsi="仿宋" w:eastAsia="仿宋" w:cs="仿宋"/>
                <w:sz w:val="24"/>
              </w:rPr>
              <w:t>KW</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olor w:val="000000"/>
                <w:kern w:val="0"/>
                <w:sz w:val="24"/>
                <w:szCs w:val="24"/>
                <w:lang w:val="en-US" w:eastAsia="zh-CN"/>
              </w:rPr>
            </w:pPr>
            <w:r>
              <w:rPr>
                <w:rFonts w:hint="eastAsia" w:ascii="仿宋" w:hAnsi="仿宋" w:eastAsia="仿宋" w:cs="仿宋"/>
                <w:bCs/>
                <w:sz w:val="24"/>
                <w:szCs w:val="24"/>
              </w:rPr>
              <w:t>▲</w:t>
            </w:r>
            <w:r>
              <w:rPr>
                <w:rFonts w:hint="eastAsia" w:ascii="宋体" w:hAnsi="宋体"/>
                <w:color w:val="000000"/>
                <w:kern w:val="0"/>
                <w:sz w:val="24"/>
                <w:szCs w:val="24"/>
                <w:lang w:val="en-US" w:eastAsia="zh-CN"/>
              </w:rPr>
              <w:t>20</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sz w:val="24"/>
                <w:szCs w:val="32"/>
                <w:vertAlign w:val="baseline"/>
              </w:rPr>
            </w:pPr>
            <w:r>
              <w:rPr>
                <w:rFonts w:hint="eastAsia" w:ascii="仿宋" w:hAnsi="仿宋" w:eastAsia="仿宋" w:cs="仿宋"/>
                <w:sz w:val="24"/>
              </w:rPr>
              <w:t>干燥层：6层，可放置12个标准篮筐（480*250*50mm）；</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21</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line="276" w:lineRule="auto"/>
              <w:jc w:val="left"/>
              <w:rPr>
                <w:rFonts w:hint="eastAsia"/>
                <w:sz w:val="24"/>
                <w:szCs w:val="32"/>
                <w:vertAlign w:val="baseline"/>
              </w:rPr>
            </w:pPr>
            <w:r>
              <w:rPr>
                <w:rFonts w:hint="eastAsia" w:ascii="仿宋" w:hAnsi="仿宋" w:eastAsia="仿宋" w:cs="仿宋"/>
                <w:sz w:val="24"/>
              </w:rPr>
              <w:t>标准工作周期：普通器械无需手工预处理≦15分钟能达到彻底干燥，管腔类器械无需手工预处理≦25分钟达到彻底干燥;</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bookmarkStart w:id="16" w:name="_GoBack" w:colFirst="0" w:colLast="1"/>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olor w:val="000000"/>
                <w:kern w:val="0"/>
                <w:sz w:val="24"/>
                <w:szCs w:val="24"/>
                <w:lang w:val="en-US" w:eastAsia="zh-CN"/>
              </w:rPr>
            </w:pPr>
            <w:r>
              <w:rPr>
                <w:rFonts w:hint="eastAsia" w:ascii="仿宋" w:hAnsi="仿宋" w:eastAsia="仿宋" w:cs="仿宋"/>
                <w:bCs/>
                <w:sz w:val="24"/>
                <w:szCs w:val="24"/>
              </w:rPr>
              <w:t>▲</w:t>
            </w:r>
            <w:r>
              <w:rPr>
                <w:rFonts w:hint="eastAsia" w:ascii="宋体" w:hAnsi="宋体"/>
                <w:color w:val="000000"/>
                <w:kern w:val="0"/>
                <w:sz w:val="24"/>
                <w:szCs w:val="24"/>
                <w:lang w:val="en-US" w:eastAsia="zh-CN"/>
              </w:rPr>
              <w:t>22</w:t>
            </w:r>
          </w:p>
        </w:tc>
        <w:tc>
          <w:tcPr>
            <w:tcW w:w="6648" w:type="dxa"/>
            <w:tcBorders>
              <w:top w:val="single" w:color="auto" w:sz="6" w:space="0"/>
              <w:left w:val="single" w:color="auto" w:sz="6" w:space="0"/>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jc w:val="left"/>
              <w:textAlignment w:val="auto"/>
              <w:rPr>
                <w:rFonts w:hint="eastAsia"/>
                <w:sz w:val="24"/>
                <w:szCs w:val="32"/>
                <w:vertAlign w:val="baseline"/>
              </w:rPr>
            </w:pPr>
            <w:r>
              <w:rPr>
                <w:rFonts w:hint="eastAsia" w:ascii="仿宋" w:hAnsi="仿宋" w:eastAsia="仿宋" w:cs="仿宋"/>
                <w:color w:val="auto"/>
                <w:kern w:val="2"/>
                <w:sz w:val="24"/>
                <w:szCs w:val="24"/>
                <w:lang w:val="en-US" w:eastAsia="zh-CN" w:bidi="ar-SA"/>
              </w:rPr>
              <w:t>管路：内部管路全部采用卫生级304不锈钢制作，管路之间采用304不锈钢卡箍式连接（需提供实物图片证明）；管路系统执行元件釆用气动阀控制</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948"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bCs/>
                <w:kern w:val="0"/>
                <w:sz w:val="24"/>
                <w:szCs w:val="24"/>
              </w:rPr>
              <w:t>技术保障措施</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bCs/>
                <w:kern w:val="0"/>
                <w:sz w:val="24"/>
                <w:szCs w:val="24"/>
              </w:rPr>
            </w:pPr>
            <w:r>
              <w:rPr>
                <w:rFonts w:hint="eastAsia" w:ascii="宋体" w:hAnsi="宋体" w:cs="宋体"/>
                <w:sz w:val="24"/>
                <w:szCs w:val="24"/>
              </w:rPr>
              <w:t>在投标文件中详细说明保障措施（包括技术团队、技术方案、技术人员、场地、车辆等），评审委员会根据响应情况进行横向比较，优3分，良2分，中1分，差0分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商务需求</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jc w:val="left"/>
              <w:rPr>
                <w:rFonts w:ascii="宋体" w:hAnsi="宋体" w:cs="宋体"/>
                <w:kern w:val="0"/>
                <w:sz w:val="24"/>
                <w:szCs w:val="24"/>
              </w:rPr>
            </w:pPr>
            <w:r>
              <w:rPr>
                <w:rFonts w:ascii="宋体" w:hAnsi="宋体" w:cs="宋体"/>
                <w:kern w:val="0"/>
                <w:sz w:val="24"/>
                <w:szCs w:val="24"/>
              </w:rPr>
              <w:t xml:space="preserve">  </w:t>
            </w:r>
          </w:p>
          <w:tbl>
            <w:tblPr>
              <w:tblStyle w:val="14"/>
              <w:tblW w:w="83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652"/>
              <w:gridCol w:w="58"/>
              <w:gridCol w:w="1373"/>
              <w:gridCol w:w="625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71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序号</w:t>
                  </w:r>
                </w:p>
              </w:tc>
              <w:tc>
                <w:tcPr>
                  <w:tcW w:w="13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目录</w:t>
                  </w:r>
                </w:p>
              </w:tc>
              <w:tc>
                <w:tcPr>
                  <w:tcW w:w="62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商务需求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（一）免费保修期内售后服务要求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3"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免费保修期</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1.1各投标人应在投标文件中列明各主机、配件和易耗品的保修期限,并承诺提供整机免费保修期</w:t>
                  </w:r>
                  <w:r>
                    <w:rPr>
                      <w:rFonts w:hint="eastAsia" w:ascii="宋体" w:hAnsi="宋体" w:cs="宋体"/>
                      <w:color w:val="FF0000"/>
                      <w:kern w:val="0"/>
                      <w:szCs w:val="21"/>
                      <w:lang w:eastAsia="zh-CN"/>
                    </w:rPr>
                    <w:t>伍</w:t>
                  </w:r>
                  <w:r>
                    <w:rPr>
                      <w:rFonts w:hint="eastAsia" w:ascii="宋体" w:hAnsi="宋体" w:cs="宋体"/>
                      <w:color w:val="auto"/>
                      <w:kern w:val="0"/>
                      <w:szCs w:val="21"/>
                    </w:rPr>
                    <w:t>年(全保)</w:t>
                  </w:r>
                  <w:r>
                    <w:rPr>
                      <w:rStyle w:val="17"/>
                      <w:rFonts w:hint="eastAsia" w:ascii="宋体" w:hAnsi="宋体" w:cs="宋体"/>
                      <w:color w:val="auto"/>
                      <w:szCs w:val="21"/>
                    </w:rPr>
                    <w:t>（特别提示：免费保修期达不到招标文件要求的，该投标文件不通过）</w:t>
                  </w:r>
                  <w:r>
                    <w:rPr>
                      <w:rFonts w:hint="eastAsia" w:ascii="宋体" w:hAnsi="宋体" w:cs="宋体"/>
                      <w:color w:val="auto"/>
                      <w:kern w:val="0"/>
                      <w:szCs w:val="21"/>
                    </w:rPr>
                    <w:t>,终身维修。保修期内,年度定期预防性维护保养次数应不少于</w:t>
                  </w:r>
                  <w:r>
                    <w:rPr>
                      <w:rFonts w:hint="eastAsia" w:ascii="宋体" w:hAnsi="宋体" w:cs="宋体"/>
                      <w:color w:val="auto"/>
                      <w:kern w:val="0"/>
                      <w:szCs w:val="21"/>
                      <w:u w:val="single"/>
                    </w:rPr>
                    <w:t xml:space="preserve"> 4 </w:t>
                  </w:r>
                  <w:r>
                    <w:rPr>
                      <w:rFonts w:hint="eastAsia" w:ascii="宋体" w:hAnsi="宋体" w:cs="宋体"/>
                      <w:color w:val="auto"/>
                      <w:kern w:val="0"/>
                      <w:szCs w:val="21"/>
                    </w:rPr>
                    <w:t>次。保修期内免费更换零配件、免工时费。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b/>
                      <w:bCs/>
                      <w:kern w:val="0"/>
                      <w:sz w:val="24"/>
                      <w:szCs w:val="24"/>
                    </w:rPr>
                    <w:t>2</w:t>
                  </w:r>
                </w:p>
              </w:tc>
              <w:tc>
                <w:tcPr>
                  <w:tcW w:w="1373" w:type="dxa"/>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维修响应及故障解决时间</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pPr>
                  <w:r>
                    <w:rPr>
                      <w:rFonts w:hint="eastAsia" w:ascii="宋体" w:hAnsi="宋体" w:cs="宋体"/>
                      <w:color w:val="auto"/>
                      <w:kern w:val="0"/>
                      <w:szCs w:val="21"/>
                      <w:lang w:val="en-US" w:eastAsia="zh-CN"/>
                    </w:rPr>
                    <w:t>2.</w:t>
                  </w:r>
                  <w:r>
                    <w:rPr>
                      <w:rFonts w:hint="eastAsia" w:ascii="宋体" w:hAnsi="宋体" w:cs="宋体"/>
                      <w:color w:val="auto"/>
                      <w:kern w:val="0"/>
                      <w:szCs w:val="21"/>
                    </w:rPr>
                    <w:t>1由设备制造商提供售后服务，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r>
                    <w:rPr>
                      <w:rFonts w:hint="eastAsia"/>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hint="eastAsia" w:eastAsia="宋体"/>
                      <w:lang w:eastAsia="zh-CN"/>
                    </w:rPr>
                  </w:pPr>
                  <w:r>
                    <w:rPr>
                      <w:rFonts w:hint="eastAsia"/>
                      <w:lang w:val="en-US" w:eastAsia="zh-CN"/>
                    </w:rPr>
                    <w:t>2.2</w:t>
                  </w:r>
                  <w:r>
                    <w:rPr>
                      <w:rFonts w:hint="eastAsia"/>
                    </w:rPr>
                    <w:t>厂家必须在广东省有固定售后服务工作站（提供工程师电话和技术维修力量情况和维修的详细地址及联系方式）。专业工程师免费现场安装</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left"/>
                    <w:rPr>
                      <w:rFonts w:hint="eastAsia"/>
                    </w:rPr>
                  </w:pPr>
                  <w:r>
                    <w:rPr>
                      <w:rFonts w:hint="eastAsia"/>
                      <w:lang w:val="en-US" w:eastAsia="zh-CN"/>
                    </w:rPr>
                    <w:t>2.3</w:t>
                  </w:r>
                  <w:r>
                    <w:rPr>
                      <w:rFonts w:hint="eastAsia"/>
                    </w:rPr>
                    <w:t>提供400/800国内免费电话， 365天24小时的远程维护与服务，深圳地区有驻点工程师，4小时内电话响应，24小时维修到位（不可抗力情况除外），超过24小时不能完成维修的须提供备用机。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jc w:val="left"/>
                    <w:rPr>
                      <w:rFonts w:hint="eastAsia" w:eastAsia="宋体"/>
                      <w:lang w:eastAsia="zh-CN"/>
                    </w:rPr>
                  </w:pPr>
                  <w:r>
                    <w:rPr>
                      <w:rFonts w:hint="eastAsia"/>
                      <w:lang w:val="en-US" w:eastAsia="zh-CN"/>
                    </w:rPr>
                    <w:t>2.4</w:t>
                  </w:r>
                  <w:r>
                    <w:rPr>
                      <w:rFonts w:hint="eastAsia"/>
                    </w:rPr>
                    <w:t>保证供应仪器的维修与配件</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3</w:t>
                  </w:r>
                </w:p>
              </w:tc>
              <w:tc>
                <w:tcPr>
                  <w:tcW w:w="1373" w:type="dxa"/>
                  <w:vMerge w:val="restart"/>
                  <w:tcBorders>
                    <w:top w:val="nil"/>
                    <w:left w:val="nil"/>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hint="eastAsia" w:ascii="宋体" w:hAnsi="宋体" w:cs="宋体"/>
                      <w:kern w:val="0"/>
                      <w:sz w:val="24"/>
                      <w:szCs w:val="24"/>
                    </w:rPr>
                    <w:t>软件升级及服务</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ascii="宋体" w:hAnsi="宋体" w:cs="宋体"/>
                      <w:kern w:val="0"/>
                      <w:sz w:val="24"/>
                      <w:szCs w:val="24"/>
                      <w:lang w:val="en-US" w:eastAsia="zh-CN"/>
                    </w:rPr>
                    <w:t>3.1</w:t>
                  </w:r>
                  <w:r>
                    <w:rPr>
                      <w:rFonts w:hint="eastAsia"/>
                    </w:rPr>
                    <w:t xml:space="preserve"> 免费提供技术咨询、软件升级；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lang w:val="en-US" w:eastAsia="zh-CN"/>
                    </w:rPr>
                    <w:t>3.2</w:t>
                  </w:r>
                  <w:r>
                    <w:rPr>
                      <w:rFonts w:hint="eastAsia"/>
                    </w:rPr>
                    <w:t>所提供的所有的硬件、软件与我院现有的PACS端口免费连接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4</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相关培训</w:t>
                  </w:r>
                </w:p>
              </w:tc>
              <w:tc>
                <w:tcPr>
                  <w:tcW w:w="625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4.1</w:t>
                  </w:r>
                  <w:r>
                    <w:rPr>
                      <w:rFonts w:ascii="宋体" w:hAnsi="宋体" w:cs="宋体"/>
                      <w:kern w:val="0"/>
                      <w:sz w:val="24"/>
                      <w:szCs w:val="24"/>
                    </w:rPr>
                    <w:t>有专业人员对临床操作人员进行专业的培训，并对维修工程师进行维护、维修培训。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852"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5</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开机率及赔偿</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5.1</w:t>
                  </w:r>
                  <w:r>
                    <w:rPr>
                      <w:rFonts w:ascii="宋体" w:hAnsi="宋体" w:cs="宋体"/>
                      <w:kern w:val="0"/>
                      <w:sz w:val="24"/>
                      <w:szCs w:val="24"/>
                    </w:rPr>
                    <w:t>在保修期内，中标商必须保证设备的开机率&gt;95%；若不能达到此开机率，将作以下处理：⑴开机率在90-95%之间按一赔二延长保修期；⑵开机率在85-90%之间按一赔五延长保修期；⑶开机率低于85%，中标商必须无条件更换新机，并重新计算保修期，以及赔偿用户的直接经济损失和间接经济损失。</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b/>
                      <w:bCs/>
                      <w:color w:val="000000"/>
                      <w:kern w:val="0"/>
                      <w:sz w:val="24"/>
                      <w:szCs w:val="24"/>
                    </w:rPr>
                    <w:t>（二）免费保修期外售后服务要求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431" w:type="dxa"/>
                  <w:gridSpan w:val="2"/>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维修零配件、消耗品和延续保修合同的报价</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hint="eastAsia" w:ascii="宋体" w:hAnsi="宋体" w:cs="宋体"/>
                      <w:color w:val="auto"/>
                      <w:kern w:val="0"/>
                      <w:szCs w:val="21"/>
                    </w:rPr>
                  </w:pPr>
                  <w:r>
                    <w:rPr>
                      <w:rFonts w:hint="eastAsia" w:ascii="宋体" w:hAnsi="宋体" w:cs="宋体"/>
                      <w:kern w:val="0"/>
                      <w:sz w:val="24"/>
                      <w:szCs w:val="24"/>
                      <w:lang w:val="en-US" w:eastAsia="zh-CN"/>
                    </w:rPr>
                    <w:t>1.1</w:t>
                  </w:r>
                  <w:r>
                    <w:rPr>
                      <w:rFonts w:ascii="宋体" w:hAnsi="宋体" w:cs="宋体"/>
                      <w:kern w:val="0"/>
                      <w:sz w:val="24"/>
                      <w:szCs w:val="24"/>
                    </w:rPr>
                    <w:t>厂家提供终身维修，终身免费提供软件升级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2</w:t>
                  </w:r>
                  <w:r>
                    <w:rPr>
                      <w:rFonts w:hint="eastAsia" w:ascii="宋体" w:hAnsi="宋体" w:cs="宋体"/>
                      <w:color w:val="auto"/>
                      <w:kern w:val="0"/>
                      <w:szCs w:val="21"/>
                    </w:rPr>
                    <w:t>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3</w:t>
                  </w:r>
                  <w:r>
                    <w:rPr>
                      <w:rFonts w:hint="eastAsia" w:ascii="宋体" w:hAnsi="宋体" w:cs="宋体"/>
                      <w:color w:val="auto"/>
                      <w:kern w:val="0"/>
                      <w:szCs w:val="21"/>
                    </w:rPr>
                    <w:t>保修期满后，投标人应以优惠价供应维修零配件、消耗品和延续保修合同。零配件、消耗品</w:t>
                  </w:r>
                  <w:r>
                    <w:rPr>
                      <w:rFonts w:hint="eastAsia" w:ascii="宋体" w:hAnsi="宋体" w:cs="宋体"/>
                      <w:color w:val="auto"/>
                      <w:kern w:val="0"/>
                      <w:szCs w:val="21"/>
                      <w:lang w:eastAsia="zh-CN"/>
                    </w:rPr>
                    <w:t>、试剂</w:t>
                  </w:r>
                  <w:r>
                    <w:rPr>
                      <w:rFonts w:hint="eastAsia" w:ascii="宋体" w:hAnsi="宋体" w:cs="宋体"/>
                      <w:color w:val="auto"/>
                      <w:kern w:val="0"/>
                      <w:szCs w:val="21"/>
                    </w:rPr>
                    <w:t>和延续保修合同的报价明细必须填写于《零配件、消耗品和延续保修合同报价明清单》中。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4</w:t>
                  </w:r>
                  <w:r>
                    <w:rPr>
                      <w:rFonts w:hint="eastAsia" w:ascii="宋体" w:hAnsi="宋体" w:cs="宋体"/>
                      <w:color w:val="auto"/>
                      <w:kern w:val="0"/>
                      <w:szCs w:val="21"/>
                    </w:rPr>
                    <w:t>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5</w:t>
                  </w:r>
                  <w:r>
                    <w:rPr>
                      <w:rFonts w:hint="eastAsia" w:ascii="宋体" w:hAnsi="宋体" w:cs="宋体"/>
                      <w:color w:val="auto"/>
                      <w:kern w:val="0"/>
                      <w:szCs w:val="21"/>
                    </w:rPr>
                    <w:t>设备制造商维修的货物经采购人验收合格，且设备制造商提供维修专用发票后，采购人支付维修费用。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6</w:t>
                  </w:r>
                  <w:r>
                    <w:rPr>
                      <w:rFonts w:hint="eastAsia" w:ascii="宋体" w:hAnsi="宋体" w:cs="宋体"/>
                      <w:color w:val="auto"/>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（三）其他商务要求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97"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w:t>
                  </w:r>
                </w:p>
              </w:tc>
              <w:tc>
                <w:tcPr>
                  <w:tcW w:w="1373"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eastAsia="zh-CN"/>
                    </w:rPr>
                    <w:t>交货要求</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1.1</w:t>
                  </w:r>
                  <w:r>
                    <w:rPr>
                      <w:rFonts w:hint="eastAsia" w:ascii="宋体" w:hAnsi="宋体" w:cs="宋体"/>
                      <w:color w:val="auto"/>
                      <w:kern w:val="0"/>
                      <w:szCs w:val="21"/>
                    </w:rPr>
                    <w:t>投标人在签订合同之日起</w:t>
                  </w:r>
                  <w:r>
                    <w:rPr>
                      <w:rFonts w:hint="eastAsia" w:ascii="宋体" w:hAnsi="宋体" w:cs="宋体"/>
                      <w:color w:val="auto"/>
                      <w:kern w:val="0"/>
                      <w:szCs w:val="21"/>
                      <w:u w:val="single"/>
                      <w:lang w:val="en-US" w:eastAsia="zh-CN"/>
                    </w:rPr>
                    <w:t>30</w:t>
                  </w:r>
                  <w:r>
                    <w:rPr>
                      <w:rFonts w:hint="eastAsia" w:ascii="宋体" w:hAnsi="宋体" w:cs="宋体"/>
                      <w:color w:val="auto"/>
                      <w:kern w:val="0"/>
                      <w:szCs w:val="21"/>
                    </w:rPr>
                    <w:t>天内交货</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1.2</w:t>
                  </w:r>
                  <w:r>
                    <w:rPr>
                      <w:rFonts w:hint="eastAsia" w:ascii="宋体" w:hAnsi="宋体" w:cs="宋体"/>
                      <w:color w:val="auto"/>
                      <w:kern w:val="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spacing w:val="-3"/>
                      <w:kern w:val="0"/>
                      <w:szCs w:val="21"/>
                    </w:rPr>
                    <w:t>1.3提供的货物必须为全新、经检验合格的产品。产品如需要计量检定的应提供相关计量检定部门出具的合法检定报告。其中，进口设备必须具有</w:t>
                  </w:r>
                  <w:r>
                    <w:rPr>
                      <w:rFonts w:hint="eastAsia" w:ascii="宋体" w:hAnsi="宋体" w:cs="宋体"/>
                      <w:color w:val="auto"/>
                      <w:kern w:val="0"/>
                      <w:szCs w:val="21"/>
                    </w:rPr>
                    <w:t>报关证明</w:t>
                  </w:r>
                  <w:r>
                    <w:rPr>
                      <w:rFonts w:hint="eastAsia" w:ascii="宋体" w:hAnsi="宋体" w:cs="宋体"/>
                      <w:color w:val="auto"/>
                      <w:spacing w:val="-3"/>
                      <w:kern w:val="0"/>
                      <w:szCs w:val="21"/>
                    </w:rPr>
                    <w:t>文件、</w:t>
                  </w:r>
                  <w:r>
                    <w:rPr>
                      <w:rFonts w:hint="eastAsia" w:ascii="宋体" w:hAnsi="宋体" w:cs="宋体"/>
                      <w:color w:val="auto"/>
                      <w:kern w:val="0"/>
                      <w:szCs w:val="21"/>
                    </w:rPr>
                    <w:t>原产地证明和</w:t>
                  </w:r>
                  <w:r>
                    <w:rPr>
                      <w:rFonts w:hint="eastAsia" w:ascii="宋体" w:hAnsi="宋体" w:cs="宋体"/>
                      <w:color w:val="auto"/>
                      <w:spacing w:val="-3"/>
                      <w:kern w:val="0"/>
                      <w:szCs w:val="21"/>
                    </w:rPr>
                    <w:t>商检合格证明文件。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运输、安装和验收</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2.1投标人负责将货物安全无损运抵采购人指定地点,并承担设备的包装、运输、保险、装卸、安装调试、培训、商检及计量检测、关税、增值税和进口代理等费用。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cs="宋体"/>
                      <w:color w:val="auto"/>
                      <w:kern w:val="0"/>
                      <w:szCs w:val="21"/>
                      <w:u w:val="single"/>
                    </w:rPr>
                    <w:t xml:space="preserve"> 7 </w:t>
                  </w:r>
                  <w:r>
                    <w:rPr>
                      <w:rFonts w:hint="eastAsia" w:ascii="宋体" w:hAnsi="宋体" w:cs="宋体"/>
                      <w:color w:val="auto"/>
                      <w:kern w:val="0"/>
                      <w:szCs w:val="21"/>
                    </w:rPr>
                    <w:t>天内采取补足、更换或退货等措施,以满足规格的要求，由此发生的一切损失和费用由投标人承担。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2.3投标人负责货物的现场安装和调试,提供货物安装、调试和维修所需的专用工具和辅助材料。投标人应在货物运至指定地点后一周内开始安装调试,并在</w:t>
                  </w:r>
                  <w:r>
                    <w:rPr>
                      <w:rFonts w:hint="eastAsia" w:ascii="宋体" w:hAnsi="宋体" w:cs="宋体"/>
                      <w:color w:val="auto"/>
                      <w:kern w:val="0"/>
                      <w:szCs w:val="21"/>
                      <w:u w:val="single"/>
                    </w:rPr>
                    <w:t xml:space="preserve"> 7 </w:t>
                  </w:r>
                  <w:r>
                    <w:rPr>
                      <w:rFonts w:hint="eastAsia" w:ascii="宋体" w:hAnsi="宋体" w:cs="宋体"/>
                      <w:color w:val="auto"/>
                      <w:spacing w:val="-3"/>
                      <w:kern w:val="0"/>
                      <w:szCs w:val="21"/>
                    </w:rPr>
                    <w:t>天内安装调试完毕。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2.4由投标人代表和采购人组成验收小组对产品进行验收。验收标准按照国家规定标准执行。经检验设备正常运作后签署验收报告,产品保修期自验收合格之日起算。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培训</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3.1中标人应派专业技术人员免费对采购单位指定人员进行定期培训及指导，直至其完全掌握设备的基本故障处理技术。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知识产权</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4.2采购人购买产品后，有权对该产品与其他设备进行配套、整合或适当改进，而免受侵犯专利权的起诉。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5</w:t>
                  </w:r>
                </w:p>
              </w:tc>
              <w:tc>
                <w:tcPr>
                  <w:tcW w:w="1373"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付款</w:t>
                  </w: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hint="eastAsia" w:ascii="宋体" w:hAnsi="宋体" w:cs="宋体"/>
                      <w:kern w:val="0"/>
                      <w:sz w:val="24"/>
                      <w:szCs w:val="24"/>
                      <w:lang w:val="en-US" w:eastAsia="zh-CN"/>
                    </w:rPr>
                    <w:t>5.1</w:t>
                  </w:r>
                  <w:r>
                    <w:rPr>
                      <w:rFonts w:ascii="宋体" w:hAnsi="宋体" w:cs="宋体"/>
                      <w:kern w:val="0"/>
                      <w:sz w:val="24"/>
                      <w:szCs w:val="24"/>
                    </w:rPr>
                    <w:t>、付款条件：货到安装验收合格并提供全额发票后30天内中标方向采购方付货款5%质保金，采购方收到质保金后再由财政部门支付100%货款给中标方。质保金在设备验收合格后正常运转一年并无故障的情况下由采购方退还给中标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ascii="宋体" w:hAnsi="宋体" w:cs="宋体"/>
                      <w:kern w:val="0"/>
                      <w:sz w:val="24"/>
                      <w:szCs w:val="24"/>
                    </w:rPr>
                    <w:t>由于供应商的原因，未能按时供货，每迟一天罚款合同总额的0.5%；如超过供货期30天，我院将终止合同并通过法律程序对供应商进行索赔。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p>
              </w:tc>
              <w:tc>
                <w:tcPr>
                  <w:tcW w:w="1373"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hint="eastAsia" w:ascii="宋体" w:hAnsi="宋体" w:cs="宋体"/>
                      <w:kern w:val="0"/>
                      <w:sz w:val="24"/>
                      <w:szCs w:val="24"/>
                      <w:lang w:val="en-US" w:eastAsia="zh-CN"/>
                    </w:rPr>
                    <w:t>5.3</w:t>
                  </w:r>
                  <w:r>
                    <w:rPr>
                      <w:rFonts w:ascii="宋体" w:hAnsi="宋体" w:cs="宋体"/>
                      <w:kern w:val="0"/>
                      <w:sz w:val="24"/>
                      <w:szCs w:val="24"/>
                    </w:rPr>
                    <w:t>由于供应商的原因，在货到一周内未进行安装调试，或安装调试时间超过正常要求，按每超过一天罚款合同总额的0.5%或按我院损失罚款。情节严重者，我院将依法律程序对供应商进行索赔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1373"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b/>
                      <w:bCs/>
                      <w:color w:val="auto"/>
                      <w:kern w:val="0"/>
                      <w:szCs w:val="21"/>
                    </w:rPr>
                    <w:t>违约责任</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cs="宋体"/>
                      <w:kern w:val="0"/>
                      <w:sz w:val="24"/>
                      <w:szCs w:val="24"/>
                    </w:rPr>
                  </w:pPr>
                  <w:r>
                    <w:rPr>
                      <w:rFonts w:hint="eastAsia" w:ascii="宋体" w:hAnsi="宋体" w:cs="宋体"/>
                      <w:color w:val="auto"/>
                      <w:szCs w:val="21"/>
                    </w:rPr>
                    <w:t>6.1中标人不能交货的，需偿付不能交货部分货款的</w:t>
                  </w:r>
                  <w:r>
                    <w:rPr>
                      <w:rFonts w:hint="eastAsia" w:ascii="宋体" w:hAnsi="宋体" w:cs="宋体"/>
                      <w:color w:val="auto"/>
                      <w:szCs w:val="21"/>
                      <w:u w:val="single"/>
                    </w:rPr>
                    <w:t xml:space="preserve">  10  </w:t>
                  </w:r>
                  <w:r>
                    <w:rPr>
                      <w:rFonts w:hint="eastAsia" w:ascii="宋体" w:hAnsi="宋体" w:cs="宋体"/>
                      <w:color w:val="auto"/>
                      <w:szCs w:val="21"/>
                    </w:rPr>
                    <w:t>%的违约金并按主管部门相关规定处理。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6.2中标人逾期交货的，将被没收履约保证金并按主管部门相关规定处理。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6.3中标人所交付产品、工程或服务不符合其投标承诺的，或在投标阶段为了中标而盲目虚假承诺、低价恶性竞争，在履约阶段则通过偷工减料、以次充好而获取利润的，</w:t>
                  </w:r>
                  <w:r>
                    <w:rPr>
                      <w:rFonts w:hint="eastAsia" w:ascii="宋体" w:hAnsi="宋体" w:cs="宋体"/>
                      <w:color w:val="auto"/>
                      <w:szCs w:val="21"/>
                      <w:lang w:eastAsia="zh-CN"/>
                    </w:rPr>
                    <w:t>被列入深圳市儿童医院履约等级“差”评，三年内不得参与我院招投标项目</w:t>
                  </w:r>
                  <w:r>
                    <w:rPr>
                      <w:rFonts w:hint="eastAsia" w:ascii="宋体" w:hAnsi="宋体" w:cs="宋体"/>
                      <w:color w:val="auto"/>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7</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b/>
                      <w:bCs/>
                      <w:color w:val="auto"/>
                      <w:kern w:val="0"/>
                      <w:szCs w:val="21"/>
                    </w:rPr>
                    <w:t>其他</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7.1投标人应按其投标文件中的承诺，进行其他售后服务工作。</w:t>
                  </w:r>
                </w:p>
              </w:tc>
            </w:tr>
          </w:tbl>
          <w:p>
            <w:pPr>
              <w:widowControl/>
              <w:jc w:val="left"/>
              <w:rPr>
                <w:rFonts w:ascii="宋体" w:hAnsi="宋体" w:cs="宋体"/>
                <w:kern w:val="0"/>
                <w:sz w:val="24"/>
                <w:szCs w:val="24"/>
              </w:rPr>
            </w:pPr>
          </w:p>
        </w:tc>
      </w:tr>
    </w:tbl>
    <w:p>
      <w:pPr>
        <w:rPr>
          <w:rFonts w:hint="eastAsia"/>
        </w:rPr>
      </w:pPr>
    </w:p>
    <w:p>
      <w:pPr>
        <w:jc w:val="left"/>
        <w:rPr>
          <w:rFonts w:asciiTheme="minorEastAsia" w:hAnsiTheme="minorEastAsia" w:eastAsiaTheme="minorEastAsia"/>
          <w:b/>
          <w:bCs/>
          <w:color w:val="FF0000"/>
          <w:sz w:val="24"/>
          <w:szCs w:val="24"/>
        </w:rPr>
      </w:pPr>
    </w:p>
    <w:p>
      <w:pPr>
        <w:jc w:val="left"/>
        <w:rPr>
          <w:rFonts w:asciiTheme="minorEastAsia" w:hAnsiTheme="minorEastAsia" w:eastAsiaTheme="minorEastAsia"/>
          <w:b/>
          <w:bCs/>
          <w:color w:val="FF0000"/>
          <w:sz w:val="24"/>
          <w:szCs w:val="24"/>
        </w:rPr>
      </w:pPr>
    </w:p>
    <w:p>
      <w:pP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第二节  具体技术要求</w:t>
      </w:r>
    </w:p>
    <w:p>
      <w:pPr>
        <w:spacing w:line="360" w:lineRule="auto"/>
        <w:ind w:right="105" w:right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p>
    <w:p>
      <w:pPr>
        <w:spacing w:line="360" w:lineRule="auto"/>
        <w:ind w:right="105" w:rightChars="5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投标人须如实填写《技术规格偏离表》，并按招标文件的要求提供相关证明资料，包括产品原厂说明书或产品彩页等。提供的证明资料与投标响应情况不相符的，视为《技术规格偏离表》填写不实。</w:t>
      </w:r>
    </w:p>
    <w:p>
      <w:pPr>
        <w:pStyle w:val="5"/>
        <w:spacing w:line="300" w:lineRule="auto"/>
        <w:jc w:val="center"/>
        <w:rPr>
          <w:rFonts w:asciiTheme="minorEastAsia" w:hAnsiTheme="minorEastAsia" w:eastAsiaTheme="minorEastAsia"/>
          <w:szCs w:val="24"/>
        </w:rPr>
      </w:pPr>
      <w:bookmarkStart w:id="12" w:name="_Toc201998022"/>
      <w:bookmarkStart w:id="13" w:name="_Toc313109540"/>
      <w:bookmarkStart w:id="14" w:name="_Toc201743194"/>
      <w:r>
        <w:rPr>
          <w:rFonts w:hint="eastAsia" w:asciiTheme="minorEastAsia" w:hAnsiTheme="minorEastAsia" w:eastAsiaTheme="minorEastAsia"/>
          <w:szCs w:val="24"/>
        </w:rPr>
        <w:t>具体技术要求表</w:t>
      </w:r>
    </w:p>
    <w:bookmarkEnd w:id="12"/>
    <w:bookmarkEnd w:id="13"/>
    <w:bookmarkEnd w:id="14"/>
    <w:tbl>
      <w:tblPr>
        <w:tblStyle w:val="14"/>
        <w:tblW w:w="7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43"/>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84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510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843" w:type="dxa"/>
            <w:vMerge w:val="restart"/>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bl>
    <w:p>
      <w:pPr>
        <w:pStyle w:val="5"/>
        <w:spacing w:line="300" w:lineRule="auto"/>
        <w:rPr>
          <w:rFonts w:asciiTheme="minorEastAsia" w:hAnsiTheme="minorEastAsia" w:eastAsiaTheme="minorEastAsia"/>
          <w:b w:val="0"/>
          <w:szCs w:val="24"/>
        </w:rPr>
      </w:pPr>
      <w:r>
        <w:rPr>
          <w:rFonts w:hint="eastAsia" w:asciiTheme="minorEastAsia" w:hAnsiTheme="minorEastAsia" w:eastAsiaTheme="minorEastAsia"/>
          <w:b w:val="0"/>
          <w:szCs w:val="24"/>
        </w:rPr>
        <w:t>提示：若招标文件本节表格内容空白，则投标人应根据招标文件相关全部技术要求填写“技术规格偏离表”。</w:t>
      </w:r>
    </w:p>
    <w:p>
      <w:pPr>
        <w:tabs>
          <w:tab w:val="left" w:pos="1114"/>
        </w:tabs>
        <w:rPr>
          <w:rFonts w:asciiTheme="minorEastAsia" w:hAnsiTheme="minorEastAsia" w:eastAsiaTheme="minorEastAsia"/>
          <w:sz w:val="24"/>
          <w:szCs w:val="24"/>
        </w:rPr>
      </w:pPr>
    </w:p>
    <w:p>
      <w:pPr>
        <w:tabs>
          <w:tab w:val="left" w:pos="1114"/>
        </w:tabs>
        <w:rPr>
          <w:rFonts w:asciiTheme="minorEastAsia" w:hAnsiTheme="minorEastAsia" w:eastAsiaTheme="minorEastAsia"/>
          <w:sz w:val="24"/>
          <w:szCs w:val="24"/>
        </w:rPr>
      </w:pPr>
    </w:p>
    <w:sectPr>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0"/>
        </w:tabs>
        <w:ind w:left="420" w:hanging="420"/>
      </w:pPr>
      <w:rPr>
        <w:rFonts w:hint="eastAsia"/>
      </w:rPr>
    </w:lvl>
    <w:lvl w:ilvl="1" w:tentative="0">
      <w:start w:val="1"/>
      <w:numFmt w:val="decimal"/>
      <w:pStyle w:val="44"/>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1E4FC3"/>
    <w:multiLevelType w:val="multilevel"/>
    <w:tmpl w:val="2F1E4FC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9709A3"/>
    <w:multiLevelType w:val="multilevel"/>
    <w:tmpl w:val="369709A3"/>
    <w:lvl w:ilvl="0" w:tentative="0">
      <w:start w:val="1"/>
      <w:numFmt w:val="decimal"/>
      <w:pStyle w:val="45"/>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color w:val="auto"/>
        <w:lang w:val="en-GB"/>
      </w:rPr>
    </w:lvl>
    <w:lvl w:ilvl="2" w:tentative="0">
      <w:start w:val="1"/>
      <w:numFmt w:val="decimal"/>
      <w:lvlText w:val="%1.%2.%3"/>
      <w:lvlJc w:val="left"/>
      <w:pPr>
        <w:tabs>
          <w:tab w:val="left" w:pos="1000"/>
        </w:tabs>
        <w:ind w:left="1000" w:hanging="1000"/>
      </w:pPr>
      <w:rPr>
        <w:rFonts w:hint="eastAsia"/>
        <w:b w:val="0"/>
        <w:color w:val="auto"/>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5E8E06E3"/>
    <w:multiLevelType w:val="singleLevel"/>
    <w:tmpl w:val="5E8E06E3"/>
    <w:lvl w:ilvl="0" w:tentative="0">
      <w:start w:val="2"/>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3361"/>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21079C"/>
    <w:rsid w:val="01322EFC"/>
    <w:rsid w:val="014053BC"/>
    <w:rsid w:val="01767EF3"/>
    <w:rsid w:val="01D30AF5"/>
    <w:rsid w:val="01DC24B9"/>
    <w:rsid w:val="01DE5185"/>
    <w:rsid w:val="0213568A"/>
    <w:rsid w:val="03203016"/>
    <w:rsid w:val="03C30A13"/>
    <w:rsid w:val="03E16673"/>
    <w:rsid w:val="04A80842"/>
    <w:rsid w:val="04D7648A"/>
    <w:rsid w:val="04FA14E6"/>
    <w:rsid w:val="0528439D"/>
    <w:rsid w:val="0531362C"/>
    <w:rsid w:val="054D6974"/>
    <w:rsid w:val="057207F6"/>
    <w:rsid w:val="05FC6B91"/>
    <w:rsid w:val="063F4EC2"/>
    <w:rsid w:val="07732DB2"/>
    <w:rsid w:val="07B8320C"/>
    <w:rsid w:val="07CF0ACE"/>
    <w:rsid w:val="07D13112"/>
    <w:rsid w:val="09285CF7"/>
    <w:rsid w:val="09687692"/>
    <w:rsid w:val="0A031FF0"/>
    <w:rsid w:val="0AA13162"/>
    <w:rsid w:val="0AB6258A"/>
    <w:rsid w:val="0B452B9B"/>
    <w:rsid w:val="0B5770DF"/>
    <w:rsid w:val="0C1A62B1"/>
    <w:rsid w:val="0C372CCD"/>
    <w:rsid w:val="0C3E34F8"/>
    <w:rsid w:val="0C5603A3"/>
    <w:rsid w:val="0C5C2346"/>
    <w:rsid w:val="0C5E5BB8"/>
    <w:rsid w:val="0C8D0956"/>
    <w:rsid w:val="0C94782E"/>
    <w:rsid w:val="0D3565D1"/>
    <w:rsid w:val="0E215C17"/>
    <w:rsid w:val="0E5B23D4"/>
    <w:rsid w:val="0E9603EA"/>
    <w:rsid w:val="0F5E066F"/>
    <w:rsid w:val="0F6E3B50"/>
    <w:rsid w:val="0FDB5BF8"/>
    <w:rsid w:val="0FF0756D"/>
    <w:rsid w:val="10BB60F9"/>
    <w:rsid w:val="10CB03AE"/>
    <w:rsid w:val="110A33B6"/>
    <w:rsid w:val="11265165"/>
    <w:rsid w:val="1148447E"/>
    <w:rsid w:val="11973802"/>
    <w:rsid w:val="11BE139A"/>
    <w:rsid w:val="11EC5E17"/>
    <w:rsid w:val="121432F4"/>
    <w:rsid w:val="12DD2EED"/>
    <w:rsid w:val="1301505A"/>
    <w:rsid w:val="13545A8B"/>
    <w:rsid w:val="13840F17"/>
    <w:rsid w:val="13992498"/>
    <w:rsid w:val="13B25960"/>
    <w:rsid w:val="140F5863"/>
    <w:rsid w:val="15C21802"/>
    <w:rsid w:val="15D233F0"/>
    <w:rsid w:val="16266F5F"/>
    <w:rsid w:val="16320B1F"/>
    <w:rsid w:val="16A8700F"/>
    <w:rsid w:val="16C016B3"/>
    <w:rsid w:val="16D00C09"/>
    <w:rsid w:val="172735A6"/>
    <w:rsid w:val="172939D1"/>
    <w:rsid w:val="17596B0C"/>
    <w:rsid w:val="17AC41D5"/>
    <w:rsid w:val="18A962E7"/>
    <w:rsid w:val="18B20DA1"/>
    <w:rsid w:val="197C450A"/>
    <w:rsid w:val="19931B20"/>
    <w:rsid w:val="1A154751"/>
    <w:rsid w:val="1A217D97"/>
    <w:rsid w:val="1A3D0ED4"/>
    <w:rsid w:val="1A580152"/>
    <w:rsid w:val="1AB60AB7"/>
    <w:rsid w:val="1B733CDF"/>
    <w:rsid w:val="1BC70618"/>
    <w:rsid w:val="1BC84718"/>
    <w:rsid w:val="1BDC6183"/>
    <w:rsid w:val="1BE545CB"/>
    <w:rsid w:val="1C0C72BC"/>
    <w:rsid w:val="1C146FC9"/>
    <w:rsid w:val="1C213878"/>
    <w:rsid w:val="1C6311B2"/>
    <w:rsid w:val="1CBE541D"/>
    <w:rsid w:val="1CDB04F6"/>
    <w:rsid w:val="1D1D0E35"/>
    <w:rsid w:val="1D250BA1"/>
    <w:rsid w:val="1DD93DB9"/>
    <w:rsid w:val="1E5E3775"/>
    <w:rsid w:val="1E7F1AFF"/>
    <w:rsid w:val="1E8F1162"/>
    <w:rsid w:val="1ED06E8B"/>
    <w:rsid w:val="1EFF09E6"/>
    <w:rsid w:val="1F3A466A"/>
    <w:rsid w:val="1F8C23DA"/>
    <w:rsid w:val="1FA13095"/>
    <w:rsid w:val="1FC62E4A"/>
    <w:rsid w:val="1FE040BC"/>
    <w:rsid w:val="20152CE5"/>
    <w:rsid w:val="204801C9"/>
    <w:rsid w:val="213334EB"/>
    <w:rsid w:val="21916F90"/>
    <w:rsid w:val="21A95488"/>
    <w:rsid w:val="22314524"/>
    <w:rsid w:val="228C71CA"/>
    <w:rsid w:val="22DE11E6"/>
    <w:rsid w:val="249C6AFD"/>
    <w:rsid w:val="24C64B9D"/>
    <w:rsid w:val="254E2C71"/>
    <w:rsid w:val="25726F60"/>
    <w:rsid w:val="25951B90"/>
    <w:rsid w:val="25D450BA"/>
    <w:rsid w:val="26E116DC"/>
    <w:rsid w:val="2764537F"/>
    <w:rsid w:val="277B4CFD"/>
    <w:rsid w:val="28752B19"/>
    <w:rsid w:val="2876124D"/>
    <w:rsid w:val="28AA01F1"/>
    <w:rsid w:val="2A377783"/>
    <w:rsid w:val="2A6266E9"/>
    <w:rsid w:val="2A6C54A9"/>
    <w:rsid w:val="2A9F4192"/>
    <w:rsid w:val="2BB45953"/>
    <w:rsid w:val="2D1347F5"/>
    <w:rsid w:val="2D21664A"/>
    <w:rsid w:val="2D8B5BEE"/>
    <w:rsid w:val="2D943172"/>
    <w:rsid w:val="2E291DF3"/>
    <w:rsid w:val="2E433C51"/>
    <w:rsid w:val="2F203705"/>
    <w:rsid w:val="2F2902C9"/>
    <w:rsid w:val="2F34651F"/>
    <w:rsid w:val="2F425E94"/>
    <w:rsid w:val="2FB81F38"/>
    <w:rsid w:val="2FFE2912"/>
    <w:rsid w:val="30BC2EBC"/>
    <w:rsid w:val="30F046D4"/>
    <w:rsid w:val="31073B5C"/>
    <w:rsid w:val="31147CD6"/>
    <w:rsid w:val="31FF72AF"/>
    <w:rsid w:val="32781A64"/>
    <w:rsid w:val="32782FFB"/>
    <w:rsid w:val="32B86F81"/>
    <w:rsid w:val="33CC15C4"/>
    <w:rsid w:val="33E81F62"/>
    <w:rsid w:val="33FA3136"/>
    <w:rsid w:val="34B71EA5"/>
    <w:rsid w:val="34F20DA1"/>
    <w:rsid w:val="353577A9"/>
    <w:rsid w:val="357B0EFD"/>
    <w:rsid w:val="35CA2DB9"/>
    <w:rsid w:val="35F41D4F"/>
    <w:rsid w:val="361E7E3B"/>
    <w:rsid w:val="3621266D"/>
    <w:rsid w:val="364A72A3"/>
    <w:rsid w:val="36974B68"/>
    <w:rsid w:val="37134BC0"/>
    <w:rsid w:val="375C2773"/>
    <w:rsid w:val="384C47A3"/>
    <w:rsid w:val="38BF2D6C"/>
    <w:rsid w:val="39031BEB"/>
    <w:rsid w:val="39072F88"/>
    <w:rsid w:val="39483D57"/>
    <w:rsid w:val="394D7D0F"/>
    <w:rsid w:val="399E4DCC"/>
    <w:rsid w:val="39F8521F"/>
    <w:rsid w:val="39FE179F"/>
    <w:rsid w:val="3A2A0E15"/>
    <w:rsid w:val="3B3F2D85"/>
    <w:rsid w:val="3B5330E7"/>
    <w:rsid w:val="3BD85452"/>
    <w:rsid w:val="3BF6596E"/>
    <w:rsid w:val="3C125C3B"/>
    <w:rsid w:val="3CC86BE5"/>
    <w:rsid w:val="3CED6006"/>
    <w:rsid w:val="3D132062"/>
    <w:rsid w:val="3D83213E"/>
    <w:rsid w:val="3DDB4F84"/>
    <w:rsid w:val="3F033133"/>
    <w:rsid w:val="3F07560F"/>
    <w:rsid w:val="3F6D6B69"/>
    <w:rsid w:val="3F844337"/>
    <w:rsid w:val="3FD3744D"/>
    <w:rsid w:val="3FEF7ADA"/>
    <w:rsid w:val="40A83A07"/>
    <w:rsid w:val="416F41D1"/>
    <w:rsid w:val="41BA0644"/>
    <w:rsid w:val="41F05DAA"/>
    <w:rsid w:val="428A76BF"/>
    <w:rsid w:val="4388454E"/>
    <w:rsid w:val="438A277C"/>
    <w:rsid w:val="447C10F1"/>
    <w:rsid w:val="44E17C83"/>
    <w:rsid w:val="45C85E8B"/>
    <w:rsid w:val="46FD5BE1"/>
    <w:rsid w:val="47722D16"/>
    <w:rsid w:val="478E1DDE"/>
    <w:rsid w:val="47E56E6A"/>
    <w:rsid w:val="481923FF"/>
    <w:rsid w:val="48694D5A"/>
    <w:rsid w:val="48C25CA3"/>
    <w:rsid w:val="48E21409"/>
    <w:rsid w:val="48F53192"/>
    <w:rsid w:val="490579E7"/>
    <w:rsid w:val="49060209"/>
    <w:rsid w:val="493A417A"/>
    <w:rsid w:val="494F2FD1"/>
    <w:rsid w:val="497146B0"/>
    <w:rsid w:val="4A490D8F"/>
    <w:rsid w:val="4A5356BE"/>
    <w:rsid w:val="4AAC67E8"/>
    <w:rsid w:val="4AB26D7B"/>
    <w:rsid w:val="4AB9636A"/>
    <w:rsid w:val="4B315FE3"/>
    <w:rsid w:val="4B5323A8"/>
    <w:rsid w:val="4B693D86"/>
    <w:rsid w:val="4B8F40E0"/>
    <w:rsid w:val="4BC36005"/>
    <w:rsid w:val="4CA37BED"/>
    <w:rsid w:val="4CCE6154"/>
    <w:rsid w:val="4CD708C0"/>
    <w:rsid w:val="4D6B4742"/>
    <w:rsid w:val="4DE74B53"/>
    <w:rsid w:val="4E873EC5"/>
    <w:rsid w:val="4EEB4DAE"/>
    <w:rsid w:val="4F0F2B66"/>
    <w:rsid w:val="4F296C73"/>
    <w:rsid w:val="4F393240"/>
    <w:rsid w:val="4F3D252B"/>
    <w:rsid w:val="4F747F89"/>
    <w:rsid w:val="4FC85BCB"/>
    <w:rsid w:val="50331FAE"/>
    <w:rsid w:val="505A3052"/>
    <w:rsid w:val="506247ED"/>
    <w:rsid w:val="50BB1BCE"/>
    <w:rsid w:val="51044E66"/>
    <w:rsid w:val="5128622E"/>
    <w:rsid w:val="514725A2"/>
    <w:rsid w:val="51477AEC"/>
    <w:rsid w:val="51541FB9"/>
    <w:rsid w:val="51653541"/>
    <w:rsid w:val="51BA3918"/>
    <w:rsid w:val="52C837F5"/>
    <w:rsid w:val="52FB6FDA"/>
    <w:rsid w:val="533150FC"/>
    <w:rsid w:val="535459AE"/>
    <w:rsid w:val="53B23A34"/>
    <w:rsid w:val="541702E3"/>
    <w:rsid w:val="55794964"/>
    <w:rsid w:val="55A22FA6"/>
    <w:rsid w:val="55AE397F"/>
    <w:rsid w:val="55D026AD"/>
    <w:rsid w:val="56214ACF"/>
    <w:rsid w:val="56403B5B"/>
    <w:rsid w:val="567505FD"/>
    <w:rsid w:val="56820A81"/>
    <w:rsid w:val="56AA68E1"/>
    <w:rsid w:val="56D26193"/>
    <w:rsid w:val="574657AA"/>
    <w:rsid w:val="57B233A0"/>
    <w:rsid w:val="586B2478"/>
    <w:rsid w:val="58865E64"/>
    <w:rsid w:val="58C255AE"/>
    <w:rsid w:val="58DE6711"/>
    <w:rsid w:val="58F3136B"/>
    <w:rsid w:val="591E0F83"/>
    <w:rsid w:val="59737793"/>
    <w:rsid w:val="5A4D3BF6"/>
    <w:rsid w:val="5AA23482"/>
    <w:rsid w:val="5B512E4A"/>
    <w:rsid w:val="5B6B290C"/>
    <w:rsid w:val="5BA86985"/>
    <w:rsid w:val="5BC70423"/>
    <w:rsid w:val="5BE55FB8"/>
    <w:rsid w:val="5BFD4EC8"/>
    <w:rsid w:val="5C55335F"/>
    <w:rsid w:val="5C914C90"/>
    <w:rsid w:val="5CDD77D2"/>
    <w:rsid w:val="5D514298"/>
    <w:rsid w:val="5D622F2D"/>
    <w:rsid w:val="5DE52B43"/>
    <w:rsid w:val="5E114E4D"/>
    <w:rsid w:val="5E954ECC"/>
    <w:rsid w:val="5F2430A4"/>
    <w:rsid w:val="5F26263A"/>
    <w:rsid w:val="5F323616"/>
    <w:rsid w:val="5F762EF1"/>
    <w:rsid w:val="5FA72226"/>
    <w:rsid w:val="5FC6029B"/>
    <w:rsid w:val="5FF81F45"/>
    <w:rsid w:val="60003EDC"/>
    <w:rsid w:val="60405D44"/>
    <w:rsid w:val="604959AE"/>
    <w:rsid w:val="60E216EA"/>
    <w:rsid w:val="610D2545"/>
    <w:rsid w:val="613269C6"/>
    <w:rsid w:val="61371FA3"/>
    <w:rsid w:val="61600D4F"/>
    <w:rsid w:val="61C15C3A"/>
    <w:rsid w:val="62001EE2"/>
    <w:rsid w:val="620C6CE6"/>
    <w:rsid w:val="62867A17"/>
    <w:rsid w:val="632640B2"/>
    <w:rsid w:val="63273AB6"/>
    <w:rsid w:val="64477A04"/>
    <w:rsid w:val="64714C1E"/>
    <w:rsid w:val="64893CF5"/>
    <w:rsid w:val="64C212AC"/>
    <w:rsid w:val="655D4CEF"/>
    <w:rsid w:val="65BB756F"/>
    <w:rsid w:val="66027D44"/>
    <w:rsid w:val="66420C8D"/>
    <w:rsid w:val="66811333"/>
    <w:rsid w:val="67434ACE"/>
    <w:rsid w:val="675160F0"/>
    <w:rsid w:val="67873AE3"/>
    <w:rsid w:val="679E29E3"/>
    <w:rsid w:val="67B313A0"/>
    <w:rsid w:val="67C46DBD"/>
    <w:rsid w:val="68043A23"/>
    <w:rsid w:val="68087A20"/>
    <w:rsid w:val="68124293"/>
    <w:rsid w:val="6849284A"/>
    <w:rsid w:val="68A37534"/>
    <w:rsid w:val="68EB6BC6"/>
    <w:rsid w:val="69006315"/>
    <w:rsid w:val="69A02C99"/>
    <w:rsid w:val="69B2578A"/>
    <w:rsid w:val="6A3A745F"/>
    <w:rsid w:val="6A5326E7"/>
    <w:rsid w:val="6A7800D0"/>
    <w:rsid w:val="6A9476A7"/>
    <w:rsid w:val="6ABF53AC"/>
    <w:rsid w:val="6B740773"/>
    <w:rsid w:val="6BA96793"/>
    <w:rsid w:val="6BE47E9D"/>
    <w:rsid w:val="6C2D715B"/>
    <w:rsid w:val="6C396224"/>
    <w:rsid w:val="6CCC2F03"/>
    <w:rsid w:val="6D7C1A08"/>
    <w:rsid w:val="6D7E3DB9"/>
    <w:rsid w:val="6E394EAE"/>
    <w:rsid w:val="6EBC525F"/>
    <w:rsid w:val="6EED19D9"/>
    <w:rsid w:val="6EEE2197"/>
    <w:rsid w:val="6EEF7E4F"/>
    <w:rsid w:val="6F182E8D"/>
    <w:rsid w:val="6F2D12A0"/>
    <w:rsid w:val="705C77B2"/>
    <w:rsid w:val="70F03E4F"/>
    <w:rsid w:val="72BB566D"/>
    <w:rsid w:val="72FE0135"/>
    <w:rsid w:val="73021E25"/>
    <w:rsid w:val="733B0CC7"/>
    <w:rsid w:val="743533C3"/>
    <w:rsid w:val="74802BBE"/>
    <w:rsid w:val="75017925"/>
    <w:rsid w:val="7578797C"/>
    <w:rsid w:val="75BF5C57"/>
    <w:rsid w:val="75F82E5D"/>
    <w:rsid w:val="76287E23"/>
    <w:rsid w:val="76437394"/>
    <w:rsid w:val="76C86AA1"/>
    <w:rsid w:val="77082B49"/>
    <w:rsid w:val="7801310F"/>
    <w:rsid w:val="79A732D1"/>
    <w:rsid w:val="79BA4A36"/>
    <w:rsid w:val="7AD6416D"/>
    <w:rsid w:val="7B031093"/>
    <w:rsid w:val="7BCD7517"/>
    <w:rsid w:val="7BD503F6"/>
    <w:rsid w:val="7BE03058"/>
    <w:rsid w:val="7C0039D3"/>
    <w:rsid w:val="7C6C6D2C"/>
    <w:rsid w:val="7C7163B3"/>
    <w:rsid w:val="7D45640A"/>
    <w:rsid w:val="7DDD641C"/>
    <w:rsid w:val="7DE6504F"/>
    <w:rsid w:val="7DEC76CD"/>
    <w:rsid w:val="7F3E3C42"/>
    <w:rsid w:val="7F751639"/>
    <w:rsid w:val="7FA81C5A"/>
    <w:rsid w:val="7FE95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autoRedefine/>
    <w:qFormat/>
    <w:uiPriority w:val="0"/>
    <w:pPr>
      <w:spacing w:before="240" w:after="240"/>
      <w:outlineLvl w:val="2"/>
    </w:pPr>
    <w:rPr>
      <w:b/>
      <w:sz w:val="24"/>
    </w:rPr>
  </w:style>
  <w:style w:type="character" w:default="1" w:styleId="16">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jc w:val="center"/>
    </w:pPr>
    <w:rPr>
      <w:rFonts w:ascii="宋体" w:hAnsi="宋体"/>
      <w:color w:val="FF0000"/>
      <w:szCs w:val="24"/>
    </w:rPr>
  </w:style>
  <w:style w:type="paragraph" w:styleId="6">
    <w:name w:val="annotation text"/>
    <w:basedOn w:val="1"/>
    <w:autoRedefine/>
    <w:unhideWhenUsed/>
    <w:qFormat/>
    <w:uiPriority w:val="99"/>
    <w:pPr>
      <w:jc w:val="left"/>
    </w:pPr>
  </w:style>
  <w:style w:type="paragraph" w:styleId="7">
    <w:name w:val="Body Text Indent"/>
    <w:basedOn w:val="1"/>
    <w:autoRedefine/>
    <w:qFormat/>
    <w:uiPriority w:val="0"/>
    <w:pPr>
      <w:spacing w:line="360" w:lineRule="auto"/>
      <w:ind w:left="720" w:hanging="720" w:hangingChars="300"/>
    </w:pPr>
    <w:rPr>
      <w:sz w:val="24"/>
      <w:szCs w:val="20"/>
    </w:rPr>
  </w:style>
  <w:style w:type="paragraph" w:styleId="8">
    <w:name w:val="Plain Text"/>
    <w:basedOn w:val="1"/>
    <w:link w:val="22"/>
    <w:autoRedefine/>
    <w:qFormat/>
    <w:uiPriority w:val="0"/>
    <w:rPr>
      <w:rFonts w:ascii="宋体" w:hAnsi="Courier New" w:cs="Courier New"/>
      <w:szCs w:val="21"/>
    </w:rPr>
  </w:style>
  <w:style w:type="paragraph" w:styleId="9">
    <w:name w:val="Date"/>
    <w:basedOn w:val="1"/>
    <w:next w:val="1"/>
    <w:autoRedefine/>
    <w:qFormat/>
    <w:uiPriority w:val="0"/>
    <w:rPr>
      <w:szCs w:val="20"/>
    </w:rPr>
  </w:style>
  <w:style w:type="paragraph" w:styleId="10">
    <w:name w:val="footer"/>
    <w:basedOn w:val="1"/>
    <w:link w:val="26"/>
    <w:autoRedefine/>
    <w:qFormat/>
    <w:uiPriority w:val="99"/>
    <w:pPr>
      <w:tabs>
        <w:tab w:val="center" w:pos="4153"/>
        <w:tab w:val="right" w:pos="8306"/>
      </w:tabs>
      <w:snapToGrid w:val="0"/>
      <w:jc w:val="left"/>
    </w:pPr>
    <w:rPr>
      <w:sz w:val="18"/>
      <w:szCs w:val="18"/>
    </w:rPr>
  </w:style>
  <w:style w:type="paragraph" w:styleId="11">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kern w:val="0"/>
      <w:sz w:val="24"/>
      <w:szCs w:val="20"/>
    </w:rPr>
  </w:style>
  <w:style w:type="paragraph" w:styleId="13">
    <w:name w:val="Title"/>
    <w:basedOn w:val="1"/>
    <w:next w:val="1"/>
    <w:autoRedefine/>
    <w:qFormat/>
    <w:uiPriority w:val="0"/>
    <w:pPr>
      <w:spacing w:before="240" w:beforeLines="0" w:after="60" w:afterLines="0"/>
      <w:jc w:val="center"/>
      <w:outlineLvl w:val="0"/>
    </w:pPr>
    <w:rPr>
      <w:rFonts w:ascii="Arial" w:hAnsi="Arial" w:eastAsia="宋体" w:cs="Arial"/>
      <w:b/>
      <w:bCs/>
      <w:sz w:val="32"/>
      <w:szCs w:val="32"/>
    </w:rPr>
  </w:style>
  <w:style w:type="table" w:styleId="15">
    <w:name w:val="Table Grid"/>
    <w:basedOn w:val="14"/>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basedOn w:val="16"/>
    <w:autoRedefine/>
    <w:qFormat/>
    <w:uiPriority w:val="0"/>
    <w:rPr>
      <w:color w:val="0000FF"/>
      <w:u w:val="single"/>
    </w:rPr>
  </w:style>
  <w:style w:type="character" w:styleId="19">
    <w:name w:val="annotation reference"/>
    <w:autoRedefine/>
    <w:unhideWhenUsed/>
    <w:qFormat/>
    <w:uiPriority w:val="99"/>
    <w:rPr>
      <w:sz w:val="21"/>
      <w:szCs w:val="21"/>
    </w:rPr>
  </w:style>
  <w:style w:type="paragraph" w:customStyle="1" w:styleId="20">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1">
    <w:name w:val="标题 3 Char"/>
    <w:basedOn w:val="16"/>
    <w:link w:val="5"/>
    <w:autoRedefine/>
    <w:qFormat/>
    <w:uiPriority w:val="0"/>
    <w:rPr>
      <w:b/>
      <w:kern w:val="2"/>
      <w:sz w:val="24"/>
    </w:rPr>
  </w:style>
  <w:style w:type="character" w:customStyle="1" w:styleId="22">
    <w:name w:val="纯文本 Char"/>
    <w:basedOn w:val="16"/>
    <w:link w:val="8"/>
    <w:autoRedefine/>
    <w:qFormat/>
    <w:uiPriority w:val="0"/>
    <w:rPr>
      <w:rFonts w:ascii="宋体" w:hAnsi="Courier New" w:cs="Courier New"/>
      <w:kern w:val="2"/>
      <w:sz w:val="21"/>
      <w:szCs w:val="21"/>
    </w:rPr>
  </w:style>
  <w:style w:type="paragraph" w:customStyle="1" w:styleId="23">
    <w:name w:val="Char"/>
    <w:basedOn w:val="1"/>
    <w:autoRedefine/>
    <w:qFormat/>
    <w:uiPriority w:val="0"/>
    <w:rPr>
      <w:rFonts w:ascii="仿宋_GB2312" w:eastAsia="仿宋_GB2312"/>
      <w:b/>
      <w:sz w:val="32"/>
      <w:szCs w:val="32"/>
    </w:rPr>
  </w:style>
  <w:style w:type="paragraph" w:customStyle="1" w:styleId="24">
    <w:name w:val="样式 (西文) 宋体 行距: 1.5 倍行距"/>
    <w:basedOn w:val="1"/>
    <w:autoRedefine/>
    <w:qFormat/>
    <w:uiPriority w:val="0"/>
    <w:pPr>
      <w:spacing w:line="360" w:lineRule="auto"/>
    </w:pPr>
    <w:rPr>
      <w:rFonts w:ascii="宋体" w:hAnsi="宋体" w:cs="宋体"/>
    </w:rPr>
  </w:style>
  <w:style w:type="character" w:customStyle="1" w:styleId="25">
    <w:name w:val="页眉 Char"/>
    <w:basedOn w:val="16"/>
    <w:link w:val="11"/>
    <w:autoRedefine/>
    <w:qFormat/>
    <w:uiPriority w:val="0"/>
    <w:rPr>
      <w:kern w:val="2"/>
      <w:sz w:val="18"/>
      <w:szCs w:val="18"/>
    </w:rPr>
  </w:style>
  <w:style w:type="character" w:customStyle="1" w:styleId="26">
    <w:name w:val="页脚 Char"/>
    <w:basedOn w:val="16"/>
    <w:link w:val="10"/>
    <w:autoRedefine/>
    <w:qFormat/>
    <w:uiPriority w:val="99"/>
    <w:rPr>
      <w:kern w:val="2"/>
      <w:sz w:val="18"/>
      <w:szCs w:val="18"/>
    </w:rPr>
  </w:style>
  <w:style w:type="character" w:customStyle="1" w:styleId="27">
    <w:name w:val="标题 2 Char"/>
    <w:basedOn w:val="16"/>
    <w:link w:val="4"/>
    <w:autoRedefine/>
    <w:semiHidden/>
    <w:qFormat/>
    <w:uiPriority w:val="0"/>
    <w:rPr>
      <w:rFonts w:asciiTheme="majorHAnsi" w:hAnsiTheme="majorHAnsi" w:eastAsiaTheme="majorEastAsia" w:cstheme="majorBidi"/>
      <w:b/>
      <w:bCs/>
      <w:kern w:val="2"/>
      <w:sz w:val="32"/>
      <w:szCs w:val="32"/>
    </w:rPr>
  </w:style>
  <w:style w:type="paragraph" w:customStyle="1" w:styleId="28">
    <w:name w:val="List Paragraph"/>
    <w:basedOn w:val="1"/>
    <w:autoRedefine/>
    <w:qFormat/>
    <w:uiPriority w:val="34"/>
    <w:pPr>
      <w:ind w:firstLine="420" w:firstLineChars="200"/>
    </w:pPr>
    <w:rPr>
      <w:rFonts w:ascii="Calibri" w:hAnsi="Calibri"/>
      <w:szCs w:val="22"/>
    </w:rPr>
  </w:style>
  <w:style w:type="character" w:customStyle="1" w:styleId="29">
    <w:name w:val="标题 1 Char"/>
    <w:basedOn w:val="16"/>
    <w:link w:val="3"/>
    <w:autoRedefine/>
    <w:qFormat/>
    <w:uiPriority w:val="0"/>
    <w:rPr>
      <w:b/>
      <w:bCs/>
      <w:kern w:val="44"/>
      <w:sz w:val="44"/>
      <w:szCs w:val="44"/>
    </w:rPr>
  </w:style>
  <w:style w:type="paragraph" w:customStyle="1" w:styleId="30">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31">
    <w:name w:val="_Style 1"/>
    <w:basedOn w:val="1"/>
    <w:autoRedefine/>
    <w:qFormat/>
    <w:uiPriority w:val="34"/>
    <w:pPr>
      <w:ind w:firstLine="420" w:firstLineChars="200"/>
    </w:pPr>
  </w:style>
  <w:style w:type="paragraph" w:customStyle="1" w:styleId="32">
    <w:name w:val="样式3"/>
    <w:basedOn w:val="1"/>
    <w:autoRedefine/>
    <w:qFormat/>
    <w:uiPriority w:val="0"/>
    <w:pPr>
      <w:spacing w:line="0" w:lineRule="atLeast"/>
      <w:outlineLvl w:val="0"/>
    </w:pPr>
    <w:rPr>
      <w:rFonts w:ascii="宋体" w:hAnsi="Courier New"/>
      <w:sz w:val="28"/>
      <w:szCs w:val="24"/>
    </w:rPr>
  </w:style>
  <w:style w:type="paragraph" w:customStyle="1" w:styleId="33">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4">
    <w:name w:val="招标文件样式2"/>
    <w:basedOn w:val="1"/>
    <w:autoRedefine/>
    <w:qFormat/>
    <w:uiPriority w:val="99"/>
    <w:pPr>
      <w:jc w:val="center"/>
      <w:outlineLvl w:val="0"/>
    </w:pPr>
    <w:rPr>
      <w:rFonts w:ascii="宋体" w:hAnsi="宋体"/>
      <w:b/>
      <w:sz w:val="28"/>
      <w:szCs w:val="28"/>
    </w:rPr>
  </w:style>
  <w:style w:type="paragraph" w:customStyle="1" w:styleId="35">
    <w:name w:val="列出段落1"/>
    <w:basedOn w:val="1"/>
    <w:autoRedefine/>
    <w:qFormat/>
    <w:uiPriority w:val="99"/>
    <w:pPr>
      <w:ind w:firstLine="420" w:firstLineChars="200"/>
    </w:pPr>
  </w:style>
  <w:style w:type="paragraph" w:customStyle="1" w:styleId="36">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7">
    <w:name w:val="List Paragraph1"/>
    <w:basedOn w:val="1"/>
    <w:autoRedefine/>
    <w:qFormat/>
    <w:uiPriority w:val="99"/>
    <w:pPr>
      <w:ind w:firstLine="420" w:firstLineChars="200"/>
    </w:pPr>
  </w:style>
  <w:style w:type="paragraph" w:customStyle="1" w:styleId="38">
    <w:name w:val="msolistparagraph"/>
    <w:basedOn w:val="1"/>
    <w:autoRedefine/>
    <w:qFormat/>
    <w:uiPriority w:val="0"/>
    <w:pPr>
      <w:adjustRightInd w:val="0"/>
      <w:snapToGrid w:val="0"/>
      <w:ind w:firstLine="420" w:firstLineChars="200"/>
    </w:pPr>
    <w:rPr>
      <w:sz w:val="28"/>
      <w:szCs w:val="24"/>
    </w:rPr>
  </w:style>
  <w:style w:type="character" w:customStyle="1" w:styleId="39">
    <w:name w:val="font31"/>
    <w:basedOn w:val="16"/>
    <w:autoRedefine/>
    <w:qFormat/>
    <w:uiPriority w:val="0"/>
    <w:rPr>
      <w:rFonts w:hint="eastAsia" w:ascii="宋体" w:hAnsi="宋体" w:eastAsia="宋体" w:cs="Times New Roman"/>
      <w:color w:val="000000"/>
      <w:sz w:val="20"/>
      <w:szCs w:val="20"/>
      <w:u w:val="none"/>
    </w:rPr>
  </w:style>
  <w:style w:type="character" w:customStyle="1" w:styleId="40">
    <w:name w:val="font21"/>
    <w:basedOn w:val="16"/>
    <w:autoRedefine/>
    <w:qFormat/>
    <w:uiPriority w:val="0"/>
    <w:rPr>
      <w:rFonts w:hint="eastAsia" w:ascii="宋体" w:hAnsi="宋体" w:eastAsia="宋体" w:cs="宋体"/>
      <w:color w:val="000000"/>
      <w:sz w:val="18"/>
      <w:szCs w:val="18"/>
      <w:u w:val="none"/>
    </w:rPr>
  </w:style>
  <w:style w:type="paragraph" w:customStyle="1" w:styleId="41">
    <w:name w:val="Body text|1"/>
    <w:basedOn w:val="1"/>
    <w:autoRedefine/>
    <w:qFormat/>
    <w:uiPriority w:val="0"/>
    <w:pPr>
      <w:widowControl w:val="0"/>
      <w:shd w:val="clear" w:color="auto" w:fill="auto"/>
      <w:spacing w:line="444" w:lineRule="auto"/>
    </w:pPr>
    <w:rPr>
      <w:rFonts w:ascii="宋体" w:hAnsi="宋体" w:eastAsia="宋体" w:cs="宋体"/>
      <w:sz w:val="22"/>
      <w:szCs w:val="22"/>
      <w:u w:val="none"/>
      <w:shd w:val="clear" w:color="auto" w:fill="auto"/>
      <w:lang w:val="zh-TW" w:eastAsia="zh-TW" w:bidi="zh-TW"/>
    </w:rPr>
  </w:style>
  <w:style w:type="paragraph" w:customStyle="1" w:styleId="42">
    <w:name w:val="Body text|2"/>
    <w:basedOn w:val="1"/>
    <w:autoRedefine/>
    <w:qFormat/>
    <w:uiPriority w:val="0"/>
    <w:pPr>
      <w:widowControl w:val="0"/>
      <w:shd w:val="clear" w:color="auto" w:fill="auto"/>
      <w:spacing w:line="468" w:lineRule="exact"/>
      <w:ind w:left="180" w:hanging="180"/>
    </w:pPr>
    <w:rPr>
      <w:sz w:val="22"/>
      <w:szCs w:val="22"/>
      <w:u w:val="none"/>
      <w:shd w:val="clear" w:color="auto" w:fill="auto"/>
    </w:rPr>
  </w:style>
  <w:style w:type="paragraph" w:customStyle="1" w:styleId="43">
    <w:name w:val="Table Paragraph"/>
    <w:basedOn w:val="1"/>
    <w:autoRedefine/>
    <w:qFormat/>
    <w:uiPriority w:val="1"/>
    <w:pPr>
      <w:autoSpaceDE w:val="0"/>
      <w:autoSpaceDN w:val="0"/>
      <w:jc w:val="left"/>
    </w:pPr>
    <w:rPr>
      <w:rFonts w:ascii="黑体" w:hAnsi="黑体" w:eastAsia="黑体" w:cs="黑体"/>
      <w:kern w:val="0"/>
      <w:sz w:val="22"/>
      <w:szCs w:val="22"/>
      <w:lang w:val="zh-CN" w:bidi="zh-CN"/>
    </w:rPr>
  </w:style>
  <w:style w:type="paragraph" w:customStyle="1" w:styleId="44">
    <w:name w:val="（符号）三标题1.1"/>
    <w:basedOn w:val="1"/>
    <w:autoRedefine/>
    <w:qFormat/>
    <w:uiPriority w:val="0"/>
    <w:pPr>
      <w:numPr>
        <w:ilvl w:val="1"/>
        <w:numId w:val="1"/>
      </w:numPr>
      <w:spacing w:line="500" w:lineRule="exact"/>
    </w:pPr>
    <w:rPr>
      <w:rFonts w:ascii="宋体" w:hAnsi="宋体"/>
      <w:kern w:val="0"/>
      <w:sz w:val="24"/>
      <w:szCs w:val="20"/>
    </w:rPr>
  </w:style>
  <w:style w:type="paragraph" w:customStyle="1" w:styleId="45">
    <w:name w:val="(符号)三标题1.1"/>
    <w:basedOn w:val="1"/>
    <w:autoRedefine/>
    <w:qFormat/>
    <w:uiPriority w:val="0"/>
    <w:pPr>
      <w:numPr>
        <w:ilvl w:val="0"/>
        <w:numId w:val="2"/>
      </w:numPr>
      <w:spacing w:before="140" w:after="140" w:line="500" w:lineRule="exact"/>
      <w:outlineLvl w:val="2"/>
    </w:pPr>
    <w:rPr>
      <w:rFonts w:ascii="楷体_GB2312" w:hAnsi="宋体" w:eastAsia="楷体_GB2312"/>
      <w:b/>
      <w:sz w:val="28"/>
      <w:szCs w:val="20"/>
    </w:rPr>
  </w:style>
  <w:style w:type="character" w:customStyle="1" w:styleId="46">
    <w:name w:val="font51"/>
    <w:basedOn w:val="16"/>
    <w:autoRedefine/>
    <w:qFormat/>
    <w:uiPriority w:val="0"/>
    <w:rPr>
      <w:rFonts w:ascii="宋体" w:hAnsi="宋体" w:eastAsia="宋体" w:cs="宋体"/>
      <w:b/>
      <w:bCs/>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7286</Words>
  <Characters>7528</Characters>
  <Lines>48</Lines>
  <Paragraphs>13</Paragraphs>
  <TotalTime>111</TotalTime>
  <ScaleCrop>false</ScaleCrop>
  <LinksUpToDate>false</LinksUpToDate>
  <CharactersWithSpaces>8271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2017-09-05T08:05:00Z</cp:lastPrinted>
  <dcterms:modified xsi:type="dcterms:W3CDTF">2024-04-15T02:16:52Z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2A5DC0B52E264BDCA9D5C391384BACA0</vt:lpwstr>
  </property>
</Properties>
</file>