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参数表</w:t>
      </w:r>
    </w:p>
    <w:tbl>
      <w:tblPr>
        <w:tblStyle w:val="7"/>
        <w:tblW w:w="9654" w:type="dxa"/>
        <w:jc w:val="center"/>
        <w:tblBorders>
          <w:top w:val="single" w:color="3F3F3F" w:sz="4" w:space="0"/>
          <w:left w:val="single" w:color="3F3F3F" w:sz="4" w:space="0"/>
          <w:bottom w:val="single" w:color="3F3F3F" w:sz="4" w:space="0"/>
          <w:right w:val="single" w:color="3F3F3F" w:sz="4" w:space="0"/>
          <w:insideH w:val="single" w:color="3F3F3F" w:sz="4" w:space="0"/>
          <w:insideV w:val="single" w:color="3F3F3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38"/>
        <w:gridCol w:w="7856"/>
      </w:tblGrid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1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138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生物显微镜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1、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▲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光学系统：无限远光学矫正系统，齐焦距离必须为国际标准 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45mm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2、放大倍率：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 xml:space="preserve">40-1000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倍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3、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▲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载物台：钢丝传动，无齿条结构，尺寸为210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mm×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140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mm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，活动范围为 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 xml:space="preserve">X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轴向 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 xml:space="preserve">76mm×Y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轴向 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50mm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，双片标本夹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4、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调焦机构：载物台垂直运动由滚柱（齿条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小齿轮）机构导向，采用粗微同轴旋钮，粗调行程每一圈为40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mm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，总行程量为 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mm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，微调行程为每圈 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0.2mm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，具备粗调限位挡块和张力调整环 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5、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聚光镜：带有孔径光阑的阿贝聚光镜，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N.A.1.25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，带有蓝色滤色片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6、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▲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照明系统：内置 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 xml:space="preserve">LED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照明，内置透射光柯勒照明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7、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三目观察筒：视场数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≥2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，瞳距调节范围为 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53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-75mm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，铰链式 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8、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目镜：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10X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大视野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，视场数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≥2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9、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物镜转盘：与显微镜机身固定的 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孔物镜转盘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10、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▲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物镜：平场消色差物镜 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4X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N.A.≥0.1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）、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10X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N.A.≥0.25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）、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40X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N.A.≥0.65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）、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100X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N.A.≥1.25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） 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11、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防霉装置：在三目观察筒、目镜、物镜都做了防霉处理 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12、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所采用光学元件均为环保无铅玻璃 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13、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▲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同品牌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荧光摄像头 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 xml:space="preserve">500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万像素 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14、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接口 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 xml:space="preserve">0.5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倍专用接口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15、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▲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落射荧光光源：UV荧光光源，LED寿命 20000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小时以上，响应时间，纳秒级别，安全环保；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38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56" w:type="dxa"/>
            <w:tcBorders>
              <w:tl2br w:val="nil"/>
              <w:tr2bl w:val="nil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16、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lang w:bidi="ar"/>
              </w:rPr>
              <w:t>同品牌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荧光成像管理系统：▲V1.0专用软件，有软件著作权号 ，软件具备自动/手动一键白平衡，区域白平衡 ，实时测量分析，静态测量分析，反射率检测，计数功能，多通道荧光合成叠加；定制真菌图文报告软件，快速区域自动曝光控制，快速成像，图像后期处理，编辑，背景处理；1.25方便快捷的可视化图像库管理； 自由图文报告管理功能，可方便出具图文报告，并可根据需求自定义报告模板和界面布局。</w:t>
            </w:r>
          </w:p>
        </w:tc>
      </w:tr>
    </w:tbl>
    <w:p>
      <w:pPr>
        <w:pStyle w:val="2"/>
        <w:jc w:val="center"/>
        <w:rPr>
          <w:rFonts w:hint="eastAsia" w:ascii="黑体" w:hAnsi="黑体" w:eastAsia="黑体" w:cs="黑体"/>
          <w:kern w:val="0"/>
          <w:sz w:val="36"/>
          <w:szCs w:val="36"/>
        </w:rPr>
        <w:sectPr>
          <w:footerReference r:id="rId3" w:type="default"/>
          <w:pgSz w:w="11906" w:h="16838"/>
          <w:pgMar w:top="1440" w:right="1080" w:bottom="1440" w:left="10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pStyle w:val="2"/>
        <w:jc w:val="center"/>
        <w:rPr>
          <w:rFonts w:hint="eastAsia"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ascii="Segoe UI Symbol" w:hAnsi="Segoe UI Symbol" w:cs="Segoe UI Symbol"/>
          <w:b/>
          <w:bCs/>
          <w:color w:val="FF0000"/>
          <w:kern w:val="0"/>
          <w:sz w:val="28"/>
          <w:szCs w:val="28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728D8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75818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CC1577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34651D2"/>
    <w:rsid w:val="0F68143E"/>
    <w:rsid w:val="172B20AD"/>
    <w:rsid w:val="20527BD7"/>
    <w:rsid w:val="20C954FD"/>
    <w:rsid w:val="3A3C72BC"/>
    <w:rsid w:val="50E263BC"/>
    <w:rsid w:val="5FA9760C"/>
    <w:rsid w:val="6A9B3B94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2024-03-18T01:41:41Z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709EFAB57AC94540853EA329C44420CC_13</vt:lpwstr>
  </property>
</Properties>
</file>