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  <w:lang w:val="en-US" w:eastAsia="zh-CN"/>
        </w:rPr>
        <w:t>深圳市儿童医院</w:t>
      </w: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设备采购需求参数表</w:t>
      </w:r>
    </w:p>
    <w:tbl>
      <w:tblPr>
        <w:tblStyle w:val="7"/>
        <w:tblW w:w="995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932"/>
        <w:gridCol w:w="1806"/>
        <w:gridCol w:w="652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2738" w:type="dxa"/>
            <w:gridSpan w:val="2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652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8" w:type="dxa"/>
            <w:vMerge w:val="restart"/>
            <w:tcBorders>
              <w:top w:val="nil"/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　1</w:t>
            </w:r>
          </w:p>
        </w:tc>
        <w:tc>
          <w:tcPr>
            <w:tcW w:w="932" w:type="dxa"/>
            <w:vMerge w:val="restart"/>
            <w:tcBorders>
              <w:top w:val="nil"/>
              <w:left w:val="nil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  <w:lang w:val="en-US" w:eastAsia="zh-CN"/>
              </w:rPr>
              <w:t>研究级显微镜</w:t>
            </w:r>
          </w:p>
        </w:tc>
        <w:tc>
          <w:tcPr>
            <w:tcW w:w="1806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转换器</w:t>
            </w:r>
          </w:p>
        </w:tc>
        <w:tc>
          <w:tcPr>
            <w:tcW w:w="652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 xml:space="preserve"> 高精度智能编码物镜转盘，物镜转盘孔位≥6，带偏光\微分干涉扩展槽，便于升级用于肾穿结晶或病理淀粉样变、痛风等观察，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8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932" w:type="dxa"/>
            <w:vMerge w:val="continue"/>
            <w:tcBorders>
              <w:left w:val="nil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光学系统</w:t>
            </w:r>
          </w:p>
        </w:tc>
        <w:tc>
          <w:tcPr>
            <w:tcW w:w="6523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UIS2光学系统，齐焦距离为国际标准45mm。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8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932" w:type="dxa"/>
            <w:vMerge w:val="continue"/>
            <w:tcBorders>
              <w:left w:val="nil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载物台</w:t>
            </w:r>
          </w:p>
        </w:tc>
        <w:tc>
          <w:tcPr>
            <w:tcW w:w="652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 xml:space="preserve">高抗磨损性陶瓷涂层同轴载物台，钢丝传动确保精准性；配有左手或右手低位传输控制装置，可扩展人机工程学低位手柄；配有旋转机构以及扭矩调节机构，安装位置可旋转角度259度；双片标本夹，可同时放置两块玻片标本观察。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8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932" w:type="dxa"/>
            <w:vMerge w:val="continue"/>
            <w:tcBorders>
              <w:left w:val="nil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观察镜筒及目镜</w:t>
            </w:r>
          </w:p>
        </w:tc>
        <w:tc>
          <w:tcPr>
            <w:tcW w:w="652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观察镜筒：宽视野三目观察筒,视场数支持26.5mm；支持双眼观察及外接照相系统；屈光度可调;观察筒倾角30度,瞳间距调节范围50-76mm；三档分光，分光比为双目/摄像：100%/0、20%/80%、0/100%。</w:t>
            </w:r>
          </w:p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 xml:space="preserve">目镜：宽视野10X目镜两个，视场数22mm；均带屈光调焦较正环 。                                                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698" w:type="dxa"/>
            <w:vMerge w:val="continue"/>
            <w:tcBorders>
              <w:left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932" w:type="dxa"/>
            <w:vMerge w:val="continue"/>
            <w:tcBorders>
              <w:left w:val="nil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升级平台</w:t>
            </w:r>
          </w:p>
        </w:tc>
        <w:tc>
          <w:tcPr>
            <w:tcW w:w="6523" w:type="dxa"/>
            <w:tcBorders>
              <w:top w:val="nil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top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可升级8孔位荧光滤块转盘荧光系统以及暗视野、相差、DIC、偏光等观察,支持26人多人共览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698" w:type="dxa"/>
            <w:vMerge w:val="continue"/>
            <w:tcBorders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/>
                <w:color w:val="000000"/>
                <w:sz w:val="22"/>
              </w:rPr>
            </w:pPr>
          </w:p>
        </w:tc>
        <w:tc>
          <w:tcPr>
            <w:tcW w:w="932" w:type="dxa"/>
            <w:vMerge w:val="continue"/>
            <w:tcBorders>
              <w:left w:val="nil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等线" w:hAnsi="等线" w:eastAsia="等线"/>
                <w:color w:val="000000"/>
                <w:sz w:val="22"/>
              </w:rPr>
            </w:pPr>
          </w:p>
        </w:tc>
        <w:tc>
          <w:tcPr>
            <w:tcW w:w="8329" w:type="dxa"/>
            <w:gridSpan w:val="2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2"/>
              </w:rPr>
              <w:t>配置清单：</w:t>
            </w:r>
          </w:p>
          <w:p>
            <w:pPr>
              <w:widowControl/>
              <w:jc w:val="left"/>
              <w:rPr>
                <w:rFonts w:ascii="等线" w:hAnsi="等线" w:eastAsia="等线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/>
                <w:color w:val="000000"/>
                <w:sz w:val="22"/>
              </w:rPr>
              <w:t>显微镜镜体1台，三目镜筒1个，物镜10*、40*、100*各1个，宽视野目镜2个，高功率LED光源1个，多功能聚光镜1个</w:t>
            </w:r>
          </w:p>
        </w:tc>
      </w:tr>
    </w:tbl>
    <w:p>
      <w:pPr>
        <w:pStyle w:val="2"/>
        <w:jc w:val="center"/>
        <w:rPr>
          <w:rFonts w:hint="eastAsia" w:ascii="黑体" w:hAnsi="黑体" w:eastAsia="黑体" w:cs="黑体"/>
          <w:kern w:val="0"/>
          <w:sz w:val="36"/>
          <w:szCs w:val="36"/>
        </w:rPr>
      </w:pPr>
      <w:r>
        <w:rPr>
          <w:rFonts w:hint="eastAsia" w:ascii="黑体" w:hAnsi="黑体" w:eastAsia="黑体" w:cs="黑体"/>
          <w:kern w:val="0"/>
          <w:sz w:val="36"/>
          <w:szCs w:val="36"/>
        </w:rPr>
        <w:t>设备配套耗材试剂情况</w:t>
      </w: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</w:t>
      </w:r>
      <w:r>
        <w:rPr>
          <w:rFonts w:ascii="Segoe UI Symbol" w:hAnsi="Segoe UI Symbol" w:cs="Segoe UI Symbol"/>
          <w:b/>
          <w:bCs/>
          <w:color w:val="FF0000"/>
          <w:kern w:val="0"/>
          <w:sz w:val="28"/>
          <w:szCs w:val="28"/>
        </w:rPr>
        <w:t>☑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left"/>
        <w:textAlignment w:val="auto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</w:p>
    <w:tbl>
      <w:tblPr>
        <w:tblStyle w:val="7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</w:p>
        </w:tc>
      </w:tr>
    </w:tbl>
    <w:p>
      <w:pPr>
        <w:jc w:val="left"/>
        <w:rPr>
          <w:rFonts w:ascii="Times New Roman" w:hAnsi="Times New Roman"/>
          <w:szCs w:val="21"/>
        </w:rPr>
      </w:pPr>
    </w:p>
    <w:p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7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7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（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val="en-US" w:eastAsia="zh-CN"/>
              </w:rPr>
              <w:t>元</w:t>
            </w:r>
            <w:r>
              <w:rPr>
                <w:rFonts w:hint="eastAsia" w:ascii="仿宋_GB2312" w:hAnsi="Times New Roman" w:eastAsia="仿宋_GB2312"/>
                <w:b/>
                <w:sz w:val="24"/>
                <w:szCs w:val="21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</w:p>
        </w:tc>
      </w:tr>
    </w:tbl>
    <w:p>
      <w:pPr>
        <w:rPr>
          <w:rFonts w:ascii="微软雅黑" w:hAnsi="微软雅黑" w:eastAsia="微软雅黑" w:cs="宋体"/>
          <w:color w:val="3F3F3F"/>
          <w:kern w:val="0"/>
          <w:szCs w:val="21"/>
        </w:rPr>
      </w:pPr>
      <w:bookmarkStart w:id="0" w:name="_GoBack"/>
      <w:bookmarkEnd w:id="0"/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JkMzgyNzdjMGVjMjg3YjM2Y2VmYzc5MTcyMzBjZTUifQ=="/>
  </w:docVars>
  <w:rsids>
    <w:rsidRoot w:val="00180716"/>
    <w:rsid w:val="00031B84"/>
    <w:rsid w:val="00074AB2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1F1F70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4214E"/>
    <w:rsid w:val="0036311E"/>
    <w:rsid w:val="003938A4"/>
    <w:rsid w:val="003B5D40"/>
    <w:rsid w:val="003D4CEF"/>
    <w:rsid w:val="003E15A0"/>
    <w:rsid w:val="00416A4F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5C640B"/>
    <w:rsid w:val="005C69E6"/>
    <w:rsid w:val="006161EF"/>
    <w:rsid w:val="00627CBC"/>
    <w:rsid w:val="00667C4B"/>
    <w:rsid w:val="00696C5E"/>
    <w:rsid w:val="006B7040"/>
    <w:rsid w:val="006C1BAB"/>
    <w:rsid w:val="006C428C"/>
    <w:rsid w:val="006E318F"/>
    <w:rsid w:val="006F1FD9"/>
    <w:rsid w:val="0071790B"/>
    <w:rsid w:val="00735F7B"/>
    <w:rsid w:val="007610A6"/>
    <w:rsid w:val="00766032"/>
    <w:rsid w:val="00787AF2"/>
    <w:rsid w:val="00787C5D"/>
    <w:rsid w:val="00796E00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5B73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83FD1"/>
    <w:rsid w:val="00AA10B5"/>
    <w:rsid w:val="00AA2A2D"/>
    <w:rsid w:val="00AB3ABF"/>
    <w:rsid w:val="00AB43D9"/>
    <w:rsid w:val="00AB686E"/>
    <w:rsid w:val="00AF2364"/>
    <w:rsid w:val="00B02050"/>
    <w:rsid w:val="00B04F86"/>
    <w:rsid w:val="00B16C5C"/>
    <w:rsid w:val="00B36BC4"/>
    <w:rsid w:val="00B37A82"/>
    <w:rsid w:val="00BE5B4B"/>
    <w:rsid w:val="00C046E8"/>
    <w:rsid w:val="00C1416A"/>
    <w:rsid w:val="00C70023"/>
    <w:rsid w:val="00C70D64"/>
    <w:rsid w:val="00C717A1"/>
    <w:rsid w:val="00CA1F88"/>
    <w:rsid w:val="00CD1973"/>
    <w:rsid w:val="00CD3326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77E5C"/>
    <w:rsid w:val="00F84832"/>
    <w:rsid w:val="00FD02B5"/>
    <w:rsid w:val="00FD584F"/>
    <w:rsid w:val="200D3FBF"/>
    <w:rsid w:val="20527BD7"/>
    <w:rsid w:val="29EF3AB3"/>
    <w:rsid w:val="38A32080"/>
    <w:rsid w:val="5B7F5044"/>
    <w:rsid w:val="639C0A4B"/>
    <w:rsid w:val="69303984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unhideWhenUsed/>
    <w:uiPriority w:val="99"/>
    <w:pPr>
      <w:jc w:val="left"/>
    </w:pPr>
  </w:style>
  <w:style w:type="paragraph" w:styleId="4">
    <w:name w:val="Balloon Text"/>
    <w:basedOn w:val="1"/>
    <w:link w:val="13"/>
    <w:unhideWhenUsed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5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8">
    <w:name w:val="Table Grid"/>
    <w:basedOn w:val="7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unhideWhenUsed/>
    <w:qFormat/>
    <w:uiPriority w:val="99"/>
    <w:rPr>
      <w:sz w:val="21"/>
      <w:szCs w:val="21"/>
    </w:rPr>
  </w:style>
  <w:style w:type="character" w:customStyle="1" w:styleId="11">
    <w:name w:val="标题 1 字符"/>
    <w:link w:val="2"/>
    <w:uiPriority w:val="9"/>
    <w:rPr>
      <w:b/>
      <w:bCs/>
      <w:kern w:val="44"/>
      <w:sz w:val="44"/>
      <w:szCs w:val="44"/>
    </w:rPr>
  </w:style>
  <w:style w:type="character" w:customStyle="1" w:styleId="12">
    <w:name w:val="批注文字 字符"/>
    <w:link w:val="3"/>
    <w:autoRedefine/>
    <w:semiHidden/>
    <w:qFormat/>
    <w:uiPriority w:val="99"/>
    <w:rPr>
      <w:kern w:val="2"/>
      <w:sz w:val="21"/>
      <w:szCs w:val="22"/>
    </w:rPr>
  </w:style>
  <w:style w:type="character" w:customStyle="1" w:styleId="13">
    <w:name w:val="批注框文本 字符"/>
    <w:link w:val="4"/>
    <w:semiHidden/>
    <w:uiPriority w:val="99"/>
    <w:rPr>
      <w:kern w:val="2"/>
      <w:sz w:val="18"/>
      <w:szCs w:val="18"/>
    </w:rPr>
  </w:style>
  <w:style w:type="character" w:customStyle="1" w:styleId="14">
    <w:name w:val="页脚 字符"/>
    <w:link w:val="5"/>
    <w:uiPriority w:val="99"/>
    <w:rPr>
      <w:sz w:val="18"/>
      <w:szCs w:val="18"/>
    </w:rPr>
  </w:style>
  <w:style w:type="character" w:customStyle="1" w:styleId="15">
    <w:name w:val="页眉 字符"/>
    <w:link w:val="6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4</Pages>
  <Words>202</Words>
  <Characters>1154</Characters>
  <Lines>9</Lines>
  <Paragraphs>2</Paragraphs>
  <TotalTime>0</TotalTime>
  <ScaleCrop>false</ScaleCrop>
  <LinksUpToDate>false</LinksUpToDate>
  <CharactersWithSpaces>1354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2024-03-18T01:33:13Z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7AF292DC43D0499B8B12D1D844C9C613_13</vt:lpwstr>
  </property>
</Properties>
</file>