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3D925" w14:textId="77777777" w:rsidR="00F14A10" w:rsidRDefault="00C37BDD">
      <w:pPr>
        <w:pStyle w:val="1"/>
        <w:jc w:val="center"/>
        <w:rPr>
          <w:rFonts w:ascii="黑体" w:eastAsia="黑体" w:hAnsi="黑体" w:cs="黑体"/>
          <w:color w:val="3F3F3F"/>
          <w:kern w:val="0"/>
          <w:sz w:val="36"/>
          <w:szCs w:val="36"/>
        </w:rPr>
      </w:pPr>
      <w:r>
        <w:rPr>
          <w:rFonts w:ascii="黑体" w:eastAsia="黑体" w:hAnsi="黑体" w:cs="黑体" w:hint="eastAsia"/>
        </w:rPr>
        <w:t>深圳市儿童医院设备采购需求参数表</w:t>
      </w:r>
    </w:p>
    <w:tbl>
      <w:tblPr>
        <w:tblW w:w="9674" w:type="dxa"/>
        <w:jc w:val="center"/>
        <w:tblLook w:val="04A0" w:firstRow="1" w:lastRow="0" w:firstColumn="1" w:lastColumn="0" w:noHBand="0" w:noVBand="1"/>
      </w:tblPr>
      <w:tblGrid>
        <w:gridCol w:w="737"/>
        <w:gridCol w:w="1385"/>
        <w:gridCol w:w="7552"/>
      </w:tblGrid>
      <w:tr w:rsidR="00F14A10" w14:paraId="0BD3D929" w14:textId="77777777" w:rsidTr="00C37BDD">
        <w:trPr>
          <w:trHeight w:val="56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D3D926" w14:textId="77777777" w:rsidR="00F14A10" w:rsidRDefault="00C37BDD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385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BD3D927" w14:textId="77777777" w:rsidR="00F14A10" w:rsidRDefault="00C37BDD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55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BD3D928" w14:textId="77777777" w:rsidR="00F14A10" w:rsidRDefault="00C37BDD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F14A10" w14:paraId="0BD3D92E" w14:textId="77777777" w:rsidTr="00C37BDD">
        <w:trPr>
          <w:trHeight w:val="645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BD3D92A" w14:textId="77777777" w:rsidR="00F14A10" w:rsidRDefault="00C37BDD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Cs w:val="21"/>
              </w:rPr>
              <w:t>1</w:t>
            </w:r>
          </w:p>
        </w:tc>
        <w:tc>
          <w:tcPr>
            <w:tcW w:w="1385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BD3D92B" w14:textId="77777777" w:rsidR="00F14A10" w:rsidRDefault="00C37BDD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成品分拣机</w:t>
            </w:r>
          </w:p>
        </w:tc>
        <w:tc>
          <w:tcPr>
            <w:tcW w:w="755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BD3D92C" w14:textId="77777777" w:rsidR="00F14A10" w:rsidRDefault="00C37BDD">
            <w:pPr>
              <w:widowControl/>
              <w:numPr>
                <w:ilvl w:val="0"/>
                <w:numId w:val="1"/>
              </w:numPr>
              <w:spacing w:line="288" w:lineRule="auto"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</w:pP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基本要求：采用全自动旋转机械手传输输液放入药框，避免传统机构式的分拣机在推拉输液袋时产生的水袋卡住，</w:t>
            </w:r>
            <w:proofErr w:type="gramStart"/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刮蹭等</w:t>
            </w:r>
            <w:proofErr w:type="gramEnd"/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问题，杜绝输液袋丢失、破损，将成品输液自动分拣至各个病区（</w:t>
            </w:r>
            <w:r>
              <w:rPr>
                <w:rStyle w:val="font21"/>
                <w:sz w:val="22"/>
                <w:szCs w:val="22"/>
                <w:lang w:bidi="ar"/>
              </w:rPr>
              <w:t>≥30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个病区的需求）。</w:t>
            </w:r>
            <w:r>
              <w:rPr>
                <w:rStyle w:val="font21"/>
                <w:sz w:val="22"/>
                <w:szCs w:val="22"/>
                <w:lang w:bidi="ar"/>
              </w:rPr>
              <w:br/>
              <w:t>2</w:t>
            </w:r>
            <w:r>
              <w:rPr>
                <w:rStyle w:val="font21"/>
                <w:rFonts w:hint="eastAsia"/>
                <w:sz w:val="22"/>
                <w:szCs w:val="22"/>
                <w:lang w:bidi="ar"/>
              </w:rPr>
              <w:t xml:space="preserve">. 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设备配置</w:t>
            </w:r>
            <w:r>
              <w:rPr>
                <w:rStyle w:val="font21"/>
                <w:sz w:val="22"/>
                <w:szCs w:val="22"/>
                <w:lang w:bidi="ar"/>
              </w:rPr>
              <w:t>：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整套设备装置至少集成包含如下单元：</w:t>
            </w:r>
            <w:r>
              <w:rPr>
                <w:rStyle w:val="font21"/>
                <w:sz w:val="22"/>
                <w:szCs w:val="22"/>
                <w:lang w:bidi="ar"/>
              </w:rPr>
              <w:t xml:space="preserve"> 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操作控制台、控制系统、全自动旋转机械手、智能分拣传输带、智能分拣箱，内置扫描识别系统。</w:t>
            </w:r>
            <w:r>
              <w:rPr>
                <w:rStyle w:val="font21"/>
                <w:sz w:val="22"/>
                <w:szCs w:val="22"/>
                <w:lang w:bidi="ar"/>
              </w:rPr>
              <w:br/>
            </w:r>
            <w:r>
              <w:rPr>
                <w:rStyle w:val="font21"/>
                <w:rFonts w:hint="eastAsia"/>
                <w:sz w:val="22"/>
                <w:szCs w:val="22"/>
                <w:lang w:bidi="ar"/>
              </w:rPr>
              <w:t xml:space="preserve">3. 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连接方式</w:t>
            </w:r>
            <w:r>
              <w:rPr>
                <w:rStyle w:val="font21"/>
                <w:sz w:val="22"/>
                <w:szCs w:val="22"/>
                <w:lang w:bidi="ar"/>
              </w:rPr>
              <w:t>：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控制软件可与医院</w:t>
            </w:r>
            <w:r>
              <w:rPr>
                <w:rStyle w:val="font21"/>
                <w:sz w:val="22"/>
                <w:szCs w:val="22"/>
                <w:lang w:bidi="ar"/>
              </w:rPr>
              <w:t>PIVAS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管理软件实现无缝连接，按照处方信息发放药品。</w:t>
            </w:r>
            <w:r>
              <w:rPr>
                <w:rStyle w:val="font21"/>
                <w:sz w:val="22"/>
                <w:szCs w:val="22"/>
                <w:lang w:bidi="ar"/>
              </w:rPr>
              <w:br/>
            </w:r>
            <w:r>
              <w:rPr>
                <w:rStyle w:val="font21"/>
                <w:rFonts w:hint="eastAsia"/>
                <w:sz w:val="22"/>
                <w:szCs w:val="22"/>
                <w:lang w:bidi="ar"/>
              </w:rPr>
              <w:t xml:space="preserve">4. 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自动计数监控</w:t>
            </w:r>
            <w:r>
              <w:rPr>
                <w:rStyle w:val="font21"/>
                <w:sz w:val="22"/>
                <w:szCs w:val="22"/>
                <w:lang w:bidi="ar"/>
              </w:rPr>
              <w:t>：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输液成品分拣时，系统自动监控，在屏幕上显示分拣成品的数量。</w:t>
            </w:r>
            <w:r>
              <w:rPr>
                <w:rStyle w:val="font21"/>
                <w:sz w:val="22"/>
                <w:szCs w:val="22"/>
                <w:lang w:bidi="ar"/>
              </w:rPr>
              <w:br/>
            </w:r>
            <w:r>
              <w:rPr>
                <w:rStyle w:val="font21"/>
                <w:rFonts w:hint="eastAsia"/>
                <w:sz w:val="22"/>
                <w:szCs w:val="22"/>
                <w:lang w:bidi="ar"/>
              </w:rPr>
              <w:t xml:space="preserve">5. 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满筐提示功能</w:t>
            </w:r>
            <w:r>
              <w:rPr>
                <w:rStyle w:val="font21"/>
                <w:sz w:val="22"/>
                <w:szCs w:val="22"/>
                <w:lang w:bidi="ar"/>
              </w:rPr>
              <w:t>：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软件具有定量定容功能，分拣数量达到设定值后，设备自动停止运行，并通过语音、触摸显示屏提醒工作人员，避免输液袋堆积、落地等现象发生。</w:t>
            </w:r>
            <w:r>
              <w:rPr>
                <w:rStyle w:val="font21"/>
                <w:sz w:val="22"/>
                <w:szCs w:val="22"/>
                <w:lang w:bidi="ar"/>
              </w:rPr>
              <w:br/>
            </w:r>
            <w:r>
              <w:rPr>
                <w:rStyle w:val="font21"/>
                <w:rFonts w:hint="eastAsia"/>
                <w:sz w:val="22"/>
                <w:szCs w:val="22"/>
                <w:lang w:bidi="ar"/>
              </w:rPr>
              <w:t xml:space="preserve">6. 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设备架构</w:t>
            </w:r>
            <w:r>
              <w:rPr>
                <w:rStyle w:val="font21"/>
                <w:sz w:val="22"/>
                <w:szCs w:val="22"/>
                <w:lang w:bidi="ar"/>
              </w:rPr>
              <w:t>：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圆周桶型结构，需要上下两层收集结构，方便收纳。</w:t>
            </w:r>
            <w:r>
              <w:rPr>
                <w:rStyle w:val="font21"/>
                <w:sz w:val="22"/>
                <w:szCs w:val="22"/>
                <w:lang w:bidi="ar"/>
              </w:rPr>
              <w:br/>
            </w:r>
            <w:r>
              <w:rPr>
                <w:rStyle w:val="font21"/>
                <w:rFonts w:hint="eastAsia"/>
                <w:sz w:val="22"/>
                <w:szCs w:val="22"/>
                <w:lang w:bidi="ar"/>
              </w:rPr>
              <w:t xml:space="preserve">7. 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分拣速度</w:t>
            </w:r>
            <w:r>
              <w:rPr>
                <w:rStyle w:val="font21"/>
                <w:sz w:val="22"/>
                <w:szCs w:val="22"/>
                <w:lang w:bidi="ar"/>
              </w:rPr>
              <w:t>：</w:t>
            </w:r>
            <w:r>
              <w:rPr>
                <w:rStyle w:val="font21"/>
                <w:sz w:val="22"/>
                <w:szCs w:val="22"/>
                <w:lang w:bidi="ar"/>
              </w:rPr>
              <w:t>2200-2500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袋</w:t>
            </w:r>
            <w:r>
              <w:rPr>
                <w:rStyle w:val="font21"/>
                <w:sz w:val="22"/>
                <w:szCs w:val="22"/>
                <w:lang w:bidi="ar"/>
              </w:rPr>
              <w:t>/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小时。</w:t>
            </w:r>
            <w:r>
              <w:rPr>
                <w:rStyle w:val="font21"/>
                <w:sz w:val="22"/>
                <w:szCs w:val="22"/>
                <w:lang w:bidi="ar"/>
              </w:rPr>
              <w:br/>
            </w:r>
            <w:r>
              <w:rPr>
                <w:rStyle w:val="font21"/>
                <w:rFonts w:hint="eastAsia"/>
                <w:sz w:val="22"/>
                <w:szCs w:val="22"/>
                <w:lang w:bidi="ar"/>
              </w:rPr>
              <w:t xml:space="preserve">8. 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分拣方式</w:t>
            </w:r>
            <w:r>
              <w:rPr>
                <w:rStyle w:val="font21"/>
                <w:sz w:val="22"/>
                <w:szCs w:val="22"/>
                <w:lang w:bidi="ar"/>
              </w:rPr>
              <w:t>：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采用光电检测，旋转式机械手分拣方式。</w:t>
            </w:r>
          </w:p>
          <w:p w14:paraId="0BD3D92D" w14:textId="77777777" w:rsidR="00F14A10" w:rsidRDefault="00C37BDD">
            <w:pPr>
              <w:widowControl/>
              <w:numPr>
                <w:ilvl w:val="0"/>
                <w:numId w:val="2"/>
              </w:numPr>
              <w:spacing w:line="288" w:lineRule="auto"/>
              <w:jc w:val="left"/>
              <w:textAlignment w:val="center"/>
              <w:rPr>
                <w:rStyle w:val="font31"/>
                <w:rFonts w:hint="default"/>
                <w:sz w:val="21"/>
                <w:szCs w:val="21"/>
                <w:lang w:bidi="ar"/>
              </w:rPr>
            </w:pP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接到报修电话后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12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小时内响应，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24</w:t>
            </w:r>
            <w:r>
              <w:rPr>
                <w:rStyle w:val="font31"/>
                <w:rFonts w:ascii="Times New Roman" w:hAnsi="Times New Roman" w:cs="Times New Roman" w:hint="default"/>
                <w:sz w:val="22"/>
                <w:szCs w:val="22"/>
                <w:lang w:bidi="ar"/>
              </w:rPr>
              <w:t>小时内上门。</w:t>
            </w:r>
          </w:p>
        </w:tc>
      </w:tr>
    </w:tbl>
    <w:p w14:paraId="0BD3D92F" w14:textId="77777777" w:rsidR="00F14A10" w:rsidRDefault="00F14A10">
      <w:pPr>
        <w:rPr>
          <w:rFonts w:ascii="黑体" w:eastAsia="黑体" w:hAnsi="黑体" w:cs="黑体"/>
          <w:b/>
          <w:bCs/>
          <w:color w:val="3F3F3F"/>
          <w:kern w:val="0"/>
          <w:sz w:val="36"/>
          <w:szCs w:val="36"/>
        </w:rPr>
      </w:pPr>
    </w:p>
    <w:p w14:paraId="6B5083C7" w14:textId="77777777" w:rsidR="00C37BDD" w:rsidRDefault="00C37BDD">
      <w:pPr>
        <w:rPr>
          <w:rFonts w:ascii="黑体" w:eastAsia="黑体" w:hAnsi="黑体" w:cs="黑体"/>
          <w:b/>
          <w:bCs/>
          <w:color w:val="3F3F3F"/>
          <w:kern w:val="0"/>
          <w:sz w:val="36"/>
          <w:szCs w:val="36"/>
        </w:rPr>
      </w:pPr>
    </w:p>
    <w:p w14:paraId="42219D68" w14:textId="77777777" w:rsidR="00C37BDD" w:rsidRDefault="00C37BDD">
      <w:pPr>
        <w:rPr>
          <w:rFonts w:ascii="黑体" w:eastAsia="黑体" w:hAnsi="黑体" w:cs="黑体"/>
          <w:b/>
          <w:bCs/>
          <w:color w:val="3F3F3F"/>
          <w:kern w:val="0"/>
          <w:sz w:val="36"/>
          <w:szCs w:val="36"/>
        </w:rPr>
      </w:pPr>
    </w:p>
    <w:p w14:paraId="0A7FFD1F" w14:textId="77777777" w:rsidR="00C37BDD" w:rsidRDefault="00C37BDD">
      <w:pPr>
        <w:rPr>
          <w:rFonts w:ascii="黑体" w:eastAsia="黑体" w:hAnsi="黑体" w:cs="黑体"/>
          <w:b/>
          <w:bCs/>
          <w:color w:val="3F3F3F"/>
          <w:kern w:val="0"/>
          <w:sz w:val="36"/>
          <w:szCs w:val="36"/>
        </w:rPr>
      </w:pPr>
    </w:p>
    <w:p w14:paraId="04900D08" w14:textId="77777777" w:rsidR="00C37BDD" w:rsidRDefault="00C37BDD">
      <w:pPr>
        <w:rPr>
          <w:rFonts w:ascii="黑体" w:eastAsia="黑体" w:hAnsi="黑体" w:cs="黑体"/>
          <w:b/>
          <w:bCs/>
          <w:color w:val="3F3F3F"/>
          <w:kern w:val="0"/>
          <w:sz w:val="36"/>
          <w:szCs w:val="36"/>
        </w:rPr>
      </w:pPr>
    </w:p>
    <w:p w14:paraId="21B73C00" w14:textId="77777777" w:rsidR="00C37BDD" w:rsidRDefault="00C37BDD">
      <w:pPr>
        <w:rPr>
          <w:rFonts w:ascii="黑体" w:eastAsia="黑体" w:hAnsi="黑体" w:cs="黑体"/>
          <w:b/>
          <w:bCs/>
          <w:color w:val="3F3F3F"/>
          <w:kern w:val="0"/>
          <w:sz w:val="36"/>
          <w:szCs w:val="36"/>
        </w:rPr>
      </w:pPr>
    </w:p>
    <w:p w14:paraId="561EF57D" w14:textId="77777777" w:rsidR="00C37BDD" w:rsidRDefault="00C37BDD">
      <w:pPr>
        <w:rPr>
          <w:rFonts w:ascii="黑体" w:eastAsia="黑体" w:hAnsi="黑体" w:cs="黑体"/>
          <w:b/>
          <w:bCs/>
          <w:color w:val="3F3F3F"/>
          <w:kern w:val="0"/>
          <w:sz w:val="36"/>
          <w:szCs w:val="36"/>
        </w:rPr>
      </w:pPr>
    </w:p>
    <w:p w14:paraId="6E3834BE" w14:textId="77777777" w:rsidR="00C37BDD" w:rsidRDefault="00C37BDD">
      <w:pPr>
        <w:rPr>
          <w:rFonts w:ascii="黑体" w:eastAsia="黑体" w:hAnsi="黑体" w:cs="黑体"/>
          <w:b/>
          <w:bCs/>
          <w:color w:val="3F3F3F"/>
          <w:kern w:val="0"/>
          <w:sz w:val="36"/>
          <w:szCs w:val="36"/>
        </w:rPr>
      </w:pPr>
    </w:p>
    <w:p w14:paraId="74886E18" w14:textId="77777777" w:rsidR="00C37BDD" w:rsidRPr="00C37BDD" w:rsidRDefault="00C37BDD">
      <w:pPr>
        <w:rPr>
          <w:rFonts w:ascii="黑体" w:eastAsia="黑体" w:hAnsi="黑体" w:cs="黑体" w:hint="eastAsia"/>
          <w:b/>
          <w:bCs/>
          <w:color w:val="3F3F3F"/>
          <w:kern w:val="0"/>
          <w:sz w:val="36"/>
          <w:szCs w:val="36"/>
        </w:rPr>
      </w:pPr>
    </w:p>
    <w:p w14:paraId="0BD3D930" w14:textId="77777777" w:rsidR="00F14A10" w:rsidRDefault="00C37BDD">
      <w:pPr>
        <w:pStyle w:val="2"/>
        <w:jc w:val="center"/>
        <w:rPr>
          <w:szCs w:val="32"/>
        </w:rPr>
      </w:pPr>
      <w:r>
        <w:rPr>
          <w:rFonts w:hint="eastAsia"/>
          <w:szCs w:val="32"/>
        </w:rPr>
        <w:lastRenderedPageBreak/>
        <w:t>设备配套耗材试剂情况</w:t>
      </w:r>
    </w:p>
    <w:p w14:paraId="0BD3D931" w14:textId="77777777" w:rsidR="00F14A10" w:rsidRDefault="00C37BDD">
      <w:pPr>
        <w:spacing w:afterLines="50" w:after="156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配套耗材或试剂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（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开放□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专用□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无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☑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）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</w:p>
    <w:p w14:paraId="0BD3D932" w14:textId="77777777" w:rsidR="00F14A10" w:rsidRDefault="00C37BDD">
      <w:pPr>
        <w:spacing w:afterLines="50" w:after="156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0" w:type="auto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"/>
        <w:gridCol w:w="4899"/>
        <w:gridCol w:w="1985"/>
        <w:gridCol w:w="2126"/>
      </w:tblGrid>
      <w:tr w:rsidR="00F14A10" w14:paraId="0BD3D937" w14:textId="77777777">
        <w:trPr>
          <w:trHeight w:val="567"/>
        </w:trPr>
        <w:tc>
          <w:tcPr>
            <w:tcW w:w="745" w:type="dxa"/>
            <w:vAlign w:val="center"/>
          </w:tcPr>
          <w:p w14:paraId="0BD3D933" w14:textId="77777777" w:rsidR="00F14A10" w:rsidRDefault="00C37BDD">
            <w:pPr>
              <w:jc w:val="center"/>
              <w:rPr>
                <w:rFonts w:ascii="仿宋_GB2312" w:eastAsia="仿宋_GB2312" w:hAnsi="Times New Roman"/>
                <w:b/>
                <w:sz w:val="22"/>
              </w:rPr>
            </w:pPr>
            <w:r>
              <w:rPr>
                <w:rFonts w:ascii="宋体" w:hAnsi="宋体" w:cs="宋体" w:hint="eastAsia"/>
                <w:b/>
                <w:sz w:val="22"/>
              </w:rPr>
              <w:t>序号</w:t>
            </w:r>
          </w:p>
        </w:tc>
        <w:tc>
          <w:tcPr>
            <w:tcW w:w="4899" w:type="dxa"/>
            <w:vAlign w:val="center"/>
          </w:tcPr>
          <w:p w14:paraId="0BD3D934" w14:textId="77777777" w:rsidR="00F14A10" w:rsidRDefault="00C37BDD">
            <w:pPr>
              <w:jc w:val="center"/>
              <w:rPr>
                <w:rFonts w:ascii="仿宋_GB2312" w:eastAsia="仿宋_GB2312" w:hAnsi="Times New Roman"/>
                <w:b/>
                <w:sz w:val="22"/>
              </w:rPr>
            </w:pPr>
            <w:r>
              <w:rPr>
                <w:rFonts w:ascii="宋体" w:hAnsi="宋体" w:cs="宋体" w:hint="eastAsia"/>
                <w:b/>
                <w:sz w:val="22"/>
              </w:rPr>
              <w:t>名称</w:t>
            </w:r>
          </w:p>
        </w:tc>
        <w:tc>
          <w:tcPr>
            <w:tcW w:w="1985" w:type="dxa"/>
            <w:vAlign w:val="center"/>
          </w:tcPr>
          <w:p w14:paraId="0BD3D935" w14:textId="77777777" w:rsidR="00F14A10" w:rsidRDefault="00C37BDD">
            <w:pPr>
              <w:jc w:val="center"/>
              <w:rPr>
                <w:rFonts w:ascii="宋体" w:hAnsi="宋体" w:cs="宋体"/>
                <w:b/>
                <w:sz w:val="22"/>
              </w:rPr>
            </w:pPr>
            <w:r>
              <w:rPr>
                <w:rFonts w:ascii="宋体" w:hAnsi="宋体" w:cs="宋体" w:hint="eastAsia"/>
                <w:b/>
                <w:sz w:val="22"/>
              </w:rPr>
              <w:t>单位</w:t>
            </w:r>
          </w:p>
        </w:tc>
        <w:tc>
          <w:tcPr>
            <w:tcW w:w="2126" w:type="dxa"/>
            <w:vAlign w:val="center"/>
          </w:tcPr>
          <w:p w14:paraId="0BD3D936" w14:textId="77777777" w:rsidR="00F14A10" w:rsidRDefault="00C37BDD">
            <w:pPr>
              <w:jc w:val="center"/>
              <w:rPr>
                <w:rFonts w:ascii="宋体" w:hAnsi="宋体" w:cs="宋体"/>
                <w:b/>
                <w:sz w:val="22"/>
              </w:rPr>
            </w:pPr>
            <w:r>
              <w:rPr>
                <w:rFonts w:ascii="宋体" w:hAnsi="宋体" w:cs="宋体" w:hint="eastAsia"/>
                <w:b/>
                <w:sz w:val="22"/>
              </w:rPr>
              <w:t>预算单价（元）</w:t>
            </w:r>
          </w:p>
        </w:tc>
      </w:tr>
      <w:tr w:rsidR="00F14A10" w14:paraId="0BD3D93C" w14:textId="77777777">
        <w:trPr>
          <w:trHeight w:val="567"/>
        </w:trPr>
        <w:tc>
          <w:tcPr>
            <w:tcW w:w="745" w:type="dxa"/>
            <w:vAlign w:val="center"/>
          </w:tcPr>
          <w:p w14:paraId="0BD3D938" w14:textId="77777777" w:rsidR="00F14A10" w:rsidRDefault="00C37BDD">
            <w:pPr>
              <w:jc w:val="center"/>
              <w:rPr>
                <w:rFonts w:ascii="宋体" w:hAnsi="宋体" w:cs="宋体"/>
                <w:b/>
                <w:sz w:val="22"/>
              </w:rPr>
            </w:pPr>
            <w:r>
              <w:rPr>
                <w:rFonts w:ascii="宋体" w:hAnsi="宋体" w:cs="宋体" w:hint="eastAsia"/>
                <w:b/>
                <w:sz w:val="22"/>
              </w:rPr>
              <w:t>1</w:t>
            </w:r>
          </w:p>
        </w:tc>
        <w:tc>
          <w:tcPr>
            <w:tcW w:w="4899" w:type="dxa"/>
            <w:vAlign w:val="center"/>
          </w:tcPr>
          <w:p w14:paraId="0BD3D939" w14:textId="77777777" w:rsidR="00F14A10" w:rsidRDefault="00F14A10">
            <w:pPr>
              <w:jc w:val="center"/>
              <w:rPr>
                <w:rFonts w:ascii="仿宋_GB2312" w:eastAsia="仿宋_GB2312" w:hAnsi="Times New Roman"/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0BD3D93A" w14:textId="77777777" w:rsidR="00F14A10" w:rsidRDefault="00F14A10">
            <w:pPr>
              <w:jc w:val="center"/>
              <w:rPr>
                <w:rFonts w:ascii="仿宋_GB2312" w:eastAsia="仿宋_GB2312" w:hAnsi="Times New Roman"/>
                <w:b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0BD3D93B" w14:textId="77777777" w:rsidR="00F14A10" w:rsidRDefault="00F14A10">
            <w:pPr>
              <w:jc w:val="center"/>
              <w:rPr>
                <w:rFonts w:ascii="仿宋_GB2312" w:eastAsia="仿宋_GB2312" w:hAnsi="Times New Roman"/>
                <w:b/>
                <w:sz w:val="22"/>
              </w:rPr>
            </w:pPr>
          </w:p>
        </w:tc>
      </w:tr>
      <w:tr w:rsidR="00F14A10" w14:paraId="0BD3D941" w14:textId="77777777">
        <w:trPr>
          <w:trHeight w:val="567"/>
        </w:trPr>
        <w:tc>
          <w:tcPr>
            <w:tcW w:w="745" w:type="dxa"/>
            <w:vAlign w:val="center"/>
          </w:tcPr>
          <w:p w14:paraId="0BD3D93D" w14:textId="77777777" w:rsidR="00F14A10" w:rsidRDefault="00C37BDD">
            <w:pPr>
              <w:jc w:val="center"/>
              <w:rPr>
                <w:rFonts w:ascii="宋体" w:hAnsi="宋体" w:cs="宋体"/>
                <w:b/>
                <w:sz w:val="22"/>
              </w:rPr>
            </w:pPr>
            <w:r>
              <w:rPr>
                <w:rFonts w:ascii="宋体" w:hAnsi="宋体" w:cs="宋体" w:hint="eastAsia"/>
                <w:b/>
                <w:sz w:val="22"/>
              </w:rPr>
              <w:t>2</w:t>
            </w:r>
          </w:p>
        </w:tc>
        <w:tc>
          <w:tcPr>
            <w:tcW w:w="4899" w:type="dxa"/>
            <w:vAlign w:val="center"/>
          </w:tcPr>
          <w:p w14:paraId="0BD3D93E" w14:textId="77777777" w:rsidR="00F14A10" w:rsidRDefault="00F14A10">
            <w:pPr>
              <w:jc w:val="center"/>
              <w:rPr>
                <w:rFonts w:ascii="仿宋_GB2312" w:eastAsia="仿宋_GB2312" w:hAnsi="Times New Roman"/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0BD3D93F" w14:textId="77777777" w:rsidR="00F14A10" w:rsidRDefault="00F14A10">
            <w:pPr>
              <w:jc w:val="center"/>
              <w:rPr>
                <w:rFonts w:ascii="仿宋_GB2312" w:eastAsia="仿宋_GB2312" w:hAnsi="Times New Roman"/>
                <w:b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0BD3D940" w14:textId="77777777" w:rsidR="00F14A10" w:rsidRDefault="00F14A10">
            <w:pPr>
              <w:jc w:val="center"/>
              <w:rPr>
                <w:rFonts w:ascii="仿宋_GB2312" w:eastAsia="仿宋_GB2312" w:hAnsi="Times New Roman"/>
                <w:b/>
                <w:sz w:val="22"/>
              </w:rPr>
            </w:pPr>
          </w:p>
        </w:tc>
      </w:tr>
    </w:tbl>
    <w:p w14:paraId="0BD3D942" w14:textId="77777777" w:rsidR="00F14A10" w:rsidRDefault="00F14A10">
      <w:pPr>
        <w:jc w:val="left"/>
        <w:rPr>
          <w:rFonts w:ascii="Times New Roman" w:hAnsi="Times New Roman"/>
          <w:sz w:val="22"/>
        </w:rPr>
      </w:pPr>
    </w:p>
    <w:p w14:paraId="0BD3D943" w14:textId="77777777" w:rsidR="00F14A10" w:rsidRDefault="00F14A10">
      <w:pPr>
        <w:spacing w:afterLines="50" w:after="156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0BD3D944" w14:textId="77777777" w:rsidR="00F14A10" w:rsidRDefault="00C37BDD">
      <w:pPr>
        <w:spacing w:afterLines="50" w:after="156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配套试剂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</w:p>
    <w:tbl>
      <w:tblPr>
        <w:tblW w:w="9755" w:type="dxa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"/>
        <w:gridCol w:w="4899"/>
        <w:gridCol w:w="1985"/>
        <w:gridCol w:w="2126"/>
      </w:tblGrid>
      <w:tr w:rsidR="00F14A10" w14:paraId="0BD3D949" w14:textId="77777777">
        <w:trPr>
          <w:trHeight w:val="567"/>
        </w:trPr>
        <w:tc>
          <w:tcPr>
            <w:tcW w:w="745" w:type="dxa"/>
            <w:vAlign w:val="center"/>
          </w:tcPr>
          <w:p w14:paraId="0BD3D945" w14:textId="77777777" w:rsidR="00F14A10" w:rsidRDefault="00C37BDD">
            <w:pPr>
              <w:jc w:val="center"/>
              <w:rPr>
                <w:rFonts w:ascii="宋体" w:hAnsi="宋体" w:cs="宋体"/>
                <w:b/>
                <w:sz w:val="22"/>
              </w:rPr>
            </w:pPr>
            <w:r>
              <w:rPr>
                <w:rFonts w:ascii="宋体" w:hAnsi="宋体" w:cs="宋体" w:hint="eastAsia"/>
                <w:b/>
                <w:sz w:val="22"/>
              </w:rPr>
              <w:t>序号</w:t>
            </w:r>
          </w:p>
        </w:tc>
        <w:tc>
          <w:tcPr>
            <w:tcW w:w="4899" w:type="dxa"/>
            <w:vAlign w:val="center"/>
          </w:tcPr>
          <w:p w14:paraId="0BD3D946" w14:textId="77777777" w:rsidR="00F14A10" w:rsidRDefault="00C37BDD">
            <w:pPr>
              <w:jc w:val="center"/>
              <w:rPr>
                <w:rFonts w:ascii="宋体" w:hAnsi="宋体" w:cs="宋体"/>
                <w:b/>
                <w:sz w:val="22"/>
              </w:rPr>
            </w:pPr>
            <w:r>
              <w:rPr>
                <w:rFonts w:ascii="宋体" w:hAnsi="宋体" w:cs="宋体" w:hint="eastAsia"/>
                <w:b/>
                <w:sz w:val="22"/>
              </w:rPr>
              <w:t>名称</w:t>
            </w:r>
          </w:p>
        </w:tc>
        <w:tc>
          <w:tcPr>
            <w:tcW w:w="1985" w:type="dxa"/>
            <w:vAlign w:val="center"/>
          </w:tcPr>
          <w:p w14:paraId="0BD3D947" w14:textId="77777777" w:rsidR="00F14A10" w:rsidRDefault="00C37BDD">
            <w:pPr>
              <w:jc w:val="center"/>
              <w:rPr>
                <w:rFonts w:ascii="宋体" w:hAnsi="宋体" w:cs="宋体"/>
                <w:b/>
                <w:sz w:val="22"/>
              </w:rPr>
            </w:pPr>
            <w:r>
              <w:rPr>
                <w:rFonts w:ascii="宋体" w:hAnsi="宋体" w:cs="宋体" w:hint="eastAsia"/>
                <w:b/>
                <w:sz w:val="22"/>
              </w:rPr>
              <w:t>单位</w:t>
            </w:r>
          </w:p>
        </w:tc>
        <w:tc>
          <w:tcPr>
            <w:tcW w:w="2126" w:type="dxa"/>
            <w:vAlign w:val="center"/>
          </w:tcPr>
          <w:p w14:paraId="0BD3D948" w14:textId="77777777" w:rsidR="00F14A10" w:rsidRDefault="00C37BDD">
            <w:pPr>
              <w:jc w:val="center"/>
              <w:rPr>
                <w:rFonts w:ascii="宋体" w:hAnsi="宋体" w:cs="宋体"/>
                <w:b/>
                <w:sz w:val="22"/>
              </w:rPr>
            </w:pPr>
            <w:r>
              <w:rPr>
                <w:rFonts w:ascii="宋体" w:hAnsi="宋体" w:cs="宋体" w:hint="eastAsia"/>
                <w:b/>
                <w:sz w:val="22"/>
              </w:rPr>
              <w:t>预算单价</w:t>
            </w:r>
            <w:r>
              <w:rPr>
                <w:rFonts w:ascii="宋体" w:hAnsi="宋体" w:cs="宋体" w:hint="eastAsia"/>
                <w:b/>
                <w:sz w:val="22"/>
              </w:rPr>
              <w:t>（</w:t>
            </w:r>
            <w:r>
              <w:rPr>
                <w:rFonts w:ascii="宋体" w:hAnsi="宋体" w:cs="宋体" w:hint="eastAsia"/>
                <w:b/>
                <w:sz w:val="22"/>
              </w:rPr>
              <w:t>元</w:t>
            </w:r>
            <w:r>
              <w:rPr>
                <w:rFonts w:ascii="宋体" w:hAnsi="宋体" w:cs="宋体" w:hint="eastAsia"/>
                <w:b/>
                <w:sz w:val="22"/>
              </w:rPr>
              <w:t>）</w:t>
            </w:r>
          </w:p>
        </w:tc>
      </w:tr>
      <w:tr w:rsidR="00F14A10" w14:paraId="0BD3D94E" w14:textId="77777777">
        <w:trPr>
          <w:trHeight w:val="567"/>
        </w:trPr>
        <w:tc>
          <w:tcPr>
            <w:tcW w:w="745" w:type="dxa"/>
            <w:vAlign w:val="center"/>
          </w:tcPr>
          <w:p w14:paraId="0BD3D94A" w14:textId="77777777" w:rsidR="00F14A10" w:rsidRDefault="00C37BDD">
            <w:pPr>
              <w:jc w:val="center"/>
              <w:rPr>
                <w:rFonts w:ascii="宋体" w:hAnsi="宋体" w:cs="宋体"/>
                <w:b/>
                <w:sz w:val="22"/>
              </w:rPr>
            </w:pPr>
            <w:r>
              <w:rPr>
                <w:rFonts w:ascii="宋体" w:hAnsi="宋体" w:cs="宋体" w:hint="eastAsia"/>
                <w:b/>
                <w:sz w:val="22"/>
              </w:rPr>
              <w:t>1</w:t>
            </w:r>
          </w:p>
        </w:tc>
        <w:tc>
          <w:tcPr>
            <w:tcW w:w="4899" w:type="dxa"/>
            <w:vAlign w:val="center"/>
          </w:tcPr>
          <w:p w14:paraId="0BD3D94B" w14:textId="77777777" w:rsidR="00F14A10" w:rsidRDefault="00F14A10">
            <w:pPr>
              <w:jc w:val="center"/>
              <w:rPr>
                <w:rFonts w:ascii="宋体" w:hAnsi="宋体" w:cs="宋体"/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0BD3D94C" w14:textId="77777777" w:rsidR="00F14A10" w:rsidRDefault="00F14A10">
            <w:pPr>
              <w:jc w:val="center"/>
              <w:rPr>
                <w:rFonts w:ascii="宋体" w:hAnsi="宋体" w:cs="宋体"/>
                <w:b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0BD3D94D" w14:textId="77777777" w:rsidR="00F14A10" w:rsidRDefault="00F14A10">
            <w:pPr>
              <w:jc w:val="center"/>
              <w:rPr>
                <w:rFonts w:ascii="宋体" w:hAnsi="宋体" w:cs="宋体"/>
                <w:b/>
                <w:sz w:val="22"/>
              </w:rPr>
            </w:pPr>
          </w:p>
        </w:tc>
      </w:tr>
      <w:tr w:rsidR="00F14A10" w14:paraId="0BD3D953" w14:textId="77777777">
        <w:trPr>
          <w:trHeight w:val="567"/>
        </w:trPr>
        <w:tc>
          <w:tcPr>
            <w:tcW w:w="745" w:type="dxa"/>
            <w:vAlign w:val="center"/>
          </w:tcPr>
          <w:p w14:paraId="0BD3D94F" w14:textId="77777777" w:rsidR="00F14A10" w:rsidRDefault="00C37BDD">
            <w:pPr>
              <w:jc w:val="center"/>
              <w:rPr>
                <w:rFonts w:ascii="宋体" w:hAnsi="宋体" w:cs="宋体"/>
                <w:b/>
                <w:sz w:val="22"/>
              </w:rPr>
            </w:pPr>
            <w:r>
              <w:rPr>
                <w:rFonts w:ascii="宋体" w:hAnsi="宋体" w:cs="宋体" w:hint="eastAsia"/>
                <w:b/>
                <w:sz w:val="22"/>
              </w:rPr>
              <w:t>2</w:t>
            </w:r>
          </w:p>
        </w:tc>
        <w:tc>
          <w:tcPr>
            <w:tcW w:w="4899" w:type="dxa"/>
            <w:vAlign w:val="center"/>
          </w:tcPr>
          <w:p w14:paraId="0BD3D950" w14:textId="77777777" w:rsidR="00F14A10" w:rsidRDefault="00F14A10">
            <w:pPr>
              <w:jc w:val="center"/>
              <w:rPr>
                <w:rFonts w:ascii="宋体" w:hAnsi="宋体" w:cs="宋体"/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0BD3D951" w14:textId="77777777" w:rsidR="00F14A10" w:rsidRDefault="00F14A10">
            <w:pPr>
              <w:jc w:val="center"/>
              <w:rPr>
                <w:rFonts w:ascii="宋体" w:hAnsi="宋体" w:cs="宋体"/>
                <w:b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0BD3D952" w14:textId="77777777" w:rsidR="00F14A10" w:rsidRDefault="00F14A10">
            <w:pPr>
              <w:jc w:val="center"/>
              <w:rPr>
                <w:rFonts w:ascii="宋体" w:hAnsi="宋体" w:cs="宋体"/>
                <w:b/>
                <w:sz w:val="22"/>
              </w:rPr>
            </w:pPr>
          </w:p>
        </w:tc>
      </w:tr>
    </w:tbl>
    <w:p w14:paraId="0BD3D954" w14:textId="77777777" w:rsidR="00F14A10" w:rsidRDefault="00F14A10">
      <w:pPr>
        <w:widowControl/>
        <w:jc w:val="left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F14A10">
      <w:footerReference w:type="default" r:id="rId7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3D95A" w14:textId="77777777" w:rsidR="00C37BDD" w:rsidRDefault="00C37BDD">
      <w:r>
        <w:separator/>
      </w:r>
    </w:p>
  </w:endnote>
  <w:endnote w:type="continuationSeparator" w:id="0">
    <w:p w14:paraId="0BD3D95C" w14:textId="77777777" w:rsidR="00C37BDD" w:rsidRDefault="00C37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3D955" w14:textId="77777777" w:rsidR="00F14A10" w:rsidRDefault="00F14A1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3D956" w14:textId="77777777" w:rsidR="00C37BDD" w:rsidRDefault="00C37BDD">
      <w:r>
        <w:separator/>
      </w:r>
    </w:p>
  </w:footnote>
  <w:footnote w:type="continuationSeparator" w:id="0">
    <w:p w14:paraId="0BD3D958" w14:textId="77777777" w:rsidR="00C37BDD" w:rsidRDefault="00C37B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1C8565"/>
    <w:multiLevelType w:val="singleLevel"/>
    <w:tmpl w:val="301C856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31A1BAFB"/>
    <w:multiLevelType w:val="singleLevel"/>
    <w:tmpl w:val="31A1BAFB"/>
    <w:lvl w:ilvl="0">
      <w:start w:val="9"/>
      <w:numFmt w:val="decimal"/>
      <w:suff w:val="space"/>
      <w:lvlText w:val="%1."/>
      <w:lvlJc w:val="left"/>
    </w:lvl>
  </w:abstractNum>
  <w:num w:numId="1" w16cid:durableId="711466355">
    <w:abstractNumId w:val="0"/>
  </w:num>
  <w:num w:numId="2" w16cid:durableId="17680401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gxMjk0M2E4NWU2Y2Q5YjM1MmQzNDdjN2FlY2ZjNmI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37BDD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4A10"/>
    <w:rsid w:val="00F176BB"/>
    <w:rsid w:val="00F3782E"/>
    <w:rsid w:val="00F40917"/>
    <w:rsid w:val="00F47DA3"/>
    <w:rsid w:val="00F749F5"/>
    <w:rsid w:val="00F84832"/>
    <w:rsid w:val="00FD02B5"/>
    <w:rsid w:val="00FD584F"/>
    <w:rsid w:val="1E6F6103"/>
    <w:rsid w:val="20527BD7"/>
    <w:rsid w:val="20CF50B6"/>
    <w:rsid w:val="236B1ED8"/>
    <w:rsid w:val="2A327913"/>
    <w:rsid w:val="2F042D44"/>
    <w:rsid w:val="3F4D6A77"/>
    <w:rsid w:val="40CC5C49"/>
    <w:rsid w:val="4E7A30C4"/>
    <w:rsid w:val="575A10BC"/>
    <w:rsid w:val="580A0168"/>
    <w:rsid w:val="6FA1185C"/>
    <w:rsid w:val="7B152FBE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3D925"/>
  <w15:docId w15:val="{CF4BD6C9-EA90-4E47-B172-638A4A04C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autoRedefine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autoRedefine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autoRedefine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autoRedefine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autoRedefine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uiPriority w:val="99"/>
    <w:qFormat/>
    <w:rPr>
      <w:sz w:val="18"/>
      <w:szCs w:val="18"/>
    </w:rPr>
  </w:style>
  <w:style w:type="character" w:customStyle="1" w:styleId="aa">
    <w:name w:val="页眉 字符"/>
    <w:link w:val="a9"/>
    <w:autoRedefine/>
    <w:uiPriority w:val="99"/>
    <w:qFormat/>
    <w:rPr>
      <w:sz w:val="18"/>
      <w:szCs w:val="18"/>
    </w:rPr>
  </w:style>
  <w:style w:type="character" w:customStyle="1" w:styleId="font31">
    <w:name w:val="font31"/>
    <w:basedOn w:val="a0"/>
    <w:autoRedefine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21">
    <w:name w:val="font21"/>
    <w:basedOn w:val="a0"/>
    <w:autoRedefine/>
    <w:qFormat/>
    <w:rPr>
      <w:rFonts w:ascii="Times New Roman" w:hAnsi="Times New Roman" w:cs="Times New Roman" w:hint="default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88</Words>
  <Characters>506</Characters>
  <Application>Microsoft Office Word</Application>
  <DocSecurity>0</DocSecurity>
  <Lines>4</Lines>
  <Paragraphs>1</Paragraphs>
  <ScaleCrop>false</ScaleCrop>
  <Company>Sky123.Org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6</cp:revision>
  <cp:lastPrinted>2020-06-15T03:32:00Z</cp:lastPrinted>
  <dcterms:created xsi:type="dcterms:W3CDTF">2023-11-02T03:07:00Z</dcterms:created>
  <dcterms:modified xsi:type="dcterms:W3CDTF">2024-03-13T08:37:00Z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