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272A7" w14:textId="77777777" w:rsidR="00A11E91" w:rsidRDefault="00AD464B">
      <w:pPr>
        <w:pStyle w:val="1"/>
        <w:jc w:val="center"/>
        <w:rPr>
          <w:rFonts w:ascii="黑体" w:eastAsia="黑体" w:hAnsi="黑体" w:cs="黑体"/>
        </w:rPr>
      </w:pPr>
      <w:r>
        <w:rPr>
          <w:rFonts w:ascii="黑体" w:eastAsia="黑体" w:hAnsi="黑体" w:cs="黑体" w:hint="eastAsia"/>
        </w:rPr>
        <w:t>深圳市儿童医院设备采购需求参数表</w:t>
      </w:r>
    </w:p>
    <w:tbl>
      <w:tblPr>
        <w:tblW w:w="4826" w:type="pct"/>
        <w:jc w:val="center"/>
        <w:tblLook w:val="04A0" w:firstRow="1" w:lastRow="0" w:firstColumn="1" w:lastColumn="0" w:noHBand="0" w:noVBand="1"/>
      </w:tblPr>
      <w:tblGrid>
        <w:gridCol w:w="720"/>
        <w:gridCol w:w="1118"/>
        <w:gridCol w:w="7559"/>
      </w:tblGrid>
      <w:tr w:rsidR="00A11E91" w14:paraId="5C2272AB" w14:textId="77777777" w:rsidTr="00AD464B">
        <w:trPr>
          <w:trHeight w:val="567"/>
          <w:jc w:val="center"/>
        </w:trPr>
        <w:tc>
          <w:tcPr>
            <w:tcW w:w="383" w:type="pct"/>
            <w:tcBorders>
              <w:top w:val="single" w:sz="4" w:space="0" w:color="auto"/>
              <w:left w:val="single" w:sz="4" w:space="0" w:color="auto"/>
              <w:bottom w:val="single" w:sz="4" w:space="0" w:color="auto"/>
              <w:right w:val="single" w:sz="4" w:space="0" w:color="auto"/>
            </w:tcBorders>
            <w:shd w:val="clear" w:color="000000" w:fill="FFFFFF"/>
            <w:vAlign w:val="center"/>
          </w:tcPr>
          <w:p w14:paraId="5C2272A8" w14:textId="77777777" w:rsidR="00A11E91" w:rsidRDefault="00AD464B">
            <w:pPr>
              <w:widowControl/>
              <w:jc w:val="center"/>
              <w:rPr>
                <w:rFonts w:ascii="Times New Roman" w:hAnsi="Times New Roman"/>
                <w:b/>
                <w:bCs/>
                <w:color w:val="3F3F3F"/>
                <w:kern w:val="0"/>
                <w:sz w:val="22"/>
              </w:rPr>
            </w:pPr>
            <w:r>
              <w:rPr>
                <w:rFonts w:ascii="Times New Roman" w:hAnsi="Times New Roman"/>
                <w:b/>
                <w:bCs/>
                <w:color w:val="3F3F3F"/>
                <w:kern w:val="0"/>
                <w:sz w:val="22"/>
              </w:rPr>
              <w:t>序号</w:t>
            </w:r>
          </w:p>
        </w:tc>
        <w:tc>
          <w:tcPr>
            <w:tcW w:w="595" w:type="pct"/>
            <w:tcBorders>
              <w:top w:val="single" w:sz="4" w:space="0" w:color="3F3F3F"/>
              <w:left w:val="single" w:sz="4" w:space="0" w:color="auto"/>
              <w:bottom w:val="single" w:sz="4" w:space="0" w:color="3F3F3F"/>
              <w:right w:val="single" w:sz="4" w:space="0" w:color="3F3F3F"/>
            </w:tcBorders>
            <w:shd w:val="clear" w:color="000000" w:fill="FFFFFF"/>
            <w:vAlign w:val="center"/>
          </w:tcPr>
          <w:p w14:paraId="5C2272A9" w14:textId="77777777" w:rsidR="00A11E91" w:rsidRDefault="00AD464B">
            <w:pPr>
              <w:widowControl/>
              <w:jc w:val="center"/>
              <w:rPr>
                <w:rFonts w:ascii="Times New Roman" w:hAnsi="Times New Roman"/>
                <w:b/>
                <w:bCs/>
                <w:color w:val="3F3F3F"/>
                <w:kern w:val="0"/>
                <w:sz w:val="22"/>
              </w:rPr>
            </w:pPr>
            <w:r>
              <w:rPr>
                <w:rFonts w:ascii="Times New Roman" w:hAnsi="Times New Roman"/>
                <w:b/>
                <w:bCs/>
                <w:color w:val="3F3F3F"/>
                <w:kern w:val="0"/>
                <w:sz w:val="22"/>
              </w:rPr>
              <w:t>项目名称</w:t>
            </w:r>
          </w:p>
        </w:tc>
        <w:tc>
          <w:tcPr>
            <w:tcW w:w="4022" w:type="pct"/>
            <w:tcBorders>
              <w:top w:val="single" w:sz="4" w:space="0" w:color="3F3F3F"/>
              <w:left w:val="nil"/>
              <w:bottom w:val="single" w:sz="4" w:space="0" w:color="3F3F3F"/>
              <w:right w:val="single" w:sz="4" w:space="0" w:color="3F3F3F"/>
            </w:tcBorders>
            <w:shd w:val="clear" w:color="000000" w:fill="FFFFFF"/>
            <w:vAlign w:val="center"/>
          </w:tcPr>
          <w:p w14:paraId="5C2272AA" w14:textId="77777777" w:rsidR="00A11E91" w:rsidRDefault="00AD464B">
            <w:pPr>
              <w:widowControl/>
              <w:jc w:val="center"/>
              <w:rPr>
                <w:rFonts w:ascii="Times New Roman" w:hAnsi="Times New Roman"/>
                <w:b/>
                <w:bCs/>
                <w:color w:val="3F3F3F"/>
                <w:kern w:val="0"/>
                <w:sz w:val="22"/>
              </w:rPr>
            </w:pPr>
            <w:r>
              <w:rPr>
                <w:rFonts w:ascii="Times New Roman" w:hAnsi="Times New Roman"/>
                <w:b/>
                <w:bCs/>
                <w:color w:val="3F3F3F"/>
                <w:kern w:val="0"/>
                <w:sz w:val="22"/>
              </w:rPr>
              <w:t>招标事项及要求</w:t>
            </w:r>
          </w:p>
        </w:tc>
      </w:tr>
      <w:tr w:rsidR="00A11E91" w14:paraId="5C2272B9" w14:textId="77777777" w:rsidTr="00AD464B">
        <w:trPr>
          <w:trHeight w:val="2847"/>
          <w:jc w:val="center"/>
        </w:trPr>
        <w:tc>
          <w:tcPr>
            <w:tcW w:w="383" w:type="pct"/>
            <w:tcBorders>
              <w:top w:val="single" w:sz="4" w:space="0" w:color="auto"/>
              <w:left w:val="single" w:sz="4" w:space="0" w:color="3F3F3F"/>
              <w:bottom w:val="single" w:sz="4" w:space="0" w:color="3F3F3F"/>
              <w:right w:val="single" w:sz="4" w:space="0" w:color="3F3F3F"/>
            </w:tcBorders>
            <w:shd w:val="clear" w:color="000000" w:fill="FFFFFF"/>
            <w:vAlign w:val="center"/>
          </w:tcPr>
          <w:p w14:paraId="5C2272AC" w14:textId="77777777" w:rsidR="00A11E91" w:rsidRDefault="00AD464B">
            <w:pPr>
              <w:widowControl/>
              <w:jc w:val="center"/>
              <w:rPr>
                <w:rFonts w:ascii="Times New Roman" w:hAnsi="Times New Roman"/>
                <w:b/>
                <w:bCs/>
                <w:color w:val="3F3F3F"/>
                <w:kern w:val="0"/>
                <w:sz w:val="22"/>
              </w:rPr>
            </w:pPr>
            <w:r>
              <w:rPr>
                <w:rFonts w:ascii="Times New Roman" w:hAnsi="Times New Roman"/>
                <w:b/>
                <w:bCs/>
                <w:color w:val="3F3F3F"/>
                <w:kern w:val="0"/>
                <w:sz w:val="22"/>
              </w:rPr>
              <w:t>1</w:t>
            </w:r>
          </w:p>
        </w:tc>
        <w:tc>
          <w:tcPr>
            <w:tcW w:w="595" w:type="pct"/>
            <w:tcBorders>
              <w:top w:val="single" w:sz="4" w:space="0" w:color="3F3F3F"/>
              <w:left w:val="single" w:sz="4" w:space="0" w:color="3F3F3F"/>
              <w:bottom w:val="single" w:sz="4" w:space="0" w:color="3F3F3F"/>
              <w:right w:val="single" w:sz="4" w:space="0" w:color="3F3F3F"/>
            </w:tcBorders>
            <w:shd w:val="clear" w:color="000000" w:fill="FFFFFF"/>
            <w:vAlign w:val="center"/>
          </w:tcPr>
          <w:p w14:paraId="5C2272AD" w14:textId="77777777" w:rsidR="00A11E91" w:rsidRDefault="00AD464B">
            <w:pPr>
              <w:widowControl/>
              <w:jc w:val="center"/>
              <w:rPr>
                <w:rFonts w:ascii="Times New Roman" w:hAnsi="Times New Roman"/>
                <w:color w:val="3F3F3F"/>
                <w:kern w:val="0"/>
                <w:sz w:val="22"/>
              </w:rPr>
            </w:pPr>
            <w:r>
              <w:rPr>
                <w:rFonts w:ascii="Times New Roman" w:hAnsi="Times New Roman"/>
                <w:b/>
                <w:bCs/>
                <w:color w:val="3F3F3F"/>
                <w:kern w:val="0"/>
                <w:sz w:val="22"/>
              </w:rPr>
              <w:t>全自动门诊存储分发管理系统</w:t>
            </w:r>
          </w:p>
        </w:tc>
        <w:tc>
          <w:tcPr>
            <w:tcW w:w="4022" w:type="pct"/>
            <w:tcBorders>
              <w:top w:val="single" w:sz="4" w:space="0" w:color="3F3F3F"/>
              <w:left w:val="nil"/>
              <w:bottom w:val="single" w:sz="4" w:space="0" w:color="3F3F3F"/>
              <w:right w:val="single" w:sz="4" w:space="0" w:color="3F3F3F"/>
            </w:tcBorders>
            <w:shd w:val="clear" w:color="000000" w:fill="FFFFFF"/>
          </w:tcPr>
          <w:p w14:paraId="5C2272AE" w14:textId="77777777" w:rsidR="00A11E91" w:rsidRDefault="00AD464B">
            <w:pPr>
              <w:widowControl/>
              <w:numPr>
                <w:ilvl w:val="0"/>
                <w:numId w:val="1"/>
              </w:numPr>
              <w:spacing w:line="288" w:lineRule="auto"/>
              <w:jc w:val="left"/>
              <w:rPr>
                <w:rFonts w:ascii="Times New Roman" w:hAnsi="Times New Roman"/>
                <w:color w:val="000000" w:themeColor="text1"/>
                <w:kern w:val="0"/>
                <w:sz w:val="22"/>
              </w:rPr>
            </w:pPr>
            <w:r>
              <w:rPr>
                <w:rFonts w:ascii="Times New Roman" w:hAnsi="Times New Roman"/>
                <w:color w:val="000000" w:themeColor="text1"/>
                <w:kern w:val="0"/>
                <w:sz w:val="22"/>
              </w:rPr>
              <w:t>药品存放：采用平层自由存放技术，无需指定位置，由设备自动依发药最快为原则，自由存放；同一竖列中，可存放同一品</w:t>
            </w:r>
            <w:proofErr w:type="gramStart"/>
            <w:r>
              <w:rPr>
                <w:rFonts w:ascii="Times New Roman" w:hAnsi="Times New Roman"/>
                <w:color w:val="000000" w:themeColor="text1"/>
                <w:kern w:val="0"/>
                <w:sz w:val="22"/>
              </w:rPr>
              <w:t>规</w:t>
            </w:r>
            <w:proofErr w:type="gramEnd"/>
            <w:r>
              <w:rPr>
                <w:rFonts w:ascii="Times New Roman" w:hAnsi="Times New Roman"/>
                <w:color w:val="000000" w:themeColor="text1"/>
                <w:kern w:val="0"/>
                <w:sz w:val="22"/>
              </w:rPr>
              <w:t>，也可存放不同品</w:t>
            </w:r>
            <w:proofErr w:type="gramStart"/>
            <w:r>
              <w:rPr>
                <w:rFonts w:ascii="Times New Roman" w:hAnsi="Times New Roman"/>
                <w:color w:val="000000" w:themeColor="text1"/>
                <w:kern w:val="0"/>
                <w:sz w:val="22"/>
              </w:rPr>
              <w:t>规</w:t>
            </w:r>
            <w:proofErr w:type="gramEnd"/>
            <w:r>
              <w:rPr>
                <w:rFonts w:ascii="Times New Roman" w:hAnsi="Times New Roman"/>
                <w:color w:val="000000" w:themeColor="text1"/>
                <w:kern w:val="0"/>
                <w:sz w:val="22"/>
              </w:rPr>
              <w:t>；可同时存放＞</w:t>
            </w:r>
            <w:r>
              <w:rPr>
                <w:rFonts w:ascii="Times New Roman" w:hAnsi="Times New Roman"/>
                <w:color w:val="000000" w:themeColor="text1"/>
                <w:kern w:val="0"/>
                <w:sz w:val="22"/>
              </w:rPr>
              <w:t>90%</w:t>
            </w:r>
            <w:r>
              <w:rPr>
                <w:rFonts w:ascii="Times New Roman" w:hAnsi="Times New Roman"/>
                <w:color w:val="000000" w:themeColor="text1"/>
                <w:kern w:val="0"/>
                <w:sz w:val="22"/>
              </w:rPr>
              <w:t>门诊药品</w:t>
            </w:r>
            <w:proofErr w:type="gramStart"/>
            <w:r>
              <w:rPr>
                <w:rFonts w:ascii="Times New Roman" w:hAnsi="Times New Roman"/>
                <w:color w:val="000000" w:themeColor="text1"/>
                <w:kern w:val="0"/>
                <w:sz w:val="22"/>
              </w:rPr>
              <w:t>品规</w:t>
            </w:r>
            <w:proofErr w:type="gramEnd"/>
            <w:r>
              <w:rPr>
                <w:rFonts w:ascii="Times New Roman" w:hAnsi="Times New Roman"/>
                <w:color w:val="000000" w:themeColor="text1"/>
                <w:kern w:val="0"/>
                <w:sz w:val="22"/>
              </w:rPr>
              <w:t>。</w:t>
            </w:r>
          </w:p>
          <w:p w14:paraId="5C2272AF" w14:textId="77777777" w:rsidR="00A11E91" w:rsidRDefault="00AD464B">
            <w:pPr>
              <w:widowControl/>
              <w:spacing w:line="288" w:lineRule="auto"/>
              <w:jc w:val="left"/>
              <w:rPr>
                <w:rFonts w:ascii="Times New Roman" w:hAnsi="Times New Roman"/>
                <w:color w:val="000000" w:themeColor="text1"/>
                <w:kern w:val="0"/>
                <w:sz w:val="22"/>
              </w:rPr>
            </w:pPr>
            <w:r>
              <w:rPr>
                <w:rFonts w:ascii="Times New Roman" w:hAnsi="Times New Roman"/>
                <w:color w:val="000000" w:themeColor="text1"/>
                <w:kern w:val="0"/>
                <w:sz w:val="22"/>
              </w:rPr>
              <w:t>2.</w:t>
            </w:r>
            <w:r>
              <w:rPr>
                <w:rFonts w:ascii="Times New Roman" w:hAnsi="Times New Roman" w:hint="eastAsia"/>
                <w:color w:val="000000" w:themeColor="text1"/>
                <w:kern w:val="0"/>
                <w:sz w:val="22"/>
              </w:rPr>
              <w:t xml:space="preserve"> </w:t>
            </w:r>
            <w:r>
              <w:rPr>
                <w:rFonts w:ascii="Times New Roman" w:hAnsi="Times New Roman"/>
                <w:color w:val="000000" w:themeColor="text1"/>
                <w:kern w:val="0"/>
                <w:sz w:val="22"/>
              </w:rPr>
              <w:t>机械手运行：机器人主机具备双轨双机械手，双机械手可以交叉在主机单元内自由抓取药品，实现药品存取和发放，而非互相避让等待，从而实现双机械手在整机内任意一端任意层板自由抓取药品，提升发药速度</w:t>
            </w:r>
            <w:r>
              <w:rPr>
                <w:rFonts w:ascii="Times New Roman" w:hAnsi="Times New Roman" w:hint="eastAsia"/>
                <w:color w:val="000000" w:themeColor="text1"/>
                <w:kern w:val="0"/>
                <w:sz w:val="22"/>
              </w:rPr>
              <w:t>。</w:t>
            </w:r>
          </w:p>
          <w:p w14:paraId="5C2272B0" w14:textId="77777777" w:rsidR="00A11E91" w:rsidRDefault="00AD464B">
            <w:pPr>
              <w:widowControl/>
              <w:spacing w:line="288" w:lineRule="auto"/>
              <w:jc w:val="left"/>
              <w:rPr>
                <w:rFonts w:ascii="Times New Roman" w:hAnsi="Times New Roman"/>
                <w:color w:val="000000" w:themeColor="text1"/>
                <w:kern w:val="0"/>
                <w:sz w:val="22"/>
              </w:rPr>
            </w:pPr>
            <w:r>
              <w:rPr>
                <w:rFonts w:ascii="Times New Roman" w:hAnsi="Times New Roman"/>
                <w:color w:val="000000" w:themeColor="text1"/>
                <w:kern w:val="0"/>
                <w:sz w:val="22"/>
              </w:rPr>
              <w:t>3.</w:t>
            </w:r>
            <w:r>
              <w:rPr>
                <w:rFonts w:ascii="Times New Roman" w:hAnsi="Times New Roman" w:hint="eastAsia"/>
                <w:color w:val="000000" w:themeColor="text1"/>
                <w:kern w:val="0"/>
                <w:sz w:val="22"/>
              </w:rPr>
              <w:t xml:space="preserve"> </w:t>
            </w:r>
            <w:r>
              <w:rPr>
                <w:rFonts w:ascii="Times New Roman" w:hAnsi="Times New Roman"/>
                <w:color w:val="000000" w:themeColor="text1"/>
                <w:kern w:val="0"/>
                <w:sz w:val="22"/>
              </w:rPr>
              <w:t>入药缓存：药品可缓存于内部传送带上，待空闲时完成药品入库</w:t>
            </w:r>
            <w:r>
              <w:rPr>
                <w:rFonts w:ascii="Times New Roman" w:hAnsi="Times New Roman"/>
                <w:color w:val="000000" w:themeColor="text1"/>
                <w:kern w:val="0"/>
                <w:sz w:val="22"/>
              </w:rPr>
              <w:t>,</w:t>
            </w:r>
            <w:r>
              <w:rPr>
                <w:rFonts w:ascii="Times New Roman" w:hAnsi="Times New Roman"/>
                <w:color w:val="000000" w:themeColor="text1"/>
                <w:kern w:val="0"/>
                <w:sz w:val="22"/>
              </w:rPr>
              <w:t>缓存药品</w:t>
            </w:r>
            <w:r>
              <w:rPr>
                <w:rFonts w:ascii="Times New Roman" w:hAnsi="Times New Roman"/>
                <w:color w:val="000000" w:themeColor="text1"/>
                <w:kern w:val="0"/>
                <w:sz w:val="22"/>
              </w:rPr>
              <w:t>≥500</w:t>
            </w:r>
            <w:r>
              <w:rPr>
                <w:rFonts w:ascii="Times New Roman" w:hAnsi="Times New Roman"/>
                <w:color w:val="000000" w:themeColor="text1"/>
                <w:kern w:val="0"/>
                <w:sz w:val="22"/>
              </w:rPr>
              <w:t>盒（瓶），扫描进药与机械手自动上药可同步进行，无需等待</w:t>
            </w:r>
            <w:r>
              <w:rPr>
                <w:rFonts w:ascii="Times New Roman" w:hAnsi="Times New Roman" w:hint="eastAsia"/>
                <w:color w:val="000000" w:themeColor="text1"/>
                <w:kern w:val="0"/>
                <w:sz w:val="22"/>
              </w:rPr>
              <w:t>。</w:t>
            </w:r>
          </w:p>
          <w:p w14:paraId="5C2272B1" w14:textId="77777777" w:rsidR="00A11E91" w:rsidRDefault="00AD464B">
            <w:pPr>
              <w:widowControl/>
              <w:numPr>
                <w:ilvl w:val="0"/>
                <w:numId w:val="2"/>
              </w:numPr>
              <w:spacing w:line="288" w:lineRule="auto"/>
              <w:jc w:val="left"/>
              <w:rPr>
                <w:rFonts w:ascii="Times New Roman" w:hAnsi="Times New Roman"/>
                <w:color w:val="000000" w:themeColor="text1"/>
                <w:kern w:val="0"/>
                <w:sz w:val="22"/>
              </w:rPr>
            </w:pPr>
            <w:r>
              <w:rPr>
                <w:rFonts w:ascii="Times New Roman" w:hAnsi="Times New Roman"/>
                <w:color w:val="000000" w:themeColor="text1"/>
                <w:kern w:val="0"/>
                <w:sz w:val="22"/>
              </w:rPr>
              <w:t>为保证同品种药品多规格管理，无需采用人工测量药样方式，而是由设备自动测量、记录药品包装的规格信息并自动识别；即使包装调整或药品更新，设备也能重新测量、记录、识别，可入药时自动提示一品多</w:t>
            </w:r>
            <w:proofErr w:type="gramStart"/>
            <w:r>
              <w:rPr>
                <w:rFonts w:ascii="Times New Roman" w:hAnsi="Times New Roman"/>
                <w:color w:val="000000" w:themeColor="text1"/>
                <w:kern w:val="0"/>
                <w:sz w:val="22"/>
              </w:rPr>
              <w:t>规</w:t>
            </w:r>
            <w:proofErr w:type="gramEnd"/>
            <w:r>
              <w:rPr>
                <w:rFonts w:ascii="Times New Roman" w:hAnsi="Times New Roman"/>
                <w:color w:val="000000" w:themeColor="text1"/>
                <w:kern w:val="0"/>
                <w:sz w:val="22"/>
              </w:rPr>
              <w:t>药品，同时能依据新包装规格信息实现自由、自动的存放，整个过程无需人工重新设置、调整药品的存放装置</w:t>
            </w:r>
            <w:r>
              <w:rPr>
                <w:rFonts w:ascii="Times New Roman" w:hAnsi="Times New Roman" w:hint="eastAsia"/>
                <w:color w:val="000000" w:themeColor="text1"/>
                <w:kern w:val="0"/>
                <w:sz w:val="22"/>
              </w:rPr>
              <w:t>。</w:t>
            </w:r>
          </w:p>
          <w:p w14:paraId="5C2272B2" w14:textId="77777777" w:rsidR="00A11E91" w:rsidRDefault="00AD464B">
            <w:pPr>
              <w:widowControl/>
              <w:numPr>
                <w:ilvl w:val="0"/>
                <w:numId w:val="2"/>
              </w:numPr>
              <w:spacing w:line="288" w:lineRule="auto"/>
              <w:jc w:val="left"/>
              <w:rPr>
                <w:rFonts w:ascii="Times New Roman" w:hAnsi="Times New Roman"/>
                <w:color w:val="000000" w:themeColor="text1"/>
                <w:kern w:val="0"/>
                <w:sz w:val="22"/>
              </w:rPr>
            </w:pPr>
            <w:r>
              <w:rPr>
                <w:rFonts w:ascii="Times New Roman" w:hAnsi="Times New Roman"/>
                <w:color w:val="000000" w:themeColor="text1"/>
                <w:kern w:val="0"/>
                <w:sz w:val="22"/>
              </w:rPr>
              <w:t>实时监测设备内药品信息，包括每个单包装药品的批次批号、效期、已发放药品信息、待发药品信息、发药溯源等数据统计，实现全程自动管理药品效期及库存盘点</w:t>
            </w:r>
            <w:r>
              <w:rPr>
                <w:rFonts w:ascii="Times New Roman" w:hAnsi="Times New Roman" w:hint="eastAsia"/>
                <w:color w:val="000000" w:themeColor="text1"/>
                <w:kern w:val="0"/>
                <w:sz w:val="22"/>
              </w:rPr>
              <w:t>。</w:t>
            </w:r>
          </w:p>
          <w:p w14:paraId="5C2272B3" w14:textId="77777777" w:rsidR="00A11E91" w:rsidRDefault="00AD464B">
            <w:pPr>
              <w:widowControl/>
              <w:spacing w:line="288" w:lineRule="auto"/>
              <w:jc w:val="left"/>
              <w:rPr>
                <w:rFonts w:ascii="Times New Roman" w:hAnsi="Times New Roman"/>
                <w:color w:val="000000" w:themeColor="text1"/>
                <w:kern w:val="0"/>
                <w:sz w:val="22"/>
              </w:rPr>
            </w:pPr>
            <w:r>
              <w:rPr>
                <w:rFonts w:ascii="Times New Roman" w:hAnsi="Times New Roman"/>
                <w:color w:val="000000" w:themeColor="text1"/>
                <w:kern w:val="0"/>
                <w:sz w:val="22"/>
              </w:rPr>
              <w:t>6.</w:t>
            </w:r>
            <w:r>
              <w:rPr>
                <w:rFonts w:ascii="Times New Roman" w:hAnsi="Times New Roman" w:hint="eastAsia"/>
                <w:color w:val="000000" w:themeColor="text1"/>
                <w:kern w:val="0"/>
                <w:sz w:val="22"/>
              </w:rPr>
              <w:t xml:space="preserve"> </w:t>
            </w:r>
            <w:r>
              <w:rPr>
                <w:rFonts w:ascii="Times New Roman" w:hAnsi="Times New Roman"/>
                <w:color w:val="000000" w:themeColor="text1"/>
                <w:kern w:val="0"/>
                <w:sz w:val="22"/>
              </w:rPr>
              <w:t>设备需具备全自动清洁装置，能根据药师的指令，对设备内某一指定存药区域或整体主机存药位置进行逐层的自动清洁工作，保障药品的净化存贮</w:t>
            </w:r>
            <w:r>
              <w:rPr>
                <w:rFonts w:ascii="Times New Roman" w:hAnsi="Times New Roman" w:hint="eastAsia"/>
                <w:color w:val="000000" w:themeColor="text1"/>
                <w:kern w:val="0"/>
                <w:sz w:val="22"/>
              </w:rPr>
              <w:t>。</w:t>
            </w:r>
          </w:p>
          <w:p w14:paraId="5C2272B4" w14:textId="77777777" w:rsidR="00A11E91" w:rsidRDefault="00AD464B">
            <w:pPr>
              <w:widowControl/>
              <w:spacing w:line="288" w:lineRule="auto"/>
              <w:jc w:val="left"/>
              <w:rPr>
                <w:rFonts w:ascii="Times New Roman" w:hAnsi="Times New Roman"/>
                <w:color w:val="000000" w:themeColor="text1"/>
                <w:kern w:val="0"/>
                <w:sz w:val="22"/>
              </w:rPr>
            </w:pPr>
            <w:r>
              <w:rPr>
                <w:rFonts w:ascii="Times New Roman" w:hAnsi="Times New Roman"/>
                <w:color w:val="000000" w:themeColor="text1"/>
                <w:kern w:val="0"/>
                <w:sz w:val="22"/>
              </w:rPr>
              <w:t>7.</w:t>
            </w:r>
            <w:r>
              <w:rPr>
                <w:rFonts w:ascii="Times New Roman" w:hAnsi="Times New Roman" w:hint="eastAsia"/>
                <w:color w:val="000000" w:themeColor="text1"/>
                <w:kern w:val="0"/>
                <w:sz w:val="22"/>
              </w:rPr>
              <w:t xml:space="preserve"> </w:t>
            </w:r>
            <w:r>
              <w:rPr>
                <w:rFonts w:ascii="Times New Roman" w:hAnsi="Times New Roman"/>
                <w:color w:val="000000" w:themeColor="text1"/>
                <w:kern w:val="0"/>
                <w:sz w:val="22"/>
              </w:rPr>
              <w:t>内置冷藏冰箱功能：机器人主体单元具备内置冷藏冰箱，在主机单元操作面可以显示温度，能自动实现对冷藏药品统一的进药、存储、发药和管理</w:t>
            </w:r>
            <w:r>
              <w:rPr>
                <w:rFonts w:ascii="Times New Roman" w:hAnsi="Times New Roman" w:hint="eastAsia"/>
                <w:color w:val="000000" w:themeColor="text1"/>
                <w:kern w:val="0"/>
                <w:sz w:val="22"/>
              </w:rPr>
              <w:t>。</w:t>
            </w:r>
          </w:p>
          <w:p w14:paraId="5C2272B5" w14:textId="77777777" w:rsidR="00A11E91" w:rsidRDefault="00AD464B">
            <w:pPr>
              <w:widowControl/>
              <w:spacing w:line="288" w:lineRule="auto"/>
              <w:jc w:val="left"/>
              <w:rPr>
                <w:rFonts w:ascii="Times New Roman" w:hAnsi="Times New Roman"/>
                <w:color w:val="000000" w:themeColor="text1"/>
                <w:kern w:val="0"/>
                <w:sz w:val="22"/>
              </w:rPr>
            </w:pPr>
            <w:r>
              <w:rPr>
                <w:rFonts w:ascii="Times New Roman" w:hAnsi="Times New Roman"/>
                <w:color w:val="000000" w:themeColor="text1"/>
                <w:kern w:val="0"/>
                <w:sz w:val="22"/>
              </w:rPr>
              <w:t>8.</w:t>
            </w:r>
            <w:r>
              <w:rPr>
                <w:rFonts w:ascii="Times New Roman" w:hAnsi="Times New Roman" w:hint="eastAsia"/>
                <w:color w:val="000000" w:themeColor="text1"/>
                <w:kern w:val="0"/>
                <w:sz w:val="22"/>
              </w:rPr>
              <w:t xml:space="preserve"> </w:t>
            </w:r>
            <w:r>
              <w:rPr>
                <w:rFonts w:ascii="Times New Roman" w:hAnsi="Times New Roman"/>
                <w:color w:val="000000" w:themeColor="text1"/>
                <w:kern w:val="0"/>
                <w:sz w:val="22"/>
              </w:rPr>
              <w:t>独立的设备单元，加装于主机单元，实现主机单元自动加药功能，非人工</w:t>
            </w:r>
            <w:proofErr w:type="gramStart"/>
            <w:r>
              <w:rPr>
                <w:rFonts w:ascii="Times New Roman" w:hAnsi="Times New Roman"/>
                <w:color w:val="000000" w:themeColor="text1"/>
                <w:kern w:val="0"/>
                <w:sz w:val="22"/>
              </w:rPr>
              <w:t>逐盒逐</w:t>
            </w:r>
            <w:proofErr w:type="gramEnd"/>
            <w:r>
              <w:rPr>
                <w:rFonts w:ascii="Times New Roman" w:hAnsi="Times New Roman"/>
                <w:color w:val="000000" w:themeColor="text1"/>
                <w:kern w:val="0"/>
                <w:sz w:val="22"/>
              </w:rPr>
              <w:t>槽加药模式，单台可一次性任意倒入药品</w:t>
            </w:r>
            <w:r>
              <w:rPr>
                <w:rFonts w:ascii="Times New Roman" w:hAnsi="Times New Roman"/>
                <w:color w:val="000000" w:themeColor="text1"/>
                <w:kern w:val="0"/>
                <w:sz w:val="22"/>
              </w:rPr>
              <w:t>≥2000</w:t>
            </w:r>
            <w:r>
              <w:rPr>
                <w:rFonts w:ascii="Times New Roman" w:hAnsi="Times New Roman"/>
                <w:color w:val="000000" w:themeColor="text1"/>
                <w:kern w:val="0"/>
                <w:sz w:val="22"/>
              </w:rPr>
              <w:t>盒，实现</w:t>
            </w:r>
            <w:r>
              <w:rPr>
                <w:rFonts w:ascii="Times New Roman" w:hAnsi="Times New Roman"/>
                <w:color w:val="000000" w:themeColor="text1"/>
                <w:kern w:val="0"/>
                <w:sz w:val="22"/>
              </w:rPr>
              <w:t>24</w:t>
            </w:r>
            <w:r>
              <w:rPr>
                <w:rFonts w:ascii="Times New Roman" w:hAnsi="Times New Roman"/>
                <w:color w:val="000000" w:themeColor="text1"/>
                <w:kern w:val="0"/>
                <w:sz w:val="22"/>
              </w:rPr>
              <w:t>小时无人监守的全自动连续补药工作</w:t>
            </w:r>
            <w:r>
              <w:rPr>
                <w:rFonts w:ascii="Times New Roman" w:hAnsi="Times New Roman" w:hint="eastAsia"/>
                <w:color w:val="000000" w:themeColor="text1"/>
                <w:kern w:val="0"/>
                <w:sz w:val="22"/>
              </w:rPr>
              <w:t>。</w:t>
            </w:r>
            <w:r>
              <w:rPr>
                <w:rFonts w:ascii="Times New Roman" w:hAnsi="Times New Roman"/>
                <w:color w:val="000000" w:themeColor="text1"/>
                <w:kern w:val="0"/>
                <w:sz w:val="22"/>
              </w:rPr>
              <w:br/>
              <w:t>9.</w:t>
            </w:r>
            <w:r>
              <w:rPr>
                <w:rFonts w:ascii="Times New Roman" w:hAnsi="Times New Roman"/>
                <w:color w:val="000000" w:themeColor="text1"/>
                <w:sz w:val="22"/>
              </w:rPr>
              <w:t xml:space="preserve"> </w:t>
            </w:r>
            <w:r>
              <w:rPr>
                <w:rFonts w:ascii="Times New Roman" w:hAnsi="Times New Roman"/>
                <w:color w:val="000000" w:themeColor="text1"/>
                <w:kern w:val="0"/>
                <w:sz w:val="22"/>
              </w:rPr>
              <w:t>能自动处理协定的拆零包装，同时设备能存储、发放多包装组合药品，组合的包装数量由药师根据处方习惯用量可自由设置，以实现单品多盒一次快速出药。</w:t>
            </w:r>
          </w:p>
          <w:p w14:paraId="5C2272B6" w14:textId="77777777" w:rsidR="00A11E91" w:rsidRDefault="00AD464B">
            <w:pPr>
              <w:widowControl/>
              <w:spacing w:line="288" w:lineRule="auto"/>
              <w:jc w:val="left"/>
              <w:rPr>
                <w:rFonts w:ascii="Times New Roman" w:hAnsi="Times New Roman"/>
                <w:color w:val="000000" w:themeColor="text1"/>
                <w:kern w:val="0"/>
                <w:sz w:val="22"/>
              </w:rPr>
            </w:pPr>
            <w:r>
              <w:rPr>
                <w:rFonts w:ascii="Times New Roman" w:hAnsi="Times New Roman"/>
                <w:color w:val="000000" w:themeColor="text1"/>
                <w:kern w:val="0"/>
                <w:sz w:val="22"/>
              </w:rPr>
              <w:t>1</w:t>
            </w:r>
            <w:r>
              <w:rPr>
                <w:rFonts w:ascii="Times New Roman" w:hAnsi="Times New Roman" w:hint="eastAsia"/>
                <w:color w:val="000000" w:themeColor="text1"/>
                <w:kern w:val="0"/>
                <w:sz w:val="22"/>
              </w:rPr>
              <w:t xml:space="preserve">0. </w:t>
            </w:r>
            <w:r>
              <w:rPr>
                <w:rFonts w:ascii="Times New Roman" w:hAnsi="Times New Roman"/>
                <w:color w:val="000000" w:themeColor="text1"/>
                <w:kern w:val="0"/>
                <w:sz w:val="22"/>
              </w:rPr>
              <w:t>直发与混发传输系统：根据药房布局及处方量，配置自动发药机内所发放的完整处方及非完整处方药品出药窗口数量，实现直发药品能直接落到发药窗口的药师手边及人工调剂处方药框亮灯指示的配发。</w:t>
            </w:r>
          </w:p>
          <w:p w14:paraId="5C2272B7" w14:textId="77777777" w:rsidR="00A11E91" w:rsidRDefault="00AD464B">
            <w:pPr>
              <w:widowControl/>
              <w:spacing w:line="288" w:lineRule="auto"/>
              <w:jc w:val="left"/>
              <w:rPr>
                <w:rFonts w:ascii="Times New Roman" w:hAnsi="Times New Roman"/>
                <w:color w:val="000000" w:themeColor="text1"/>
                <w:kern w:val="0"/>
                <w:sz w:val="22"/>
              </w:rPr>
            </w:pPr>
            <w:r>
              <w:rPr>
                <w:rFonts w:ascii="Times New Roman" w:hAnsi="Times New Roman"/>
                <w:color w:val="000000" w:themeColor="text1"/>
                <w:kern w:val="0"/>
                <w:sz w:val="22"/>
              </w:rPr>
              <w:t>11.</w:t>
            </w:r>
            <w:r>
              <w:rPr>
                <w:rFonts w:ascii="Times New Roman" w:hAnsi="Times New Roman" w:hint="eastAsia"/>
                <w:color w:val="000000" w:themeColor="text1"/>
                <w:kern w:val="0"/>
                <w:sz w:val="22"/>
              </w:rPr>
              <w:t xml:space="preserve"> </w:t>
            </w:r>
            <w:r>
              <w:rPr>
                <w:rFonts w:ascii="Times New Roman" w:hAnsi="Times New Roman"/>
                <w:color w:val="000000" w:themeColor="text1"/>
                <w:kern w:val="0"/>
                <w:sz w:val="22"/>
              </w:rPr>
              <w:t>设备内部提供对单包装药品上药、管理、发放全过程进行自动跟踪监测，实现各工作环节的全视频监控。</w:t>
            </w:r>
          </w:p>
          <w:p w14:paraId="5C2272B8" w14:textId="77777777" w:rsidR="00A11E91" w:rsidRDefault="00AD464B">
            <w:pPr>
              <w:widowControl/>
              <w:spacing w:line="288" w:lineRule="auto"/>
              <w:jc w:val="left"/>
            </w:pPr>
            <w:r>
              <w:rPr>
                <w:rFonts w:ascii="Times New Roman" w:hAnsi="Times New Roman"/>
                <w:color w:val="000000" w:themeColor="text1"/>
                <w:kern w:val="0"/>
                <w:sz w:val="22"/>
              </w:rPr>
              <w:lastRenderedPageBreak/>
              <w:t>12.</w:t>
            </w:r>
            <w:r>
              <w:rPr>
                <w:rFonts w:ascii="Times New Roman" w:hAnsi="Times New Roman"/>
                <w:color w:val="000000" w:themeColor="text1"/>
                <w:sz w:val="22"/>
              </w:rPr>
              <w:t xml:space="preserve"> </w:t>
            </w:r>
            <w:r>
              <w:rPr>
                <w:rFonts w:ascii="Times New Roman" w:hAnsi="Times New Roman"/>
                <w:color w:val="000000" w:themeColor="text1"/>
                <w:kern w:val="0"/>
                <w:sz w:val="22"/>
              </w:rPr>
              <w:t>遇特殊情况（如</w:t>
            </w:r>
            <w:r>
              <w:rPr>
                <w:rFonts w:ascii="Times New Roman" w:hAnsi="Times New Roman"/>
                <w:color w:val="000000" w:themeColor="text1"/>
                <w:kern w:val="0"/>
                <w:sz w:val="22"/>
              </w:rPr>
              <w:t>HIS</w:t>
            </w:r>
            <w:r>
              <w:rPr>
                <w:rFonts w:ascii="Times New Roman" w:hAnsi="Times New Roman"/>
                <w:color w:val="000000" w:themeColor="text1"/>
                <w:kern w:val="0"/>
                <w:sz w:val="22"/>
              </w:rPr>
              <w:t>系统出现故障），药师可按处方信息从设备点</w:t>
            </w:r>
            <w:proofErr w:type="gramStart"/>
            <w:r>
              <w:rPr>
                <w:rFonts w:ascii="Times New Roman" w:hAnsi="Times New Roman"/>
                <w:color w:val="000000" w:themeColor="text1"/>
                <w:kern w:val="0"/>
                <w:sz w:val="22"/>
              </w:rPr>
              <w:t>选相应</w:t>
            </w:r>
            <w:proofErr w:type="gramEnd"/>
            <w:r>
              <w:rPr>
                <w:rFonts w:ascii="Times New Roman" w:hAnsi="Times New Roman"/>
                <w:color w:val="000000" w:themeColor="text1"/>
                <w:kern w:val="0"/>
                <w:sz w:val="22"/>
              </w:rPr>
              <w:t>药品及数量，设备仍能按指定窗口自动发药。</w:t>
            </w:r>
          </w:p>
        </w:tc>
      </w:tr>
    </w:tbl>
    <w:p w14:paraId="5C2272BA" w14:textId="77777777" w:rsidR="00A11E91" w:rsidRDefault="00AD464B">
      <w:pPr>
        <w:pStyle w:val="2"/>
        <w:spacing w:before="700"/>
        <w:jc w:val="center"/>
        <w:rPr>
          <w:szCs w:val="32"/>
        </w:rPr>
      </w:pPr>
      <w:r>
        <w:rPr>
          <w:rFonts w:hint="eastAsia"/>
          <w:szCs w:val="32"/>
        </w:rPr>
        <w:lastRenderedPageBreak/>
        <w:t>设备配套耗材试剂情况</w:t>
      </w:r>
    </w:p>
    <w:p w14:paraId="5C2272BB" w14:textId="77777777" w:rsidR="00A11E91" w:rsidRDefault="00AD464B">
      <w:pPr>
        <w:spacing w:afterLines="50" w:after="156"/>
        <w:jc w:val="left"/>
        <w:rPr>
          <w:rFonts w:ascii="Times New Roman" w:hAnsi="Times New Roman"/>
          <w:b/>
          <w:bCs/>
          <w:kern w:val="0"/>
          <w:sz w:val="22"/>
        </w:rPr>
      </w:pPr>
      <w:r>
        <w:rPr>
          <w:rFonts w:ascii="宋体" w:hAnsi="宋体" w:cs="宋体" w:hint="eastAsia"/>
          <w:b/>
          <w:bCs/>
          <w:kern w:val="0"/>
          <w:sz w:val="24"/>
          <w:szCs w:val="24"/>
        </w:rPr>
        <w:t>配套耗材或试剂</w:t>
      </w:r>
      <w:r>
        <w:rPr>
          <w:rFonts w:ascii="宋体" w:hAnsi="宋体" w:cs="宋体" w:hint="eastAsia"/>
          <w:b/>
          <w:bCs/>
          <w:kern w:val="0"/>
          <w:sz w:val="24"/>
          <w:szCs w:val="24"/>
        </w:rPr>
        <w:t xml:space="preserve">  </w:t>
      </w:r>
      <w:r>
        <w:rPr>
          <w:rFonts w:ascii="宋体" w:hAnsi="宋体" w:cs="宋体" w:hint="eastAsia"/>
          <w:b/>
          <w:bCs/>
          <w:kern w:val="0"/>
          <w:sz w:val="24"/>
          <w:szCs w:val="24"/>
        </w:rPr>
        <w:t>（</w:t>
      </w:r>
      <w:r>
        <w:rPr>
          <w:rFonts w:ascii="宋体" w:hAnsi="宋体" w:cs="宋体" w:hint="eastAsia"/>
          <w:b/>
          <w:bCs/>
          <w:color w:val="FF0000"/>
          <w:kern w:val="0"/>
          <w:sz w:val="24"/>
          <w:szCs w:val="24"/>
        </w:rPr>
        <w:t>开放□</w:t>
      </w:r>
      <w:r>
        <w:rPr>
          <w:rFonts w:ascii="宋体" w:hAnsi="宋体" w:cs="宋体" w:hint="eastAsia"/>
          <w:b/>
          <w:bCs/>
          <w:color w:val="FF0000"/>
          <w:kern w:val="0"/>
          <w:sz w:val="24"/>
          <w:szCs w:val="24"/>
        </w:rPr>
        <w:t xml:space="preserve">   </w:t>
      </w:r>
      <w:r>
        <w:rPr>
          <w:rFonts w:ascii="宋体" w:hAnsi="宋体" w:cs="宋体" w:hint="eastAsia"/>
          <w:b/>
          <w:bCs/>
          <w:color w:val="FF0000"/>
          <w:kern w:val="0"/>
          <w:sz w:val="24"/>
          <w:szCs w:val="24"/>
        </w:rPr>
        <w:t>专用□</w:t>
      </w:r>
      <w:r>
        <w:rPr>
          <w:rFonts w:ascii="宋体" w:hAnsi="宋体" w:cs="宋体" w:hint="eastAsia"/>
          <w:b/>
          <w:bCs/>
          <w:color w:val="FF0000"/>
          <w:kern w:val="0"/>
          <w:sz w:val="24"/>
          <w:szCs w:val="24"/>
        </w:rPr>
        <w:t xml:space="preserve">   </w:t>
      </w:r>
      <w:r>
        <w:rPr>
          <w:rFonts w:ascii="宋体" w:hAnsi="宋体" w:cs="宋体" w:hint="eastAsia"/>
          <w:b/>
          <w:bCs/>
          <w:color w:val="FF0000"/>
          <w:kern w:val="0"/>
          <w:sz w:val="24"/>
          <w:szCs w:val="24"/>
        </w:rPr>
        <w:t>无</w:t>
      </w:r>
      <w:r>
        <w:rPr>
          <w:rFonts w:ascii="宋体" w:hAnsi="宋体" w:cs="宋体" w:hint="eastAsia"/>
          <w:b/>
          <w:bCs/>
          <w:color w:val="FF0000"/>
          <w:kern w:val="0"/>
          <w:sz w:val="24"/>
          <w:szCs w:val="24"/>
        </w:rPr>
        <w:t>☑</w:t>
      </w:r>
      <w:r>
        <w:rPr>
          <w:rFonts w:ascii="宋体" w:hAnsi="宋体" w:cs="宋体" w:hint="eastAsia"/>
          <w:b/>
          <w:bCs/>
          <w:kern w:val="0"/>
          <w:sz w:val="24"/>
          <w:szCs w:val="24"/>
        </w:rPr>
        <w:t>）</w:t>
      </w:r>
      <w:r>
        <w:rPr>
          <w:rFonts w:ascii="Times New Roman" w:hAnsi="Times New Roman"/>
          <w:b/>
          <w:bCs/>
          <w:kern w:val="0"/>
          <w:sz w:val="22"/>
        </w:rPr>
        <w:t xml:space="preserve"> </w:t>
      </w:r>
    </w:p>
    <w:p w14:paraId="5C2272BC" w14:textId="77777777" w:rsidR="00A11E91" w:rsidRDefault="00AD464B">
      <w:pPr>
        <w:spacing w:afterLines="50" w:after="156"/>
        <w:jc w:val="left"/>
        <w:rPr>
          <w:rFonts w:ascii="Times New Roman" w:hAnsi="Times New Roman"/>
          <w:b/>
          <w:bCs/>
          <w:kern w:val="0"/>
          <w:sz w:val="24"/>
          <w:szCs w:val="24"/>
        </w:rPr>
      </w:pPr>
      <w:r>
        <w:rPr>
          <w:rFonts w:ascii="Times New Roman" w:hAnsi="Times New Roman"/>
          <w:b/>
          <w:bCs/>
          <w:kern w:val="0"/>
          <w:sz w:val="24"/>
          <w:szCs w:val="24"/>
        </w:rPr>
        <w:t>配套耗材</w:t>
      </w:r>
    </w:p>
    <w:tbl>
      <w:tblPr>
        <w:tblW w:w="0" w:type="auto"/>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4857"/>
        <w:gridCol w:w="1985"/>
        <w:gridCol w:w="2013"/>
      </w:tblGrid>
      <w:tr w:rsidR="00A11E91" w14:paraId="5C2272C1" w14:textId="77777777">
        <w:trPr>
          <w:trHeight w:val="567"/>
        </w:trPr>
        <w:tc>
          <w:tcPr>
            <w:tcW w:w="735" w:type="dxa"/>
            <w:vAlign w:val="center"/>
          </w:tcPr>
          <w:p w14:paraId="5C2272BD" w14:textId="77777777" w:rsidR="00A11E91" w:rsidRDefault="00AD464B">
            <w:pPr>
              <w:jc w:val="center"/>
              <w:rPr>
                <w:rFonts w:ascii="Times New Roman" w:hAnsi="Times New Roman"/>
                <w:b/>
                <w:sz w:val="22"/>
              </w:rPr>
            </w:pPr>
            <w:r>
              <w:rPr>
                <w:rFonts w:ascii="Times New Roman" w:hAnsi="Times New Roman"/>
                <w:b/>
                <w:sz w:val="22"/>
              </w:rPr>
              <w:t>序号</w:t>
            </w:r>
          </w:p>
        </w:tc>
        <w:tc>
          <w:tcPr>
            <w:tcW w:w="4857" w:type="dxa"/>
            <w:vAlign w:val="center"/>
          </w:tcPr>
          <w:p w14:paraId="5C2272BE" w14:textId="77777777" w:rsidR="00A11E91" w:rsidRDefault="00AD464B">
            <w:pPr>
              <w:jc w:val="center"/>
              <w:rPr>
                <w:rFonts w:ascii="Times New Roman" w:hAnsi="Times New Roman"/>
                <w:b/>
                <w:sz w:val="22"/>
              </w:rPr>
            </w:pPr>
            <w:r>
              <w:rPr>
                <w:rFonts w:ascii="Times New Roman" w:hAnsi="Times New Roman"/>
                <w:b/>
                <w:sz w:val="22"/>
              </w:rPr>
              <w:t>名称</w:t>
            </w:r>
          </w:p>
        </w:tc>
        <w:tc>
          <w:tcPr>
            <w:tcW w:w="1985" w:type="dxa"/>
            <w:vAlign w:val="center"/>
          </w:tcPr>
          <w:p w14:paraId="5C2272BF" w14:textId="77777777" w:rsidR="00A11E91" w:rsidRDefault="00AD464B">
            <w:pPr>
              <w:jc w:val="center"/>
              <w:rPr>
                <w:rFonts w:ascii="Times New Roman" w:hAnsi="Times New Roman"/>
                <w:b/>
                <w:sz w:val="22"/>
              </w:rPr>
            </w:pPr>
            <w:r>
              <w:rPr>
                <w:rFonts w:ascii="Times New Roman" w:hAnsi="Times New Roman"/>
                <w:b/>
                <w:sz w:val="22"/>
              </w:rPr>
              <w:t>单位</w:t>
            </w:r>
          </w:p>
        </w:tc>
        <w:tc>
          <w:tcPr>
            <w:tcW w:w="2013" w:type="dxa"/>
            <w:vAlign w:val="center"/>
          </w:tcPr>
          <w:p w14:paraId="5C2272C0" w14:textId="77777777" w:rsidR="00A11E91" w:rsidRDefault="00AD464B">
            <w:pPr>
              <w:jc w:val="center"/>
              <w:rPr>
                <w:rFonts w:ascii="Times New Roman" w:hAnsi="Times New Roman"/>
                <w:b/>
                <w:sz w:val="22"/>
              </w:rPr>
            </w:pPr>
            <w:r>
              <w:rPr>
                <w:rFonts w:ascii="Times New Roman" w:hAnsi="Times New Roman"/>
                <w:b/>
                <w:sz w:val="22"/>
              </w:rPr>
              <w:t>预算单价（元）</w:t>
            </w:r>
          </w:p>
        </w:tc>
      </w:tr>
      <w:tr w:rsidR="00A11E91" w14:paraId="5C2272C6" w14:textId="77777777">
        <w:trPr>
          <w:trHeight w:val="567"/>
        </w:trPr>
        <w:tc>
          <w:tcPr>
            <w:tcW w:w="735" w:type="dxa"/>
            <w:vAlign w:val="center"/>
          </w:tcPr>
          <w:p w14:paraId="5C2272C2" w14:textId="77777777" w:rsidR="00A11E91" w:rsidRDefault="00AD464B">
            <w:pPr>
              <w:jc w:val="center"/>
              <w:rPr>
                <w:rFonts w:ascii="Times New Roman" w:hAnsi="Times New Roman"/>
                <w:b/>
                <w:sz w:val="22"/>
              </w:rPr>
            </w:pPr>
            <w:r>
              <w:rPr>
                <w:rFonts w:ascii="Times New Roman" w:hAnsi="Times New Roman"/>
                <w:b/>
                <w:sz w:val="22"/>
              </w:rPr>
              <w:t>1</w:t>
            </w:r>
          </w:p>
        </w:tc>
        <w:tc>
          <w:tcPr>
            <w:tcW w:w="4857" w:type="dxa"/>
            <w:vAlign w:val="center"/>
          </w:tcPr>
          <w:p w14:paraId="5C2272C3" w14:textId="77777777" w:rsidR="00A11E91" w:rsidRDefault="00A11E91">
            <w:pPr>
              <w:jc w:val="center"/>
              <w:rPr>
                <w:rFonts w:ascii="Times New Roman" w:hAnsi="Times New Roman"/>
                <w:b/>
                <w:sz w:val="22"/>
              </w:rPr>
            </w:pPr>
          </w:p>
        </w:tc>
        <w:tc>
          <w:tcPr>
            <w:tcW w:w="1985" w:type="dxa"/>
            <w:vAlign w:val="center"/>
          </w:tcPr>
          <w:p w14:paraId="5C2272C4" w14:textId="77777777" w:rsidR="00A11E91" w:rsidRDefault="00A11E91">
            <w:pPr>
              <w:jc w:val="center"/>
              <w:rPr>
                <w:rFonts w:ascii="Times New Roman" w:hAnsi="Times New Roman"/>
                <w:b/>
                <w:sz w:val="22"/>
              </w:rPr>
            </w:pPr>
          </w:p>
        </w:tc>
        <w:tc>
          <w:tcPr>
            <w:tcW w:w="2013" w:type="dxa"/>
            <w:vAlign w:val="center"/>
          </w:tcPr>
          <w:p w14:paraId="5C2272C5" w14:textId="77777777" w:rsidR="00A11E91" w:rsidRDefault="00A11E91">
            <w:pPr>
              <w:jc w:val="center"/>
              <w:rPr>
                <w:rFonts w:ascii="Times New Roman" w:hAnsi="Times New Roman"/>
                <w:b/>
                <w:sz w:val="22"/>
              </w:rPr>
            </w:pPr>
          </w:p>
        </w:tc>
      </w:tr>
      <w:tr w:rsidR="00A11E91" w14:paraId="5C2272CB" w14:textId="77777777">
        <w:trPr>
          <w:trHeight w:val="567"/>
        </w:trPr>
        <w:tc>
          <w:tcPr>
            <w:tcW w:w="735" w:type="dxa"/>
            <w:vAlign w:val="center"/>
          </w:tcPr>
          <w:p w14:paraId="5C2272C7" w14:textId="77777777" w:rsidR="00A11E91" w:rsidRDefault="00AD464B">
            <w:pPr>
              <w:jc w:val="center"/>
              <w:rPr>
                <w:rFonts w:ascii="Times New Roman" w:hAnsi="Times New Roman"/>
                <w:b/>
                <w:sz w:val="22"/>
              </w:rPr>
            </w:pPr>
            <w:r>
              <w:rPr>
                <w:rFonts w:ascii="Times New Roman" w:hAnsi="Times New Roman"/>
                <w:b/>
                <w:sz w:val="22"/>
              </w:rPr>
              <w:t>2</w:t>
            </w:r>
          </w:p>
        </w:tc>
        <w:tc>
          <w:tcPr>
            <w:tcW w:w="4857" w:type="dxa"/>
            <w:vAlign w:val="center"/>
          </w:tcPr>
          <w:p w14:paraId="5C2272C8" w14:textId="77777777" w:rsidR="00A11E91" w:rsidRDefault="00A11E91">
            <w:pPr>
              <w:jc w:val="center"/>
              <w:rPr>
                <w:rFonts w:ascii="Times New Roman" w:hAnsi="Times New Roman"/>
                <w:b/>
                <w:sz w:val="22"/>
              </w:rPr>
            </w:pPr>
          </w:p>
        </w:tc>
        <w:tc>
          <w:tcPr>
            <w:tcW w:w="1985" w:type="dxa"/>
            <w:vAlign w:val="center"/>
          </w:tcPr>
          <w:p w14:paraId="5C2272C9" w14:textId="77777777" w:rsidR="00A11E91" w:rsidRDefault="00A11E91">
            <w:pPr>
              <w:jc w:val="center"/>
              <w:rPr>
                <w:rFonts w:ascii="Times New Roman" w:hAnsi="Times New Roman"/>
                <w:b/>
                <w:sz w:val="22"/>
              </w:rPr>
            </w:pPr>
          </w:p>
        </w:tc>
        <w:tc>
          <w:tcPr>
            <w:tcW w:w="2013" w:type="dxa"/>
            <w:vAlign w:val="center"/>
          </w:tcPr>
          <w:p w14:paraId="5C2272CA" w14:textId="77777777" w:rsidR="00A11E91" w:rsidRDefault="00A11E91">
            <w:pPr>
              <w:jc w:val="center"/>
              <w:rPr>
                <w:rFonts w:ascii="Times New Roman" w:hAnsi="Times New Roman"/>
                <w:b/>
                <w:sz w:val="22"/>
              </w:rPr>
            </w:pPr>
          </w:p>
        </w:tc>
      </w:tr>
    </w:tbl>
    <w:p w14:paraId="5C2272CC" w14:textId="77777777" w:rsidR="00A11E91" w:rsidRDefault="00A11E91">
      <w:pPr>
        <w:jc w:val="left"/>
        <w:rPr>
          <w:rFonts w:ascii="Times New Roman" w:hAnsi="Times New Roman"/>
          <w:sz w:val="22"/>
        </w:rPr>
      </w:pPr>
    </w:p>
    <w:p w14:paraId="5C2272CD" w14:textId="77777777" w:rsidR="00A11E91" w:rsidRDefault="00AD464B">
      <w:pPr>
        <w:spacing w:afterLines="50" w:after="156"/>
        <w:jc w:val="left"/>
        <w:rPr>
          <w:rFonts w:ascii="Times New Roman" w:hAnsi="Times New Roman"/>
          <w:b/>
          <w:bCs/>
          <w:kern w:val="0"/>
          <w:sz w:val="24"/>
          <w:szCs w:val="24"/>
        </w:rPr>
      </w:pPr>
      <w:r>
        <w:rPr>
          <w:rFonts w:ascii="Times New Roman" w:hAnsi="Times New Roman"/>
          <w:b/>
          <w:bCs/>
          <w:kern w:val="0"/>
          <w:sz w:val="24"/>
          <w:szCs w:val="24"/>
        </w:rPr>
        <w:t>配套试剂</w:t>
      </w:r>
      <w:r>
        <w:rPr>
          <w:rFonts w:ascii="Times New Roman" w:hAnsi="Times New Roman"/>
          <w:b/>
          <w:bCs/>
          <w:kern w:val="0"/>
          <w:sz w:val="24"/>
          <w:szCs w:val="24"/>
        </w:rPr>
        <w:t xml:space="preserve"> </w:t>
      </w:r>
    </w:p>
    <w:tbl>
      <w:tblPr>
        <w:tblW w:w="96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857"/>
        <w:gridCol w:w="1985"/>
        <w:gridCol w:w="2031"/>
      </w:tblGrid>
      <w:tr w:rsidR="00A11E91" w14:paraId="5C2272D2" w14:textId="77777777">
        <w:trPr>
          <w:trHeight w:val="567"/>
        </w:trPr>
        <w:tc>
          <w:tcPr>
            <w:tcW w:w="737" w:type="dxa"/>
            <w:vAlign w:val="center"/>
          </w:tcPr>
          <w:p w14:paraId="5C2272CE" w14:textId="77777777" w:rsidR="00A11E91" w:rsidRDefault="00AD464B">
            <w:pPr>
              <w:jc w:val="center"/>
              <w:rPr>
                <w:rFonts w:ascii="Times New Roman" w:hAnsi="Times New Roman"/>
                <w:b/>
                <w:sz w:val="22"/>
              </w:rPr>
            </w:pPr>
            <w:r>
              <w:rPr>
                <w:rFonts w:ascii="Times New Roman" w:hAnsi="Times New Roman"/>
                <w:b/>
                <w:sz w:val="22"/>
              </w:rPr>
              <w:t>序号</w:t>
            </w:r>
          </w:p>
        </w:tc>
        <w:tc>
          <w:tcPr>
            <w:tcW w:w="4857" w:type="dxa"/>
            <w:vAlign w:val="center"/>
          </w:tcPr>
          <w:p w14:paraId="5C2272CF" w14:textId="77777777" w:rsidR="00A11E91" w:rsidRDefault="00AD464B">
            <w:pPr>
              <w:jc w:val="center"/>
              <w:rPr>
                <w:rFonts w:ascii="Times New Roman" w:hAnsi="Times New Roman"/>
                <w:b/>
                <w:sz w:val="22"/>
              </w:rPr>
            </w:pPr>
            <w:r>
              <w:rPr>
                <w:rFonts w:ascii="Times New Roman" w:hAnsi="Times New Roman"/>
                <w:b/>
                <w:sz w:val="22"/>
              </w:rPr>
              <w:t>名称</w:t>
            </w:r>
          </w:p>
        </w:tc>
        <w:tc>
          <w:tcPr>
            <w:tcW w:w="1985" w:type="dxa"/>
            <w:vAlign w:val="center"/>
          </w:tcPr>
          <w:p w14:paraId="5C2272D0" w14:textId="77777777" w:rsidR="00A11E91" w:rsidRDefault="00AD464B">
            <w:pPr>
              <w:jc w:val="center"/>
              <w:rPr>
                <w:rFonts w:ascii="Times New Roman" w:hAnsi="Times New Roman"/>
                <w:b/>
                <w:sz w:val="22"/>
              </w:rPr>
            </w:pPr>
            <w:r>
              <w:rPr>
                <w:rFonts w:ascii="Times New Roman" w:hAnsi="Times New Roman"/>
                <w:b/>
                <w:sz w:val="22"/>
              </w:rPr>
              <w:t>单位</w:t>
            </w:r>
          </w:p>
        </w:tc>
        <w:tc>
          <w:tcPr>
            <w:tcW w:w="2031" w:type="dxa"/>
            <w:vAlign w:val="center"/>
          </w:tcPr>
          <w:p w14:paraId="5C2272D1" w14:textId="77777777" w:rsidR="00A11E91" w:rsidRDefault="00AD464B">
            <w:pPr>
              <w:jc w:val="center"/>
              <w:rPr>
                <w:rFonts w:ascii="Times New Roman" w:hAnsi="Times New Roman"/>
                <w:b/>
                <w:sz w:val="22"/>
              </w:rPr>
            </w:pPr>
            <w:r>
              <w:rPr>
                <w:rFonts w:ascii="Times New Roman" w:hAnsi="Times New Roman"/>
                <w:b/>
                <w:sz w:val="22"/>
              </w:rPr>
              <w:t>预算单价</w:t>
            </w:r>
            <w:r>
              <w:rPr>
                <w:rFonts w:ascii="Times New Roman" w:hAnsi="Times New Roman" w:hint="eastAsia"/>
                <w:b/>
                <w:sz w:val="22"/>
              </w:rPr>
              <w:t>（</w:t>
            </w:r>
            <w:r>
              <w:rPr>
                <w:rFonts w:ascii="Times New Roman" w:hAnsi="Times New Roman" w:hint="eastAsia"/>
                <w:b/>
                <w:sz w:val="22"/>
              </w:rPr>
              <w:t>元</w:t>
            </w:r>
            <w:r>
              <w:rPr>
                <w:rFonts w:ascii="Times New Roman" w:hAnsi="Times New Roman" w:hint="eastAsia"/>
                <w:b/>
                <w:sz w:val="22"/>
              </w:rPr>
              <w:t>）</w:t>
            </w:r>
          </w:p>
        </w:tc>
      </w:tr>
      <w:tr w:rsidR="00A11E91" w14:paraId="5C2272D7" w14:textId="77777777">
        <w:trPr>
          <w:trHeight w:val="567"/>
        </w:trPr>
        <w:tc>
          <w:tcPr>
            <w:tcW w:w="737" w:type="dxa"/>
            <w:vAlign w:val="center"/>
          </w:tcPr>
          <w:p w14:paraId="5C2272D3" w14:textId="77777777" w:rsidR="00A11E91" w:rsidRDefault="00AD464B">
            <w:pPr>
              <w:jc w:val="center"/>
              <w:rPr>
                <w:rFonts w:ascii="Times New Roman" w:hAnsi="Times New Roman"/>
                <w:b/>
                <w:sz w:val="22"/>
              </w:rPr>
            </w:pPr>
            <w:r>
              <w:rPr>
                <w:rFonts w:ascii="Times New Roman" w:hAnsi="Times New Roman"/>
                <w:b/>
                <w:sz w:val="22"/>
              </w:rPr>
              <w:t>1</w:t>
            </w:r>
          </w:p>
        </w:tc>
        <w:tc>
          <w:tcPr>
            <w:tcW w:w="4857" w:type="dxa"/>
            <w:vAlign w:val="center"/>
          </w:tcPr>
          <w:p w14:paraId="5C2272D4" w14:textId="77777777" w:rsidR="00A11E91" w:rsidRDefault="00A11E91">
            <w:pPr>
              <w:jc w:val="center"/>
              <w:rPr>
                <w:rFonts w:ascii="Times New Roman" w:hAnsi="Times New Roman"/>
                <w:sz w:val="22"/>
              </w:rPr>
            </w:pPr>
          </w:p>
        </w:tc>
        <w:tc>
          <w:tcPr>
            <w:tcW w:w="1985" w:type="dxa"/>
            <w:vAlign w:val="center"/>
          </w:tcPr>
          <w:p w14:paraId="5C2272D5" w14:textId="77777777" w:rsidR="00A11E91" w:rsidRDefault="00A11E91">
            <w:pPr>
              <w:jc w:val="center"/>
              <w:rPr>
                <w:rFonts w:ascii="Times New Roman" w:hAnsi="Times New Roman"/>
                <w:sz w:val="22"/>
              </w:rPr>
            </w:pPr>
          </w:p>
        </w:tc>
        <w:tc>
          <w:tcPr>
            <w:tcW w:w="2031" w:type="dxa"/>
            <w:vAlign w:val="center"/>
          </w:tcPr>
          <w:p w14:paraId="5C2272D6" w14:textId="77777777" w:rsidR="00A11E91" w:rsidRDefault="00A11E91">
            <w:pPr>
              <w:jc w:val="center"/>
              <w:rPr>
                <w:rFonts w:ascii="Times New Roman" w:hAnsi="Times New Roman"/>
                <w:sz w:val="22"/>
              </w:rPr>
            </w:pPr>
          </w:p>
        </w:tc>
      </w:tr>
      <w:tr w:rsidR="00A11E91" w14:paraId="5C2272DC" w14:textId="77777777">
        <w:trPr>
          <w:trHeight w:val="567"/>
        </w:trPr>
        <w:tc>
          <w:tcPr>
            <w:tcW w:w="737" w:type="dxa"/>
            <w:vAlign w:val="center"/>
          </w:tcPr>
          <w:p w14:paraId="5C2272D8" w14:textId="77777777" w:rsidR="00A11E91" w:rsidRDefault="00AD464B">
            <w:pPr>
              <w:jc w:val="center"/>
              <w:rPr>
                <w:rFonts w:ascii="Times New Roman" w:hAnsi="Times New Roman"/>
                <w:b/>
                <w:sz w:val="22"/>
              </w:rPr>
            </w:pPr>
            <w:r>
              <w:rPr>
                <w:rFonts w:ascii="Times New Roman" w:hAnsi="Times New Roman"/>
                <w:b/>
                <w:sz w:val="22"/>
              </w:rPr>
              <w:t>2</w:t>
            </w:r>
          </w:p>
        </w:tc>
        <w:tc>
          <w:tcPr>
            <w:tcW w:w="4857" w:type="dxa"/>
            <w:vAlign w:val="center"/>
          </w:tcPr>
          <w:p w14:paraId="5C2272D9" w14:textId="77777777" w:rsidR="00A11E91" w:rsidRDefault="00A11E91">
            <w:pPr>
              <w:jc w:val="center"/>
              <w:rPr>
                <w:rFonts w:ascii="Times New Roman" w:hAnsi="Times New Roman"/>
                <w:sz w:val="22"/>
              </w:rPr>
            </w:pPr>
          </w:p>
        </w:tc>
        <w:tc>
          <w:tcPr>
            <w:tcW w:w="1985" w:type="dxa"/>
            <w:vAlign w:val="center"/>
          </w:tcPr>
          <w:p w14:paraId="5C2272DA" w14:textId="77777777" w:rsidR="00A11E91" w:rsidRDefault="00A11E91">
            <w:pPr>
              <w:jc w:val="center"/>
              <w:rPr>
                <w:rFonts w:ascii="Times New Roman" w:hAnsi="Times New Roman"/>
                <w:sz w:val="22"/>
              </w:rPr>
            </w:pPr>
          </w:p>
        </w:tc>
        <w:tc>
          <w:tcPr>
            <w:tcW w:w="2031" w:type="dxa"/>
            <w:vAlign w:val="center"/>
          </w:tcPr>
          <w:p w14:paraId="5C2272DB" w14:textId="77777777" w:rsidR="00A11E91" w:rsidRDefault="00A11E91">
            <w:pPr>
              <w:jc w:val="center"/>
              <w:rPr>
                <w:rFonts w:ascii="Times New Roman" w:hAnsi="Times New Roman"/>
                <w:sz w:val="22"/>
              </w:rPr>
            </w:pPr>
          </w:p>
        </w:tc>
      </w:tr>
    </w:tbl>
    <w:p w14:paraId="5C2272DD" w14:textId="77777777" w:rsidR="00A11E91" w:rsidRDefault="00A11E91">
      <w:pPr>
        <w:rPr>
          <w:rFonts w:ascii="微软雅黑" w:eastAsia="微软雅黑" w:hAnsi="微软雅黑" w:cs="宋体"/>
          <w:color w:val="3F3F3F"/>
          <w:kern w:val="0"/>
          <w:szCs w:val="21"/>
        </w:rPr>
      </w:pPr>
    </w:p>
    <w:sectPr w:rsidR="00A11E91">
      <w:footerReference w:type="default" r:id="rId7"/>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272E3" w14:textId="77777777" w:rsidR="00AD464B" w:rsidRDefault="00AD464B">
      <w:r>
        <w:separator/>
      </w:r>
    </w:p>
  </w:endnote>
  <w:endnote w:type="continuationSeparator" w:id="0">
    <w:p w14:paraId="5C2272E5" w14:textId="77777777" w:rsidR="00AD464B" w:rsidRDefault="00AD4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272DE" w14:textId="77777777" w:rsidR="00A11E91" w:rsidRDefault="00A11E9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272DF" w14:textId="77777777" w:rsidR="00AD464B" w:rsidRDefault="00AD464B">
      <w:r>
        <w:separator/>
      </w:r>
    </w:p>
  </w:footnote>
  <w:footnote w:type="continuationSeparator" w:id="0">
    <w:p w14:paraId="5C2272E1" w14:textId="77777777" w:rsidR="00AD464B" w:rsidRDefault="00AD46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53C8CC"/>
    <w:multiLevelType w:val="singleLevel"/>
    <w:tmpl w:val="9253C8CC"/>
    <w:lvl w:ilvl="0">
      <w:start w:val="4"/>
      <w:numFmt w:val="decimal"/>
      <w:suff w:val="space"/>
      <w:lvlText w:val="%1."/>
      <w:lvlJc w:val="left"/>
    </w:lvl>
  </w:abstractNum>
  <w:abstractNum w:abstractNumId="1" w15:restartNumberingAfterBreak="0">
    <w:nsid w:val="F3355DDB"/>
    <w:multiLevelType w:val="singleLevel"/>
    <w:tmpl w:val="F3355DDB"/>
    <w:lvl w:ilvl="0">
      <w:start w:val="1"/>
      <w:numFmt w:val="decimal"/>
      <w:suff w:val="space"/>
      <w:lvlText w:val="%1."/>
      <w:lvlJc w:val="left"/>
    </w:lvl>
  </w:abstractNum>
  <w:num w:numId="1" w16cid:durableId="1085803014">
    <w:abstractNumId w:val="1"/>
  </w:num>
  <w:num w:numId="2" w16cid:durableId="1343704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gxMjk0M2E4NWU2Y2Q5YjM1MmQzNDdjN2FlY2ZjNmIifQ=="/>
  </w:docVars>
  <w:rsids>
    <w:rsidRoot w:val="00180716"/>
    <w:rsid w:val="00031B84"/>
    <w:rsid w:val="0007571F"/>
    <w:rsid w:val="00086401"/>
    <w:rsid w:val="000B3A24"/>
    <w:rsid w:val="000E0A0A"/>
    <w:rsid w:val="00100D1E"/>
    <w:rsid w:val="0012370B"/>
    <w:rsid w:val="00153A42"/>
    <w:rsid w:val="0015678E"/>
    <w:rsid w:val="00180716"/>
    <w:rsid w:val="0018661F"/>
    <w:rsid w:val="001B0A84"/>
    <w:rsid w:val="001D5E72"/>
    <w:rsid w:val="00206936"/>
    <w:rsid w:val="00260BA5"/>
    <w:rsid w:val="00261625"/>
    <w:rsid w:val="002617DE"/>
    <w:rsid w:val="002738F1"/>
    <w:rsid w:val="00277675"/>
    <w:rsid w:val="002C0BFD"/>
    <w:rsid w:val="002C6C45"/>
    <w:rsid w:val="002D02F7"/>
    <w:rsid w:val="002D59FE"/>
    <w:rsid w:val="003141BC"/>
    <w:rsid w:val="0031707A"/>
    <w:rsid w:val="00333E2E"/>
    <w:rsid w:val="0033560C"/>
    <w:rsid w:val="003407BA"/>
    <w:rsid w:val="00362072"/>
    <w:rsid w:val="0036311E"/>
    <w:rsid w:val="003938A4"/>
    <w:rsid w:val="003B5D40"/>
    <w:rsid w:val="003D4CEF"/>
    <w:rsid w:val="003E15A0"/>
    <w:rsid w:val="00437E27"/>
    <w:rsid w:val="00447FAF"/>
    <w:rsid w:val="004607A8"/>
    <w:rsid w:val="0046248D"/>
    <w:rsid w:val="00464544"/>
    <w:rsid w:val="004777CE"/>
    <w:rsid w:val="00485E99"/>
    <w:rsid w:val="004B2BE5"/>
    <w:rsid w:val="004B4DC1"/>
    <w:rsid w:val="004B79FD"/>
    <w:rsid w:val="004C6FD8"/>
    <w:rsid w:val="004D7A0D"/>
    <w:rsid w:val="004E09F3"/>
    <w:rsid w:val="004E51B4"/>
    <w:rsid w:val="004E6075"/>
    <w:rsid w:val="004F46EC"/>
    <w:rsid w:val="00536070"/>
    <w:rsid w:val="005B4177"/>
    <w:rsid w:val="006071F6"/>
    <w:rsid w:val="006161EF"/>
    <w:rsid w:val="00627CBC"/>
    <w:rsid w:val="00667C4B"/>
    <w:rsid w:val="00696C5E"/>
    <w:rsid w:val="006B7040"/>
    <w:rsid w:val="006C1BAB"/>
    <w:rsid w:val="006C428C"/>
    <w:rsid w:val="006D3D80"/>
    <w:rsid w:val="006F1FD9"/>
    <w:rsid w:val="0071790B"/>
    <w:rsid w:val="00735F7B"/>
    <w:rsid w:val="007610A6"/>
    <w:rsid w:val="00766032"/>
    <w:rsid w:val="00787AF2"/>
    <w:rsid w:val="00787C5D"/>
    <w:rsid w:val="007E56A8"/>
    <w:rsid w:val="008046EB"/>
    <w:rsid w:val="00805E80"/>
    <w:rsid w:val="00812AE4"/>
    <w:rsid w:val="008143CB"/>
    <w:rsid w:val="008207E9"/>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0F0A"/>
    <w:rsid w:val="00992628"/>
    <w:rsid w:val="00993682"/>
    <w:rsid w:val="00A11E91"/>
    <w:rsid w:val="00A15F96"/>
    <w:rsid w:val="00A53A87"/>
    <w:rsid w:val="00A70CB8"/>
    <w:rsid w:val="00A75EBB"/>
    <w:rsid w:val="00AA10B5"/>
    <w:rsid w:val="00AA2A2D"/>
    <w:rsid w:val="00AB3ABF"/>
    <w:rsid w:val="00AB43D9"/>
    <w:rsid w:val="00AB686E"/>
    <w:rsid w:val="00AD464B"/>
    <w:rsid w:val="00AE3F04"/>
    <w:rsid w:val="00AF2364"/>
    <w:rsid w:val="00B04F86"/>
    <w:rsid w:val="00B16C5C"/>
    <w:rsid w:val="00B36BC4"/>
    <w:rsid w:val="00B37A82"/>
    <w:rsid w:val="00BB0B83"/>
    <w:rsid w:val="00BE5B4B"/>
    <w:rsid w:val="00C046E8"/>
    <w:rsid w:val="00C70023"/>
    <w:rsid w:val="00C70D64"/>
    <w:rsid w:val="00C717A1"/>
    <w:rsid w:val="00CA1F88"/>
    <w:rsid w:val="00CD5444"/>
    <w:rsid w:val="00CF037C"/>
    <w:rsid w:val="00D1471E"/>
    <w:rsid w:val="00D14837"/>
    <w:rsid w:val="00D2285F"/>
    <w:rsid w:val="00D5527C"/>
    <w:rsid w:val="00D577BE"/>
    <w:rsid w:val="00D650DC"/>
    <w:rsid w:val="00D736F6"/>
    <w:rsid w:val="00D73D7E"/>
    <w:rsid w:val="00D90205"/>
    <w:rsid w:val="00DA2A6D"/>
    <w:rsid w:val="00DB3248"/>
    <w:rsid w:val="00E100C3"/>
    <w:rsid w:val="00E13D8B"/>
    <w:rsid w:val="00E21177"/>
    <w:rsid w:val="00E43D98"/>
    <w:rsid w:val="00E84839"/>
    <w:rsid w:val="00E87DEE"/>
    <w:rsid w:val="00EA0AF4"/>
    <w:rsid w:val="00EA3933"/>
    <w:rsid w:val="00EC28F7"/>
    <w:rsid w:val="00F128E8"/>
    <w:rsid w:val="00F176BB"/>
    <w:rsid w:val="00F3782E"/>
    <w:rsid w:val="00F40917"/>
    <w:rsid w:val="00F47DA3"/>
    <w:rsid w:val="00F749F5"/>
    <w:rsid w:val="00F7726D"/>
    <w:rsid w:val="00F84832"/>
    <w:rsid w:val="00FD02B5"/>
    <w:rsid w:val="00FD584F"/>
    <w:rsid w:val="00FF48FB"/>
    <w:rsid w:val="0C60748C"/>
    <w:rsid w:val="151C1BF6"/>
    <w:rsid w:val="20527BD7"/>
    <w:rsid w:val="250F48E5"/>
    <w:rsid w:val="2A327913"/>
    <w:rsid w:val="2DD459F1"/>
    <w:rsid w:val="3845231C"/>
    <w:rsid w:val="59D025A4"/>
    <w:rsid w:val="5FF841E7"/>
    <w:rsid w:val="6B03049C"/>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272A7"/>
  <w15:docId w15:val="{4EEA1158-635D-4C5E-BDAE-C48D7C0E2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a5">
    <w:name w:val="Balloon Text"/>
    <w:basedOn w:val="a"/>
    <w:link w:val="a6"/>
    <w:autoRedefine/>
    <w:uiPriority w:val="99"/>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jc w:val="left"/>
    </w:pPr>
    <w:rPr>
      <w:kern w:val="0"/>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jc w:val="center"/>
    </w:pPr>
    <w:rPr>
      <w:kern w:val="0"/>
      <w:sz w:val="18"/>
      <w:szCs w:val="18"/>
    </w:rPr>
  </w:style>
  <w:style w:type="table" w:styleId="ab">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autoRedefine/>
    <w:uiPriority w:val="99"/>
    <w:unhideWhenUsed/>
    <w:qFormat/>
    <w:rPr>
      <w:sz w:val="21"/>
      <w:szCs w:val="21"/>
    </w:rPr>
  </w:style>
  <w:style w:type="character" w:customStyle="1" w:styleId="10">
    <w:name w:val="标题 1 字符"/>
    <w:link w:val="1"/>
    <w:autoRedefine/>
    <w:uiPriority w:val="9"/>
    <w:qFormat/>
    <w:rPr>
      <w:b/>
      <w:bCs/>
      <w:kern w:val="44"/>
      <w:sz w:val="44"/>
      <w:szCs w:val="44"/>
    </w:rPr>
  </w:style>
  <w:style w:type="character" w:customStyle="1" w:styleId="a4">
    <w:name w:val="批注文字 字符"/>
    <w:link w:val="a3"/>
    <w:autoRedefine/>
    <w:uiPriority w:val="99"/>
    <w:semiHidden/>
    <w:qFormat/>
    <w:rPr>
      <w:kern w:val="2"/>
      <w:sz w:val="21"/>
      <w:szCs w:val="22"/>
    </w:rPr>
  </w:style>
  <w:style w:type="character" w:customStyle="1" w:styleId="a6">
    <w:name w:val="批注框文本 字符"/>
    <w:link w:val="a5"/>
    <w:autoRedefine/>
    <w:uiPriority w:val="99"/>
    <w:semiHidden/>
    <w:qFormat/>
    <w:rPr>
      <w:kern w:val="2"/>
      <w:sz w:val="18"/>
      <w:szCs w:val="18"/>
    </w:rPr>
  </w:style>
  <w:style w:type="character" w:customStyle="1" w:styleId="a8">
    <w:name w:val="页脚 字符"/>
    <w:link w:val="a7"/>
    <w:autoRedefine/>
    <w:uiPriority w:val="99"/>
    <w:qFormat/>
    <w:rPr>
      <w:sz w:val="18"/>
      <w:szCs w:val="18"/>
    </w:rPr>
  </w:style>
  <w:style w:type="character" w:customStyle="1" w:styleId="aa">
    <w:name w:val="页眉 字符"/>
    <w:link w:val="a9"/>
    <w:autoRedefine/>
    <w:uiPriority w:val="99"/>
    <w:qFormat/>
    <w:rPr>
      <w:sz w:val="18"/>
      <w:szCs w:val="18"/>
    </w:rPr>
  </w:style>
  <w:style w:type="paragraph" w:styleId="ad">
    <w:name w:val="List Paragraph"/>
    <w:basedOn w:val="a"/>
    <w:autoRedefine/>
    <w:uiPriority w:val="99"/>
    <w:qFormat/>
    <w:pPr>
      <w:ind w:firstLineChars="200" w:firstLine="420"/>
    </w:pPr>
  </w:style>
  <w:style w:type="character" w:styleId="ae">
    <w:name w:val="Placeholder Text"/>
    <w:basedOn w:val="a0"/>
    <w:autoRedefine/>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168</Words>
  <Characters>959</Characters>
  <Application>Microsoft Office Word</Application>
  <DocSecurity>0</DocSecurity>
  <Lines>7</Lines>
  <Paragraphs>2</Paragraphs>
  <ScaleCrop>false</ScaleCrop>
  <Company>Sky123.Org</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jiejie yan</cp:lastModifiedBy>
  <cp:revision>11</cp:revision>
  <cp:lastPrinted>2023-11-21T06:07:00Z</cp:lastPrinted>
  <dcterms:created xsi:type="dcterms:W3CDTF">2023-11-02T03:07:00Z</dcterms:created>
  <dcterms:modified xsi:type="dcterms:W3CDTF">2024-03-13T09:58:00Z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5ECAB3CDAB1E4F2E9F0783FF98891651</vt:lpwstr>
  </property>
</Properties>
</file>