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17.8</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default" w:eastAsia="微软雅黑"/>
                <w:color w:val="000000"/>
                <w:sz w:val="22"/>
                <w:szCs w:val="22"/>
                <w:lang w:val="en-US" w:eastAsia="zh-CN"/>
              </w:rPr>
            </w:pPr>
            <w:r>
              <w:rPr>
                <w:rFonts w:hint="eastAsia" w:ascii="微软雅黑" w:hAnsi="微软雅黑" w:eastAsia="微软雅黑"/>
                <w:color w:val="222222"/>
                <w:szCs w:val="21"/>
                <w:shd w:val="clear" w:color="auto" w:fill="F9FEFF"/>
                <w:lang w:val="en-US" w:eastAsia="zh-CN"/>
              </w:rPr>
              <w:t>医用血管造影X射线系统保养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lang w:eastAsia="zh-CN"/>
              </w:rPr>
            </w:pPr>
            <w:r>
              <w:rPr>
                <w:rFonts w:hint="eastAsia" w:ascii="宋体" w:hAnsi="宋体" w:cs="宋体"/>
                <w:szCs w:val="21"/>
              </w:rPr>
              <w:t>医用血管造影X射线系统</w:t>
            </w:r>
            <w:r>
              <w:rPr>
                <w:rFonts w:hint="eastAsia" w:ascii="宋体" w:hAnsi="宋体" w:cs="宋体"/>
                <w:szCs w:val="21"/>
                <w:lang w:eastAsia="zh-CN"/>
              </w:rPr>
              <w:t>整机保养</w:t>
            </w:r>
          </w:p>
          <w:p>
            <w:pPr>
              <w:jc w:val="left"/>
              <w:rPr>
                <w:rFonts w:ascii="宋体" w:hAnsi="宋体" w:cs="宋体"/>
                <w:szCs w:val="21"/>
              </w:rPr>
            </w:pPr>
            <w:r>
              <w:rPr>
                <w:rFonts w:ascii="宋体" w:hAnsi="宋体" w:cs="宋体"/>
                <w:szCs w:val="21"/>
              </w:rPr>
              <w:t>品牌：</w:t>
            </w:r>
            <w:r>
              <w:rPr>
                <w:rFonts w:hint="eastAsia" w:ascii="宋体" w:hAnsi="宋体" w:cs="宋体"/>
                <w:szCs w:val="21"/>
              </w:rPr>
              <w:t>飞利浦</w:t>
            </w:r>
          </w:p>
          <w:p>
            <w:pPr>
              <w:spacing w:after="78"/>
              <w:rPr>
                <w:color w:val="000000"/>
                <w:sz w:val="22"/>
                <w:szCs w:val="22"/>
              </w:rPr>
            </w:pPr>
            <w:r>
              <w:rPr>
                <w:rFonts w:ascii="宋体" w:hAnsi="宋体" w:cs="宋体"/>
                <w:szCs w:val="21"/>
              </w:rPr>
              <w:t>规格型号：</w:t>
            </w:r>
            <w:r>
              <w:rPr>
                <w:rFonts w:hint="eastAsia" w:ascii="宋体" w:hAnsi="宋体" w:cs="宋体"/>
                <w:szCs w:val="21"/>
              </w:rPr>
              <w:t>UNIQ FD20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pPr>
              <w:spacing w:after="78"/>
              <w:rPr>
                <w:rFonts w:hint="eastAsia" w:ascii="宋体" w:hAnsi="宋体" w:eastAsia="宋体" w:cs="Times New Roman"/>
                <w:kern w:val="0"/>
                <w:sz w:val="22"/>
                <w:szCs w:val="22"/>
                <w:lang w:val="en-US" w:eastAsia="zh-CN" w:bidi="ar-SA"/>
              </w:rPr>
            </w:pPr>
            <w:r>
              <w:rPr>
                <w:rFonts w:hint="eastAsia" w:ascii="宋体" w:hAnsi="宋体"/>
                <w:kern w:val="0"/>
                <w:sz w:val="22"/>
                <w:szCs w:val="22"/>
              </w:rPr>
              <w:t>服务内容</w:t>
            </w:r>
          </w:p>
        </w:tc>
        <w:tc>
          <w:tcPr>
            <w:tcW w:w="7750" w:type="dxa"/>
            <w:tcBorders>
              <w:top w:val="single" w:color="auto" w:sz="4" w:space="0"/>
              <w:left w:val="single" w:color="auto" w:sz="4" w:space="0"/>
              <w:bottom w:val="single" w:color="auto" w:sz="4" w:space="0"/>
              <w:right w:val="single" w:color="auto" w:sz="4" w:space="0"/>
            </w:tcBorders>
            <w:vAlign w:val="top"/>
          </w:tcPr>
          <w:p>
            <w:pPr>
              <w:numPr>
                <w:ilvl w:val="255"/>
                <w:numId w:val="0"/>
              </w:numPr>
              <w:spacing w:after="78"/>
              <w:ind w:left="0" w:leftChars="0" w:firstLine="0" w:firstLineChars="0"/>
              <w:rPr>
                <w:rFonts w:ascii="Times New Roman" w:hAnsi="Times New Roman" w:eastAsia="宋体" w:cs="Times New Roman"/>
                <w:kern w:val="2"/>
                <w:sz w:val="22"/>
                <w:szCs w:val="22"/>
                <w:lang w:val="en-US" w:eastAsia="zh-CN" w:bidi="ar-SA"/>
              </w:rPr>
            </w:pPr>
            <w:r>
              <w:rPr>
                <w:rFonts w:hint="eastAsia" w:ascii="宋体" w:hAnsi="宋体" w:cs="宋体"/>
                <w:szCs w:val="21"/>
              </w:rPr>
              <w:t>1、保修服务包括：包含每年2次保养服务，不限次数到场技术服务和远程诊断服务和零备件更换，不含</w:t>
            </w:r>
            <w:r>
              <w:rPr>
                <w:rFonts w:hint="eastAsia" w:ascii="宋体" w:hAnsi="宋体" w:cs="宋体"/>
                <w:szCs w:val="21"/>
                <w:lang w:val="en-GB"/>
              </w:rPr>
              <w:t>球管、探测器</w:t>
            </w:r>
            <w:r>
              <w:rPr>
                <w:rFonts w:hint="eastAsia" w:ascii="宋体" w:hAnsi="宋体" w:cs="宋体"/>
                <w:szCs w:val="21"/>
              </w:rPr>
              <w:t>及</w:t>
            </w:r>
            <w:r>
              <w:rPr>
                <w:rFonts w:hint="eastAsia" w:ascii="宋体" w:hAnsi="宋体" w:cs="宋体"/>
                <w:szCs w:val="21"/>
                <w:lang w:val="en-GB"/>
              </w:rPr>
              <w:t>所有第三方设备。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jc w:val="left"/>
              <w:rPr>
                <w:rFonts w:ascii="宋体" w:hAnsi="宋体" w:cs="宋体"/>
                <w:szCs w:val="21"/>
              </w:rPr>
            </w:pPr>
            <w:r>
              <w:rPr>
                <w:rFonts w:hint="eastAsia" w:ascii="宋体" w:hAnsi="宋体" w:cs="宋体"/>
                <w:szCs w:val="21"/>
              </w:rPr>
              <w:t>1、 提供过往业绩，要求：投标人或维保服务商提供3份具备同品牌DSA设备的整机保修业绩（并提供相应合同、中标通知书或其它证明材料）。</w:t>
            </w:r>
          </w:p>
          <w:p>
            <w:pPr>
              <w:spacing w:after="60"/>
              <w:jc w:val="left"/>
              <w:rPr>
                <w:rFonts w:ascii="宋体" w:hAnsi="宋体" w:cs="宋体"/>
                <w:szCs w:val="21"/>
              </w:rPr>
            </w:pPr>
            <w:r>
              <w:rPr>
                <w:rFonts w:hint="eastAsia" w:ascii="宋体" w:hAnsi="宋体" w:cs="宋体"/>
                <w:szCs w:val="21"/>
              </w:rPr>
              <w:t>2、</w:t>
            </w:r>
            <w:bookmarkStart w:id="1" w:name="OLE_LINK6"/>
            <w:bookmarkStart w:id="2" w:name="OLE_LINK7"/>
            <w:r>
              <w:rPr>
                <w:rFonts w:hint="eastAsia" w:ascii="宋体" w:hAnsi="宋体" w:cs="宋体"/>
                <w:szCs w:val="21"/>
              </w:rPr>
              <w:t>开机率：在合同期内保证90%的开机率按照一年365日计算。如果此开机率由于服务商的原因未能达到，对于开机率低于90%的每多一天，合同期相应延长2天。</w:t>
            </w:r>
          </w:p>
          <w:p>
            <w:pPr>
              <w:spacing w:after="78"/>
              <w:jc w:val="left"/>
              <w:rPr>
                <w:rFonts w:ascii="宋体" w:hAnsi="宋体" w:cs="宋体"/>
                <w:szCs w:val="21"/>
              </w:rPr>
            </w:pPr>
            <w:r>
              <w:rPr>
                <w:rFonts w:hint="eastAsia" w:ascii="宋体" w:hAnsi="宋体" w:cs="宋体"/>
                <w:szCs w:val="21"/>
              </w:rPr>
              <w:t>3、热线服务：全国范围内开通400/800免费热线电话，并保障24小时×365天有在线工程师接听报修，为用户快速诊断和提供技术支持服务。接到维修要求后，不超过24小时到达现场。</w:t>
            </w:r>
          </w:p>
          <w:p>
            <w:pPr>
              <w:spacing w:after="78"/>
              <w:jc w:val="left"/>
              <w:rPr>
                <w:rFonts w:ascii="宋体" w:hAnsi="宋体" w:cs="宋体"/>
                <w:szCs w:val="21"/>
              </w:rPr>
            </w:pPr>
            <w:r>
              <w:rPr>
                <w:rFonts w:hint="eastAsia" w:ascii="宋体" w:hAnsi="宋体" w:cs="宋体"/>
                <w:szCs w:val="21"/>
              </w:rPr>
              <w:t>4、工时：包含在保修合同期内所需的人工费用，签订保修合同的客户享受优先派工，节假日加班免费。</w:t>
            </w:r>
          </w:p>
          <w:p>
            <w:pPr>
              <w:spacing w:after="78"/>
              <w:jc w:val="left"/>
              <w:rPr>
                <w:rFonts w:ascii="宋体" w:hAnsi="宋体" w:cs="宋体"/>
                <w:szCs w:val="21"/>
              </w:rPr>
            </w:pPr>
            <w:r>
              <w:rPr>
                <w:rFonts w:hint="eastAsia" w:ascii="宋体" w:hAnsi="宋体" w:cs="宋体"/>
                <w:szCs w:val="21"/>
              </w:rPr>
              <w:t>5、▲投标人或维保服务商提供ISO9001质量管理体系认证和ISO13485医疗器械质量管理体系认证、ISO27001信息安全证书。</w:t>
            </w:r>
          </w:p>
          <w:p>
            <w:pPr>
              <w:spacing w:after="78"/>
              <w:jc w:val="left"/>
              <w:rPr>
                <w:rFonts w:ascii="宋体" w:hAnsi="宋体" w:cs="宋体"/>
                <w:szCs w:val="21"/>
              </w:rPr>
            </w:pPr>
            <w:r>
              <w:rPr>
                <w:rFonts w:hint="eastAsia" w:ascii="宋体" w:hAnsi="宋体" w:cs="宋体"/>
                <w:szCs w:val="21"/>
              </w:rPr>
              <w:t>7、为保证服务质量，投标人或维保服务商需提供由国内知名协会或组织颁发的售后服务类奖状或排名，提供其奖项照片或荣誉证书扫描件</w:t>
            </w:r>
          </w:p>
          <w:p>
            <w:pPr>
              <w:spacing w:after="78"/>
              <w:jc w:val="left"/>
              <w:rPr>
                <w:rFonts w:ascii="宋体" w:hAnsi="宋体" w:cs="宋体"/>
                <w:szCs w:val="21"/>
              </w:rPr>
            </w:pPr>
            <w:r>
              <w:rPr>
                <w:rFonts w:hint="eastAsia" w:ascii="宋体" w:hAnsi="宋体" w:cs="宋体"/>
                <w:szCs w:val="21"/>
              </w:rPr>
              <w:t>8、提供维护保养的专业工具的介绍，需图文并茂。</w:t>
            </w:r>
          </w:p>
          <w:p>
            <w:pPr>
              <w:rPr>
                <w:rFonts w:hint="eastAsia" w:ascii="宋体" w:hAnsi="宋体" w:cs="宋体"/>
                <w:szCs w:val="21"/>
              </w:rPr>
            </w:pPr>
            <w:r>
              <w:rPr>
                <w:rFonts w:hint="eastAsia" w:ascii="宋体" w:hAnsi="宋体" w:cs="宋体"/>
                <w:szCs w:val="21"/>
              </w:rPr>
              <w:t>9、▲供应商须为原制造厂商或原厂指定的维修授权单位或有技术合作协议（提供相应证明材料）。</w:t>
            </w:r>
            <w:bookmarkEnd w:id="1"/>
            <w:bookmarkEnd w:id="2"/>
          </w:p>
          <w:p>
            <w:pPr>
              <w:rPr>
                <w:rFonts w:hint="default" w:ascii="宋体" w:hAnsi="宋体" w:eastAsia="宋体" w:cs="宋体"/>
                <w:szCs w:val="21"/>
                <w:lang w:val="en-US" w:eastAsia="zh-CN"/>
              </w:rPr>
            </w:pPr>
            <w:r>
              <w:rPr>
                <w:rFonts w:hint="eastAsia" w:ascii="宋体" w:hAnsi="宋体" w:cs="宋体"/>
                <w:szCs w:val="21"/>
                <w:lang w:val="en-US" w:eastAsia="zh-CN"/>
              </w:rPr>
              <w:t>10、</w:t>
            </w:r>
            <w:r>
              <w:rPr>
                <w:rFonts w:ascii="宋体" w:hAnsi="宋体" w:cs="宋体"/>
                <w:szCs w:val="21"/>
              </w:rPr>
              <w:t>付款方式：</w:t>
            </w:r>
            <w:r>
              <w:rPr>
                <w:rFonts w:hint="eastAsia" w:ascii="宋体" w:hAnsi="宋体" w:cs="宋体"/>
                <w:szCs w:val="21"/>
              </w:rPr>
              <w:t>合同期：1年。付款方式：两期付款。第一期付款时间：在本合同签订之日起6个月后，采购方对维保服务进行验收，验收合格后支付服务费的 50%。第二期付款时间:合同期满且采购方对合同期内维保服务验收合格后付清剩余服务费。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after="78"/>
              <w:rPr>
                <w:color w:val="000000"/>
                <w:sz w:val="22"/>
              </w:rPr>
            </w:pPr>
          </w:p>
          <w:p>
            <w:pPr>
              <w:tabs>
                <w:tab w:val="left" w:pos="-720"/>
              </w:tabs>
              <w:suppressAutoHyphens/>
              <w:spacing w:after="78"/>
              <w:jc w:val="left"/>
              <w:rPr>
                <w:rFonts w:ascii="宋体" w:hAnsi="宋体" w:cs="宋体"/>
                <w:szCs w:val="21"/>
              </w:rPr>
            </w:pPr>
            <w:r>
              <w:rPr>
                <w:rFonts w:hint="eastAsia" w:ascii="宋体" w:hAnsi="宋体" w:cs="宋体"/>
                <w:szCs w:val="21"/>
              </w:rPr>
              <w:t>1、安全检查：按照设备生产厂家设备本身标准及当地规定执行。</w:t>
            </w:r>
          </w:p>
          <w:p>
            <w:pPr>
              <w:numPr>
                <w:ilvl w:val="0"/>
                <w:numId w:val="1"/>
              </w:numPr>
              <w:jc w:val="left"/>
              <w:rPr>
                <w:rFonts w:ascii="宋体" w:hAnsi="宋体" w:cs="宋体"/>
                <w:szCs w:val="21"/>
              </w:rPr>
            </w:pPr>
            <w:r>
              <w:rPr>
                <w:rFonts w:hint="eastAsia" w:ascii="宋体" w:hAnsi="宋体" w:cs="宋体"/>
                <w:szCs w:val="21"/>
              </w:rPr>
              <w:t>制定检查计划</w:t>
            </w:r>
          </w:p>
          <w:p>
            <w:pPr>
              <w:numPr>
                <w:ilvl w:val="0"/>
                <w:numId w:val="1"/>
              </w:numPr>
              <w:jc w:val="left"/>
              <w:rPr>
                <w:rFonts w:ascii="宋体" w:hAnsi="宋体" w:cs="宋体"/>
                <w:szCs w:val="21"/>
              </w:rPr>
            </w:pPr>
            <w:r>
              <w:rPr>
                <w:rFonts w:hint="eastAsia" w:ascii="宋体" w:hAnsi="宋体" w:cs="宋体"/>
                <w:szCs w:val="21"/>
              </w:rPr>
              <w:t>机械安全检查</w:t>
            </w:r>
          </w:p>
          <w:p>
            <w:pPr>
              <w:numPr>
                <w:ilvl w:val="0"/>
                <w:numId w:val="1"/>
              </w:numPr>
              <w:jc w:val="left"/>
              <w:rPr>
                <w:rFonts w:ascii="宋体" w:hAnsi="宋体" w:cs="宋体"/>
                <w:szCs w:val="21"/>
              </w:rPr>
            </w:pPr>
            <w:r>
              <w:rPr>
                <w:rFonts w:hint="eastAsia" w:ascii="宋体" w:hAnsi="宋体" w:cs="宋体"/>
                <w:szCs w:val="21"/>
              </w:rPr>
              <w:t>电气安全检查</w:t>
            </w:r>
          </w:p>
          <w:p>
            <w:pPr>
              <w:numPr>
                <w:ilvl w:val="0"/>
                <w:numId w:val="1"/>
              </w:numPr>
              <w:jc w:val="left"/>
              <w:rPr>
                <w:rFonts w:ascii="宋体" w:hAnsi="宋体" w:cs="宋体"/>
                <w:szCs w:val="21"/>
              </w:rPr>
            </w:pPr>
            <w:r>
              <w:rPr>
                <w:rFonts w:hint="eastAsia" w:ascii="宋体" w:hAnsi="宋体" w:cs="宋体"/>
                <w:szCs w:val="21"/>
              </w:rPr>
              <w:t>记录检查结果</w:t>
            </w:r>
          </w:p>
          <w:p>
            <w:pPr>
              <w:spacing w:after="60"/>
              <w:jc w:val="left"/>
              <w:rPr>
                <w:rFonts w:ascii="宋体" w:hAnsi="宋体" w:cs="宋体"/>
                <w:szCs w:val="21"/>
              </w:rPr>
            </w:pPr>
            <w:r>
              <w:rPr>
                <w:rFonts w:hint="eastAsia" w:ascii="宋体" w:hAnsi="宋体" w:cs="宋体"/>
                <w:szCs w:val="21"/>
              </w:rPr>
              <w:t>▲2、预防性保养：按照保养计划提供，每年2次，每次工作提供保养报告，报告必须有现有设备状态的各项数据，以保证设备处于最佳运行状态。（提供相关证明文件）</w:t>
            </w:r>
          </w:p>
          <w:p>
            <w:pPr>
              <w:numPr>
                <w:ilvl w:val="0"/>
                <w:numId w:val="2"/>
              </w:numPr>
              <w:spacing w:after="78" w:afterLines="25"/>
              <w:jc w:val="left"/>
              <w:rPr>
                <w:rFonts w:ascii="宋体" w:hAnsi="宋体" w:cs="宋体"/>
                <w:szCs w:val="21"/>
              </w:rPr>
            </w:pPr>
            <w:r>
              <w:rPr>
                <w:rFonts w:hint="eastAsia" w:ascii="宋体" w:hAnsi="宋体" w:cs="宋体"/>
                <w:szCs w:val="21"/>
              </w:rPr>
              <w:t>记录并安排保养时间</w:t>
            </w:r>
          </w:p>
          <w:p>
            <w:pPr>
              <w:numPr>
                <w:ilvl w:val="0"/>
                <w:numId w:val="2"/>
              </w:numPr>
              <w:spacing w:after="78" w:afterLines="25"/>
              <w:jc w:val="left"/>
              <w:rPr>
                <w:rFonts w:ascii="宋体" w:hAnsi="宋体" w:cs="宋体"/>
                <w:szCs w:val="21"/>
              </w:rPr>
            </w:pPr>
            <w:r>
              <w:rPr>
                <w:rFonts w:hint="eastAsia" w:ascii="宋体" w:hAnsi="宋体" w:cs="宋体"/>
                <w:szCs w:val="21"/>
              </w:rPr>
              <w:t>按照保养计划更换损耗部件</w:t>
            </w:r>
          </w:p>
          <w:p>
            <w:pPr>
              <w:numPr>
                <w:ilvl w:val="0"/>
                <w:numId w:val="2"/>
              </w:numPr>
              <w:spacing w:after="78" w:afterLines="25"/>
              <w:jc w:val="left"/>
              <w:rPr>
                <w:rFonts w:ascii="宋体" w:hAnsi="宋体" w:cs="宋体"/>
                <w:szCs w:val="21"/>
              </w:rPr>
            </w:pPr>
            <w:r>
              <w:rPr>
                <w:rFonts w:hint="eastAsia" w:ascii="宋体" w:hAnsi="宋体" w:cs="宋体"/>
                <w:szCs w:val="21"/>
              </w:rPr>
              <w:t>按照设备生产厂家标准进行调校</w:t>
            </w:r>
          </w:p>
          <w:p>
            <w:pPr>
              <w:numPr>
                <w:ilvl w:val="0"/>
                <w:numId w:val="2"/>
              </w:numPr>
              <w:spacing w:after="78" w:afterLines="25"/>
              <w:jc w:val="left"/>
              <w:rPr>
                <w:rFonts w:ascii="宋体" w:hAnsi="宋体" w:cs="宋体"/>
                <w:szCs w:val="21"/>
              </w:rPr>
            </w:pPr>
            <w:r>
              <w:rPr>
                <w:rFonts w:hint="eastAsia" w:ascii="宋体" w:hAnsi="宋体" w:cs="宋体"/>
                <w:szCs w:val="21"/>
              </w:rPr>
              <w:t>确认各项技术指标及性能</w:t>
            </w:r>
          </w:p>
          <w:p>
            <w:pPr>
              <w:numPr>
                <w:ilvl w:val="0"/>
                <w:numId w:val="2"/>
              </w:numPr>
              <w:spacing w:after="78" w:afterLines="25"/>
              <w:jc w:val="left"/>
              <w:rPr>
                <w:rFonts w:ascii="宋体" w:hAnsi="宋体" w:cs="宋体"/>
                <w:szCs w:val="21"/>
              </w:rPr>
            </w:pPr>
            <w:r>
              <w:rPr>
                <w:rFonts w:hint="eastAsia" w:ascii="宋体" w:hAnsi="宋体" w:cs="宋体"/>
                <w:szCs w:val="21"/>
              </w:rPr>
              <w:t>每年年检时，服务方负责并保证全部监测指标达标，通过相关部门检测时，保障取得合格证。</w:t>
            </w:r>
          </w:p>
          <w:p>
            <w:pPr>
              <w:numPr>
                <w:ilvl w:val="0"/>
                <w:numId w:val="2"/>
              </w:numPr>
              <w:spacing w:after="78" w:afterLines="25"/>
              <w:jc w:val="left"/>
              <w:rPr>
                <w:rFonts w:ascii="宋体" w:hAnsi="宋体" w:cs="宋体"/>
                <w:szCs w:val="21"/>
              </w:rPr>
            </w:pPr>
            <w:r>
              <w:rPr>
                <w:rFonts w:hint="eastAsia" w:ascii="宋体" w:hAnsi="宋体" w:cs="宋体"/>
                <w:szCs w:val="21"/>
              </w:rPr>
              <w:t>记录设备状况</w:t>
            </w:r>
          </w:p>
          <w:p>
            <w:pPr>
              <w:numPr>
                <w:ilvl w:val="0"/>
                <w:numId w:val="2"/>
              </w:numPr>
              <w:spacing w:after="78" w:afterLines="25"/>
              <w:jc w:val="left"/>
              <w:rPr>
                <w:rFonts w:ascii="宋体" w:hAnsi="宋体" w:cs="宋体"/>
                <w:szCs w:val="21"/>
              </w:rPr>
            </w:pPr>
            <w:r>
              <w:rPr>
                <w:rFonts w:hint="eastAsia" w:ascii="宋体" w:hAnsi="宋体" w:cs="宋体"/>
                <w:szCs w:val="21"/>
              </w:rPr>
              <w:t>提供设备原厂保养内容清单</w:t>
            </w:r>
          </w:p>
          <w:p>
            <w:pPr>
              <w:numPr>
                <w:ilvl w:val="0"/>
                <w:numId w:val="2"/>
              </w:numPr>
              <w:spacing w:after="78" w:afterLines="25"/>
              <w:jc w:val="left"/>
              <w:rPr>
                <w:rFonts w:ascii="宋体" w:hAnsi="宋体" w:cs="宋体"/>
                <w:szCs w:val="21"/>
              </w:rPr>
            </w:pPr>
            <w:r>
              <w:rPr>
                <w:rFonts w:hint="eastAsia" w:ascii="宋体" w:hAnsi="宋体" w:cs="宋体"/>
                <w:szCs w:val="21"/>
              </w:rPr>
              <w:t>提供每次保养后系统自动导出的保养报告，必须每次的检测项必须为PASS</w:t>
            </w:r>
          </w:p>
          <w:p>
            <w:pPr>
              <w:spacing w:after="60"/>
              <w:jc w:val="left"/>
              <w:rPr>
                <w:rFonts w:ascii="宋体" w:hAnsi="宋体" w:cs="宋体"/>
                <w:szCs w:val="21"/>
              </w:rPr>
            </w:pPr>
            <w:r>
              <w:rPr>
                <w:rFonts w:hint="eastAsia" w:ascii="宋体" w:hAnsi="宋体" w:cs="宋体"/>
                <w:szCs w:val="21"/>
              </w:rPr>
              <w:t>3、预防性保养损耗品：</w:t>
            </w:r>
          </w:p>
          <w:p>
            <w:pPr>
              <w:numPr>
                <w:ilvl w:val="0"/>
                <w:numId w:val="2"/>
              </w:numPr>
              <w:spacing w:after="78" w:afterLines="25"/>
              <w:jc w:val="left"/>
              <w:rPr>
                <w:rFonts w:ascii="宋体" w:hAnsi="宋体" w:cs="宋体"/>
                <w:szCs w:val="21"/>
              </w:rPr>
            </w:pPr>
            <w:r>
              <w:rPr>
                <w:rFonts w:hint="eastAsia" w:ascii="宋体" w:hAnsi="宋体" w:cs="宋体"/>
                <w:szCs w:val="21"/>
              </w:rPr>
              <w:t>预防性保养中需要更换的损耗品由服务商免费提供。</w:t>
            </w:r>
          </w:p>
          <w:p>
            <w:pPr>
              <w:spacing w:after="60"/>
              <w:jc w:val="left"/>
              <w:rPr>
                <w:rFonts w:ascii="宋体" w:hAnsi="宋体" w:cs="宋体"/>
                <w:szCs w:val="21"/>
              </w:rPr>
            </w:pPr>
            <w:r>
              <w:rPr>
                <w:rFonts w:hint="eastAsia" w:ascii="宋体" w:hAnsi="宋体" w:cs="宋体"/>
                <w:szCs w:val="21"/>
              </w:rPr>
              <w:t>4、备件：</w:t>
            </w:r>
          </w:p>
          <w:p>
            <w:pPr>
              <w:numPr>
                <w:ilvl w:val="0"/>
                <w:numId w:val="2"/>
              </w:numPr>
              <w:spacing w:after="78" w:afterLines="25"/>
              <w:jc w:val="left"/>
              <w:rPr>
                <w:rFonts w:ascii="宋体" w:hAnsi="宋体" w:cs="宋体"/>
                <w:szCs w:val="21"/>
              </w:rPr>
            </w:pPr>
            <w:r>
              <w:rPr>
                <w:rFonts w:hint="eastAsia" w:ascii="宋体" w:hAnsi="宋体" w:cs="宋体"/>
                <w:szCs w:val="21"/>
              </w:rPr>
              <w:t>提供保修所需的备件，备件供应要及时、充足。</w:t>
            </w:r>
          </w:p>
          <w:p>
            <w:pPr>
              <w:numPr>
                <w:ilvl w:val="0"/>
                <w:numId w:val="2"/>
              </w:numPr>
              <w:spacing w:after="78" w:afterLines="25"/>
              <w:jc w:val="left"/>
              <w:rPr>
                <w:rFonts w:ascii="宋体" w:hAnsi="宋体" w:cs="宋体"/>
                <w:szCs w:val="21"/>
              </w:rPr>
            </w:pPr>
            <w:r>
              <w:rPr>
                <w:rFonts w:hint="eastAsia" w:ascii="宋体" w:hAnsi="宋体" w:cs="宋体"/>
                <w:szCs w:val="21"/>
              </w:rPr>
              <w:t>备件必须是原厂认证合格的零备件，保障不会对设备质量或图像产生不良影响。提供保修所需的备件，备件供应要及时、充足。如因提供不合法不合规或来路不明的备件而引起的相关损失及法律责任由供应商自行承担。</w:t>
            </w:r>
            <w:r>
              <w:rPr>
                <w:rFonts w:ascii="宋体" w:hAnsi="宋体" w:cs="宋体"/>
                <w:szCs w:val="21"/>
              </w:rPr>
              <w:t>备件保修期：</w:t>
            </w:r>
            <w:r>
              <w:rPr>
                <w:rFonts w:hint="eastAsia" w:ascii="宋体" w:hAnsi="宋体" w:cs="宋体"/>
                <w:szCs w:val="21"/>
              </w:rPr>
              <w:t>免费维修或更换配件设备的保修期为1年</w:t>
            </w:r>
            <w:r>
              <w:rPr>
                <w:rFonts w:ascii="宋体" w:hAnsi="宋体" w:cs="宋体"/>
                <w:szCs w:val="21"/>
              </w:rPr>
              <w:t>。</w:t>
            </w:r>
          </w:p>
          <w:p>
            <w:pPr>
              <w:spacing w:after="60"/>
              <w:jc w:val="left"/>
              <w:rPr>
                <w:rFonts w:ascii="宋体" w:hAnsi="宋体" w:cs="宋体"/>
                <w:szCs w:val="21"/>
              </w:rPr>
            </w:pPr>
            <w:r>
              <w:rPr>
                <w:rFonts w:hint="eastAsia" w:ascii="宋体" w:hAnsi="宋体" w:cs="宋体"/>
                <w:szCs w:val="21"/>
              </w:rPr>
              <w:t>5、安全升级</w:t>
            </w:r>
          </w:p>
          <w:p>
            <w:pPr>
              <w:numPr>
                <w:ilvl w:val="0"/>
                <w:numId w:val="2"/>
              </w:numPr>
              <w:spacing w:after="78" w:afterLines="25"/>
              <w:jc w:val="left"/>
              <w:rPr>
                <w:rFonts w:ascii="宋体" w:hAnsi="宋体" w:cs="宋体"/>
                <w:szCs w:val="21"/>
              </w:rPr>
            </w:pPr>
            <w:r>
              <w:rPr>
                <w:rFonts w:hint="eastAsia" w:ascii="宋体" w:hAnsi="宋体" w:cs="宋体"/>
                <w:szCs w:val="21"/>
              </w:rPr>
              <w:t>安全升级必须在原厂规定的升级文件规定时间内完成，并在升级完成后提供原厂升级文件及工作记录。</w:t>
            </w:r>
          </w:p>
          <w:p>
            <w:pPr>
              <w:spacing w:after="60"/>
              <w:jc w:val="left"/>
              <w:rPr>
                <w:rFonts w:ascii="宋体" w:hAnsi="宋体" w:cs="宋体"/>
                <w:szCs w:val="21"/>
              </w:rPr>
            </w:pPr>
            <w:r>
              <w:rPr>
                <w:rFonts w:hint="eastAsia" w:ascii="宋体" w:hAnsi="宋体" w:cs="宋体"/>
                <w:szCs w:val="21"/>
              </w:rPr>
              <w:t>6、远程连接：</w:t>
            </w:r>
          </w:p>
          <w:p>
            <w:pPr>
              <w:spacing w:after="60"/>
              <w:ind w:firstLine="420" w:firstLineChars="200"/>
              <w:jc w:val="left"/>
              <w:rPr>
                <w:rFonts w:ascii="宋体" w:hAnsi="宋体" w:cs="宋体"/>
                <w:szCs w:val="21"/>
              </w:rPr>
            </w:pPr>
            <w:r>
              <w:rPr>
                <w:rFonts w:hint="eastAsia" w:ascii="宋体" w:hAnsi="宋体" w:cs="宋体"/>
                <w:szCs w:val="21"/>
              </w:rPr>
              <w:t>提供基于设备嵌入式远程连接方案的实时远程服务，提供远程连接的实物设备在科室，以保证维修的及时性，提供其介绍的资料以佐证。</w:t>
            </w:r>
          </w:p>
          <w:p>
            <w:pPr>
              <w:spacing w:after="60"/>
              <w:jc w:val="left"/>
              <w:rPr>
                <w:rFonts w:ascii="宋体" w:hAnsi="宋体" w:cs="宋体"/>
                <w:szCs w:val="21"/>
              </w:rPr>
            </w:pPr>
            <w:r>
              <w:rPr>
                <w:rFonts w:hint="eastAsia" w:ascii="宋体" w:hAnsi="宋体" w:cs="宋体"/>
                <w:szCs w:val="21"/>
              </w:rPr>
              <w:t>7、高级诊断</w:t>
            </w:r>
          </w:p>
          <w:p>
            <w:pPr>
              <w:spacing w:after="60"/>
              <w:ind w:firstLine="420" w:firstLineChars="200"/>
              <w:jc w:val="left"/>
              <w:rPr>
                <w:rFonts w:ascii="宋体" w:hAnsi="宋体" w:cs="宋体"/>
                <w:szCs w:val="21"/>
              </w:rPr>
            </w:pPr>
            <w:r>
              <w:rPr>
                <w:rFonts w:hint="eastAsia" w:ascii="宋体" w:hAnsi="宋体" w:cs="宋体"/>
                <w:szCs w:val="21"/>
              </w:rPr>
              <w:t>▲服务商必须在整个合同期内都能合法获得原厂高级故障诊断软件的诊断维修钥匙（service key），并保证不违反国家有关知识产权的法律规定。（提供相关的证明材料）</w:t>
            </w:r>
          </w:p>
          <w:p>
            <w:pPr>
              <w:spacing w:after="60"/>
              <w:jc w:val="left"/>
              <w:rPr>
                <w:rFonts w:ascii="宋体" w:hAnsi="宋体" w:cs="宋体"/>
                <w:szCs w:val="21"/>
              </w:rPr>
            </w:pPr>
            <w:r>
              <w:rPr>
                <w:rFonts w:hint="eastAsia" w:ascii="宋体" w:hAnsi="宋体" w:cs="宋体"/>
                <w:szCs w:val="21"/>
              </w:rPr>
              <w:t>8、▲为保障备件的快速且安全的供应，投标人或维保服务商需有零备件保税仓库，广东省内设有备件仓库（提供相应证明材料，如保税仓库资料证明或仓库运输商营业执照等）。</w:t>
            </w:r>
          </w:p>
          <w:p>
            <w:pPr>
              <w:spacing w:after="60"/>
              <w:jc w:val="left"/>
              <w:rPr>
                <w:rFonts w:ascii="宋体" w:hAnsi="宋体" w:cs="宋体"/>
                <w:szCs w:val="21"/>
              </w:rPr>
            </w:pPr>
            <w:r>
              <w:rPr>
                <w:rFonts w:hint="eastAsia" w:ascii="宋体" w:hAnsi="宋体" w:cs="宋体"/>
                <w:szCs w:val="21"/>
              </w:rPr>
              <w:t>9、▲为保障更快捷更满意的服务，投标人或维保服务商需在广东省设有维修站，广东省内至少提供6份DSA生产厂商维修工程师培训资质证书（提供有效期内的工程师原厂培训证书）或提供6份由省级食品药品监督管理局颁发的副高级工程师、高级工程师职称证书，且提供该工程师的在职证明（社保缴纳证明或者可查询的工牌）。</w:t>
            </w:r>
          </w:p>
          <w:p>
            <w:pPr>
              <w:jc w:val="left"/>
              <w:rPr>
                <w:rFonts w:ascii="宋体" w:hAnsi="宋体" w:cs="宋体"/>
                <w:szCs w:val="21"/>
              </w:rPr>
            </w:pPr>
            <w:r>
              <w:rPr>
                <w:rFonts w:hint="eastAsia" w:ascii="宋体" w:hAnsi="宋体" w:cs="宋体"/>
                <w:szCs w:val="21"/>
              </w:rPr>
              <w:t>10.▲投标人或维保服务商需具备原厂提供的全新零备件的库存，在投标文件中以附件的形式提供近一年内该库存零备件的合法进口证明文件，包含但不限于零备件的进口报关单、清晰体现零备件序列号的运货单等资料。（提供相关的证明文件）</w:t>
            </w:r>
          </w:p>
          <w:p>
            <w:pPr>
              <w:tabs>
                <w:tab w:val="left" w:pos="-720"/>
              </w:tabs>
              <w:suppressAutoHyphens/>
              <w:spacing w:after="78"/>
              <w:rPr>
                <w:rFonts w:hint="eastAsia"/>
                <w:color w:val="000000"/>
                <w:sz w:val="22"/>
              </w:rPr>
            </w:pP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rPr>
          <w:rFonts w:hint="eastAsia"/>
        </w:rPr>
      </w:pPr>
      <w:bookmarkStart w:id="24" w:name="_GoBack"/>
      <w:bookmarkEnd w:id="24"/>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3" w:name="_Toc211243316"/>
      <w:bookmarkStart w:id="4" w:name="_Toc311468376"/>
      <w:r>
        <w:rPr>
          <w:rFonts w:ascii="宋体" w:hAnsi="宋体"/>
          <w:color w:val="000000"/>
          <w:szCs w:val="21"/>
        </w:rPr>
        <w:t>格式2.</w:t>
      </w:r>
      <w:bookmarkEnd w:id="3"/>
      <w:r>
        <w:rPr>
          <w:rFonts w:ascii="宋体" w:hAnsi="宋体"/>
          <w:color w:val="000000"/>
          <w:szCs w:val="21"/>
        </w:rPr>
        <w:t xml:space="preserve"> 开标一览表格式</w:t>
      </w:r>
      <w:bookmarkEnd w:id="4"/>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5" w:name="_Toc211248414"/>
      <w:r>
        <w:rPr>
          <w:rFonts w:eastAsia="黑体"/>
          <w:color w:val="000000"/>
          <w:sz w:val="30"/>
          <w:szCs w:val="30"/>
        </w:rPr>
        <w:t>投标分项报价表</w:t>
      </w:r>
      <w:bookmarkEnd w:id="5"/>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6" w:name="_Toc211243319"/>
      <w:bookmarkStart w:id="7"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6"/>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7"/>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8" w:name="_Toc211248420"/>
      <w:r>
        <w:rPr>
          <w:rFonts w:eastAsia="黑体"/>
          <w:color w:val="000000"/>
          <w:sz w:val="30"/>
          <w:szCs w:val="30"/>
        </w:rPr>
        <w:t>商务条款响应/偏离表</w:t>
      </w:r>
      <w:bookmarkEnd w:id="8"/>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9" w:name="_Toc100052473"/>
      <w:bookmarkStart w:id="10"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9"/>
      <w:bookmarkEnd w:id="10"/>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1" w:name="_Toc73521619"/>
      <w:bookmarkStart w:id="12" w:name="_Toc101074904"/>
      <w:bookmarkStart w:id="13" w:name="_Toc73521707"/>
      <w:bookmarkStart w:id="14" w:name="_Toc10005247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11"/>
      <w:bookmarkEnd w:id="12"/>
      <w:bookmarkEnd w:id="13"/>
      <w:bookmarkEnd w:id="14"/>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5" w:name="_Toc100052475"/>
      <w:bookmarkStart w:id="16" w:name="_Toc101074905"/>
      <w:bookmarkStart w:id="17" w:name="_Toc73521708"/>
      <w:bookmarkStart w:id="18" w:name="_Toc73521620"/>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5"/>
      <w:bookmarkEnd w:id="16"/>
      <w:bookmarkEnd w:id="17"/>
      <w:bookmarkEnd w:id="18"/>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9" w:name="_Toc201997946"/>
      <w:bookmarkStart w:id="20" w:name="_Toc201742861"/>
      <w:bookmarkStart w:id="21" w:name="_Toc201743116"/>
      <w:bookmarkStart w:id="22" w:name="_Toc201401658"/>
      <w:bookmarkStart w:id="23" w:name="_Toc201719118"/>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9"/>
    <w:bookmarkEnd w:id="20"/>
    <w:bookmarkEnd w:id="21"/>
    <w:bookmarkEnd w:id="22"/>
    <w:bookmarkEnd w:id="23"/>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3"/>
        </w:numPr>
        <w:spacing w:line="360" w:lineRule="auto"/>
        <w:rPr>
          <w:rFonts w:ascii="宋体" w:hAnsi="宋体"/>
          <w:sz w:val="24"/>
          <w:szCs w:val="24"/>
        </w:rPr>
      </w:pPr>
      <w:r>
        <w:rPr>
          <w:rFonts w:hint="eastAsia" w:ascii="宋体" w:hAnsi="宋体"/>
          <w:sz w:val="24"/>
          <w:szCs w:val="24"/>
        </w:rPr>
        <w:t>恶意投诉的；</w:t>
      </w:r>
    </w:p>
    <w:p>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3B0641"/>
    <w:multiLevelType w:val="multilevel"/>
    <w:tmpl w:val="303B06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1456E46"/>
    <w:multiLevelType w:val="multilevel"/>
    <w:tmpl w:val="61456E46"/>
    <w:lvl w:ilvl="0" w:tentative="0">
      <w:start w:val="1"/>
      <w:numFmt w:val="bullet"/>
      <w:lvlText w:val=""/>
      <w:lvlJc w:val="left"/>
      <w:pPr>
        <w:ind w:left="1353" w:hanging="360"/>
      </w:pPr>
      <w:rPr>
        <w:rFonts w:hint="default" w:ascii="Symbol" w:hAnsi="Symbol"/>
      </w:rPr>
    </w:lvl>
    <w:lvl w:ilvl="1" w:tentative="0">
      <w:start w:val="1"/>
      <w:numFmt w:val="bullet"/>
      <w:lvlText w:val="o"/>
      <w:lvlJc w:val="left"/>
      <w:pPr>
        <w:ind w:left="2073" w:hanging="360"/>
      </w:pPr>
      <w:rPr>
        <w:rFonts w:hint="default" w:ascii="Courier New" w:hAnsi="Courier New" w:cs="Courier New"/>
      </w:rPr>
    </w:lvl>
    <w:lvl w:ilvl="2" w:tentative="0">
      <w:start w:val="1"/>
      <w:numFmt w:val="bullet"/>
      <w:lvlText w:val=""/>
      <w:lvlJc w:val="left"/>
      <w:pPr>
        <w:ind w:left="2793" w:hanging="360"/>
      </w:pPr>
      <w:rPr>
        <w:rFonts w:hint="default" w:ascii="Wingdings" w:hAnsi="Wingdings"/>
      </w:rPr>
    </w:lvl>
    <w:lvl w:ilvl="3" w:tentative="0">
      <w:start w:val="1"/>
      <w:numFmt w:val="bullet"/>
      <w:lvlText w:val=""/>
      <w:lvlJc w:val="left"/>
      <w:pPr>
        <w:ind w:left="3513" w:hanging="360"/>
      </w:pPr>
      <w:rPr>
        <w:rFonts w:hint="default" w:ascii="Symbol" w:hAnsi="Symbol"/>
      </w:rPr>
    </w:lvl>
    <w:lvl w:ilvl="4" w:tentative="0">
      <w:start w:val="1"/>
      <w:numFmt w:val="bullet"/>
      <w:lvlText w:val="o"/>
      <w:lvlJc w:val="left"/>
      <w:pPr>
        <w:ind w:left="4233" w:hanging="360"/>
      </w:pPr>
      <w:rPr>
        <w:rFonts w:hint="default" w:ascii="Courier New" w:hAnsi="Courier New" w:cs="Courier New"/>
      </w:rPr>
    </w:lvl>
    <w:lvl w:ilvl="5" w:tentative="0">
      <w:start w:val="1"/>
      <w:numFmt w:val="bullet"/>
      <w:lvlText w:val=""/>
      <w:lvlJc w:val="left"/>
      <w:pPr>
        <w:ind w:left="4953" w:hanging="360"/>
      </w:pPr>
      <w:rPr>
        <w:rFonts w:hint="default" w:ascii="Wingdings" w:hAnsi="Wingdings"/>
      </w:rPr>
    </w:lvl>
    <w:lvl w:ilvl="6" w:tentative="0">
      <w:start w:val="1"/>
      <w:numFmt w:val="bullet"/>
      <w:lvlText w:val=""/>
      <w:lvlJc w:val="left"/>
      <w:pPr>
        <w:ind w:left="5673" w:hanging="360"/>
      </w:pPr>
      <w:rPr>
        <w:rFonts w:hint="default" w:ascii="Symbol" w:hAnsi="Symbol"/>
      </w:rPr>
    </w:lvl>
    <w:lvl w:ilvl="7" w:tentative="0">
      <w:start w:val="1"/>
      <w:numFmt w:val="bullet"/>
      <w:lvlText w:val="o"/>
      <w:lvlJc w:val="left"/>
      <w:pPr>
        <w:ind w:left="6393" w:hanging="360"/>
      </w:pPr>
      <w:rPr>
        <w:rFonts w:hint="default" w:ascii="Courier New" w:hAnsi="Courier New" w:cs="Courier New"/>
      </w:rPr>
    </w:lvl>
    <w:lvl w:ilvl="8" w:tentative="0">
      <w:start w:val="1"/>
      <w:numFmt w:val="bullet"/>
      <w:lvlText w:val=""/>
      <w:lvlJc w:val="left"/>
      <w:pPr>
        <w:ind w:left="7113"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521C04"/>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autoRedefine/>
    <w:qFormat/>
    <w:uiPriority w:val="0"/>
    <w:rPr>
      <w:szCs w:val="20"/>
    </w:r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page number"/>
    <w:basedOn w:val="13"/>
    <w:semiHidden/>
    <w:qFormat/>
    <w:uiPriority w:val="0"/>
  </w:style>
  <w:style w:type="character" w:styleId="16">
    <w:name w:val="Hyperlink"/>
    <w:basedOn w:val="13"/>
    <w:autoRedefine/>
    <w:qFormat/>
    <w:uiPriority w:val="0"/>
    <w:rPr>
      <w:color w:val="0000FF"/>
      <w:u w:val="single"/>
    </w:rPr>
  </w:style>
  <w:style w:type="character" w:customStyle="1" w:styleId="17">
    <w:name w:val="标题 3 Char"/>
    <w:basedOn w:val="13"/>
    <w:link w:val="4"/>
    <w:autoRedefine/>
    <w:qFormat/>
    <w:uiPriority w:val="0"/>
    <w:rPr>
      <w:b/>
      <w:kern w:val="2"/>
      <w:sz w:val="24"/>
    </w:rPr>
  </w:style>
  <w:style w:type="character" w:customStyle="1" w:styleId="18">
    <w:name w:val="纯文本 Char"/>
    <w:basedOn w:val="13"/>
    <w:link w:val="6"/>
    <w:autoRedefine/>
    <w:qFormat/>
    <w:uiPriority w:val="0"/>
    <w:rPr>
      <w:rFonts w:ascii="宋体" w:hAnsi="Courier New" w:cs="Courier New"/>
      <w:kern w:val="2"/>
      <w:sz w:val="21"/>
      <w:szCs w:val="21"/>
    </w:rPr>
  </w:style>
  <w:style w:type="paragraph" w:customStyle="1" w:styleId="19">
    <w:name w:val="Char"/>
    <w:basedOn w:val="1"/>
    <w:autoRedefine/>
    <w:qFormat/>
    <w:uiPriority w:val="0"/>
    <w:rPr>
      <w:rFonts w:ascii="仿宋_GB2312" w:eastAsia="仿宋_GB2312"/>
      <w:b/>
      <w:sz w:val="32"/>
      <w:szCs w:val="32"/>
    </w:rPr>
  </w:style>
  <w:style w:type="paragraph" w:customStyle="1" w:styleId="20">
    <w:name w:val="样式 (西文) 宋体 行距: 1.5 倍行距"/>
    <w:basedOn w:val="1"/>
    <w:autoRedefine/>
    <w:qFormat/>
    <w:uiPriority w:val="0"/>
    <w:pPr>
      <w:spacing w:line="360" w:lineRule="auto"/>
    </w:pPr>
    <w:rPr>
      <w:rFonts w:ascii="宋体" w:hAnsi="宋体" w:cs="宋体"/>
    </w:rPr>
  </w:style>
  <w:style w:type="character" w:customStyle="1" w:styleId="21">
    <w:name w:val="页眉 Char"/>
    <w:basedOn w:val="13"/>
    <w:link w:val="9"/>
    <w:autoRedefine/>
    <w:qFormat/>
    <w:uiPriority w:val="0"/>
    <w:rPr>
      <w:kern w:val="2"/>
      <w:sz w:val="18"/>
      <w:szCs w:val="18"/>
    </w:rPr>
  </w:style>
  <w:style w:type="character" w:customStyle="1" w:styleId="22">
    <w:name w:val="页脚 Char"/>
    <w:basedOn w:val="13"/>
    <w:link w:val="8"/>
    <w:autoRedefine/>
    <w:qFormat/>
    <w:uiPriority w:val="99"/>
    <w:rPr>
      <w:kern w:val="2"/>
      <w:sz w:val="18"/>
      <w:szCs w:val="18"/>
    </w:rPr>
  </w:style>
  <w:style w:type="character" w:customStyle="1" w:styleId="23">
    <w:name w:val="标题 2 Char"/>
    <w:basedOn w:val="13"/>
    <w:link w:val="3"/>
    <w:autoRedefine/>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autoRedefine/>
    <w:qFormat/>
    <w:uiPriority w:val="34"/>
    <w:pPr>
      <w:ind w:firstLine="420" w:firstLineChars="200"/>
    </w:pPr>
    <w:rPr>
      <w:rFonts w:ascii="Calibri" w:hAnsi="Calibri"/>
      <w:szCs w:val="22"/>
    </w:rPr>
  </w:style>
  <w:style w:type="character" w:customStyle="1" w:styleId="25">
    <w:name w:val="标题 1 Char"/>
    <w:basedOn w:val="13"/>
    <w:link w:val="2"/>
    <w:autoRedefine/>
    <w:qFormat/>
    <w:uiPriority w:val="0"/>
    <w:rPr>
      <w:b/>
      <w:bCs/>
      <w:kern w:val="44"/>
      <w:sz w:val="44"/>
      <w:szCs w:val="44"/>
    </w:rPr>
  </w:style>
  <w:style w:type="paragraph" w:customStyle="1" w:styleId="2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autoRedefine/>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autoRedefine/>
    <w:qFormat/>
    <w:uiPriority w:val="99"/>
    <w:pPr>
      <w:jc w:val="center"/>
      <w:outlineLvl w:val="0"/>
    </w:pPr>
    <w:rPr>
      <w:rFonts w:ascii="宋体" w:hAnsi="宋体"/>
      <w:b/>
      <w:sz w:val="28"/>
      <w:szCs w:val="28"/>
    </w:rPr>
  </w:style>
  <w:style w:type="paragraph" w:customStyle="1" w:styleId="31">
    <w:name w:val="列出段落1"/>
    <w:basedOn w:val="1"/>
    <w:autoRedefine/>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autoRedefine/>
    <w:qFormat/>
    <w:uiPriority w:val="0"/>
    <w:rPr>
      <w:rFonts w:hint="eastAsia" w:ascii="宋体" w:hAnsi="宋体" w:eastAsia="宋体" w:cs="宋体"/>
      <w:color w:val="000000"/>
      <w:sz w:val="18"/>
      <w:szCs w:val="18"/>
      <w:u w:val="none"/>
    </w:rPr>
  </w:style>
  <w:style w:type="paragraph" w:customStyle="1" w:styleId="37">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2024-03-18T02:42:19Z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A521FBDC2A7E4899A522CA9E47EF1BA4_12</vt:lpwstr>
  </property>
</Properties>
</file>