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一、关于评分细则说明：</w:t>
      </w:r>
    </w:p>
    <w:p>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3.</w:t>
            </w: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896"/>
        <w:gridCol w:w="6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0" w:type="auto"/>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0" w:type="auto"/>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6882"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详细目录及具体参数需求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0" w:type="auto"/>
            <w:vMerge w:val="restart"/>
            <w:vAlign w:val="center"/>
          </w:tcPr>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0" w:type="auto"/>
            <w:vMerge w:val="restart"/>
            <w:vAlign w:val="center"/>
          </w:tcPr>
          <w:p>
            <w:pPr>
              <w:widowControl/>
              <w:spacing w:before="100" w:beforeAutospacing="1" w:after="100" w:afterAutospacing="1"/>
              <w:jc w:val="left"/>
              <w:rPr>
                <w:rFonts w:cs="宋体" w:asciiTheme="minorEastAsia" w:hAnsiTheme="minorEastAsia"/>
                <w:kern w:val="0"/>
                <w:sz w:val="24"/>
              </w:rPr>
            </w:pPr>
            <w:r>
              <w:rPr>
                <w:sz w:val="24"/>
              </w:rPr>
              <w:t>血琼脂培养基</w:t>
            </w:r>
            <w:r>
              <w:rPr>
                <w:rFonts w:hint="eastAsia"/>
                <w:sz w:val="24"/>
              </w:rPr>
              <w:t>等</w:t>
            </w:r>
          </w:p>
        </w:tc>
        <w:tc>
          <w:tcPr>
            <w:tcW w:w="6882" w:type="dxa"/>
            <w:vAlign w:val="center"/>
          </w:tcPr>
          <w:p>
            <w:pPr>
              <w:widowControl/>
              <w:jc w:val="center"/>
              <w:textAlignment w:val="bottom"/>
              <w:rPr>
                <w:rFonts w:ascii="等线" w:hAnsi="等线" w:eastAsia="等线" w:cs="等线"/>
                <w:color w:val="000000"/>
                <w:sz w:val="18"/>
                <w:szCs w:val="18"/>
              </w:rPr>
            </w:pPr>
            <w:r>
              <w:rPr>
                <w:rFonts w:hint="eastAsia" w:ascii="等线" w:hAnsi="等线" w:eastAsia="等线" w:cs="等线"/>
                <w:color w:val="000000"/>
                <w:kern w:val="0"/>
                <w:sz w:val="18"/>
                <w:szCs w:val="18"/>
                <w:lang w:bidi="ar"/>
              </w:rPr>
              <w:t>哥伦比亚血琼脂培养基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6882" w:type="dxa"/>
            <w:vAlign w:val="center"/>
          </w:tcPr>
          <w:p>
            <w:pPr>
              <w:widowControl/>
              <w:jc w:val="center"/>
              <w:textAlignment w:val="bottom"/>
              <w:rPr>
                <w:rFonts w:ascii="等线" w:hAnsi="等线" w:eastAsia="等线" w:cs="等线"/>
                <w:color w:val="000000"/>
                <w:sz w:val="18"/>
                <w:szCs w:val="18"/>
              </w:rPr>
            </w:pPr>
            <w:r>
              <w:rPr>
                <w:rFonts w:hint="eastAsia" w:ascii="等线" w:hAnsi="等线" w:eastAsia="等线" w:cs="等线"/>
                <w:color w:val="000000"/>
                <w:kern w:val="0"/>
                <w:sz w:val="18"/>
                <w:szCs w:val="18"/>
                <w:lang w:bidi="ar"/>
              </w:rPr>
              <w:t>麦康凯平板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6882" w:type="dxa"/>
            <w:vAlign w:val="center"/>
          </w:tcPr>
          <w:p>
            <w:pPr>
              <w:widowControl/>
              <w:jc w:val="center"/>
              <w:textAlignment w:val="bottom"/>
              <w:rPr>
                <w:rFonts w:ascii="等线" w:hAnsi="等线" w:eastAsia="等线" w:cs="等线"/>
                <w:color w:val="000000"/>
                <w:sz w:val="18"/>
                <w:szCs w:val="18"/>
              </w:rPr>
            </w:pPr>
            <w:r>
              <w:rPr>
                <w:rFonts w:hint="eastAsia" w:ascii="等线" w:hAnsi="等线" w:eastAsia="等线" w:cs="等线"/>
                <w:color w:val="000000"/>
                <w:kern w:val="0"/>
                <w:sz w:val="18"/>
                <w:szCs w:val="18"/>
                <w:lang w:bidi="ar"/>
              </w:rPr>
              <w:t>嗜血杆菌巧克力琼脂选择培养基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6882" w:type="dxa"/>
            <w:vAlign w:val="center"/>
          </w:tcPr>
          <w:p>
            <w:pPr>
              <w:widowControl/>
              <w:jc w:val="center"/>
              <w:textAlignment w:val="bottom"/>
              <w:rPr>
                <w:rFonts w:ascii="等线" w:hAnsi="等线" w:eastAsia="等线" w:cs="等线"/>
                <w:color w:val="000000"/>
                <w:sz w:val="18"/>
                <w:szCs w:val="18"/>
              </w:rPr>
            </w:pPr>
            <w:r>
              <w:rPr>
                <w:rFonts w:hint="eastAsia" w:ascii="等线" w:hAnsi="等线" w:eastAsia="等线" w:cs="等线"/>
                <w:color w:val="000000"/>
                <w:kern w:val="0"/>
                <w:sz w:val="18"/>
                <w:szCs w:val="18"/>
                <w:lang w:bidi="ar"/>
              </w:rPr>
              <w:t>沙保氏琼脂平板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6882" w:type="dxa"/>
            <w:vAlign w:val="center"/>
          </w:tcPr>
          <w:p>
            <w:pPr>
              <w:widowControl/>
              <w:jc w:val="center"/>
              <w:textAlignment w:val="bottom"/>
              <w:rPr>
                <w:rFonts w:ascii="等线" w:hAnsi="等线" w:eastAsia="等线" w:cs="等线"/>
                <w:color w:val="000000"/>
                <w:sz w:val="18"/>
                <w:szCs w:val="18"/>
              </w:rPr>
            </w:pPr>
            <w:r>
              <w:rPr>
                <w:rFonts w:hint="eastAsia" w:ascii="等线" w:hAnsi="等线" w:eastAsia="等线" w:cs="等线"/>
                <w:color w:val="000000"/>
                <w:kern w:val="0"/>
                <w:sz w:val="18"/>
                <w:szCs w:val="18"/>
                <w:lang w:bidi="ar"/>
              </w:rPr>
              <w:t>MH琼脂平板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6882" w:type="dxa"/>
            <w:vAlign w:val="center"/>
          </w:tcPr>
          <w:p>
            <w:pPr>
              <w:widowControl/>
              <w:jc w:val="center"/>
              <w:textAlignment w:val="bottom"/>
              <w:rPr>
                <w:rFonts w:ascii="等线" w:hAnsi="等线" w:eastAsia="等线" w:cs="等线"/>
                <w:color w:val="000000"/>
                <w:sz w:val="18"/>
                <w:szCs w:val="18"/>
              </w:rPr>
            </w:pPr>
            <w:r>
              <w:rPr>
                <w:rFonts w:hint="eastAsia" w:ascii="等线" w:hAnsi="等线" w:eastAsia="等线" w:cs="等线"/>
                <w:color w:val="000000"/>
                <w:kern w:val="0"/>
                <w:sz w:val="18"/>
                <w:szCs w:val="18"/>
                <w:lang w:bidi="ar"/>
              </w:rPr>
              <w:t>HTM培养基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6882" w:type="dxa"/>
            <w:vAlign w:val="center"/>
          </w:tcPr>
          <w:p>
            <w:pPr>
              <w:widowControl/>
              <w:jc w:val="center"/>
              <w:textAlignment w:val="bottom"/>
              <w:rPr>
                <w:rFonts w:ascii="等线" w:hAnsi="等线" w:eastAsia="等线" w:cs="等线"/>
                <w:color w:val="000000"/>
                <w:sz w:val="18"/>
                <w:szCs w:val="18"/>
              </w:rPr>
            </w:pPr>
            <w:r>
              <w:rPr>
                <w:rFonts w:hint="eastAsia" w:ascii="等线" w:hAnsi="等线" w:eastAsia="等线" w:cs="等线"/>
                <w:color w:val="000000"/>
                <w:kern w:val="0"/>
                <w:sz w:val="18"/>
                <w:szCs w:val="18"/>
                <w:lang w:bidi="ar"/>
              </w:rPr>
              <w:t>SS琼脂培养基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6882" w:type="dxa"/>
            <w:vAlign w:val="center"/>
          </w:tcPr>
          <w:p>
            <w:pPr>
              <w:widowControl/>
              <w:jc w:val="center"/>
              <w:textAlignment w:val="bottom"/>
              <w:rPr>
                <w:rFonts w:ascii="等线" w:hAnsi="等线" w:eastAsia="等线" w:cs="等线"/>
                <w:color w:val="000000"/>
                <w:sz w:val="18"/>
                <w:szCs w:val="18"/>
              </w:rPr>
            </w:pPr>
            <w:r>
              <w:rPr>
                <w:rFonts w:hint="eastAsia" w:ascii="等线" w:hAnsi="等线" w:eastAsia="等线" w:cs="等线"/>
                <w:color w:val="000000"/>
                <w:kern w:val="0"/>
                <w:sz w:val="18"/>
                <w:szCs w:val="18"/>
                <w:lang w:bidi="ar"/>
              </w:rPr>
              <w:t>沙门志贺肉汤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6882" w:type="dxa"/>
            <w:vAlign w:val="center"/>
          </w:tcPr>
          <w:p>
            <w:pPr>
              <w:widowControl/>
              <w:jc w:val="center"/>
              <w:textAlignment w:val="bottom"/>
              <w:rPr>
                <w:rFonts w:ascii="等线" w:hAnsi="等线" w:eastAsia="等线" w:cs="等线"/>
                <w:color w:val="000000"/>
                <w:sz w:val="18"/>
                <w:szCs w:val="18"/>
              </w:rPr>
            </w:pPr>
            <w:r>
              <w:rPr>
                <w:rFonts w:hint="eastAsia" w:ascii="等线" w:hAnsi="等线" w:eastAsia="等线" w:cs="等线"/>
                <w:color w:val="000000"/>
                <w:kern w:val="0"/>
                <w:sz w:val="18"/>
                <w:szCs w:val="18"/>
                <w:lang w:bidi="ar"/>
              </w:rPr>
              <w:t>TM (Thayer—Martin)淋球菌培养基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6882" w:type="dxa"/>
            <w:vAlign w:val="center"/>
          </w:tcPr>
          <w:p>
            <w:pPr>
              <w:widowControl/>
              <w:jc w:val="center"/>
              <w:textAlignment w:val="bottom"/>
              <w:rPr>
                <w:rFonts w:ascii="等线" w:hAnsi="等线" w:eastAsia="等线" w:cs="等线"/>
                <w:color w:val="000000"/>
                <w:sz w:val="18"/>
                <w:szCs w:val="18"/>
              </w:rPr>
            </w:pPr>
            <w:r>
              <w:rPr>
                <w:rFonts w:hint="eastAsia" w:ascii="等线" w:hAnsi="等线" w:eastAsia="等线" w:cs="等线"/>
                <w:color w:val="000000"/>
                <w:kern w:val="0"/>
                <w:sz w:val="18"/>
                <w:szCs w:val="18"/>
                <w:lang w:bidi="ar"/>
              </w:rPr>
              <w:t>碱性蛋白胨水培养基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6882" w:type="dxa"/>
            <w:vAlign w:val="center"/>
          </w:tcPr>
          <w:p>
            <w:pPr>
              <w:widowControl/>
              <w:jc w:val="center"/>
              <w:textAlignment w:val="bottom"/>
              <w:rPr>
                <w:rFonts w:ascii="等线" w:hAnsi="等线" w:eastAsia="等线" w:cs="等线"/>
                <w:color w:val="000000"/>
                <w:sz w:val="18"/>
                <w:szCs w:val="18"/>
              </w:rPr>
            </w:pPr>
            <w:r>
              <w:rPr>
                <w:rFonts w:hint="eastAsia" w:ascii="等线" w:hAnsi="等线" w:eastAsia="等线" w:cs="等线"/>
                <w:color w:val="000000"/>
                <w:kern w:val="0"/>
                <w:sz w:val="18"/>
                <w:szCs w:val="18"/>
                <w:lang w:bidi="ar"/>
              </w:rPr>
              <w:t>洗脱液肉汤培养基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6882" w:type="dxa"/>
            <w:vAlign w:val="center"/>
          </w:tcPr>
          <w:p>
            <w:pPr>
              <w:widowControl/>
              <w:jc w:val="center"/>
              <w:textAlignment w:val="bottom"/>
              <w:rPr>
                <w:rFonts w:ascii="等线" w:hAnsi="等线" w:eastAsia="等线" w:cs="等线"/>
                <w:color w:val="000000"/>
                <w:sz w:val="18"/>
                <w:szCs w:val="18"/>
              </w:rPr>
            </w:pPr>
            <w:r>
              <w:rPr>
                <w:rFonts w:hint="eastAsia" w:ascii="等线" w:hAnsi="等线" w:eastAsia="等线" w:cs="等线"/>
                <w:color w:val="000000"/>
                <w:kern w:val="0"/>
                <w:sz w:val="18"/>
                <w:szCs w:val="18"/>
                <w:lang w:bidi="ar"/>
              </w:rPr>
              <w:t>营养肉汤培养基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6882" w:type="dxa"/>
            <w:vAlign w:val="center"/>
          </w:tcPr>
          <w:p>
            <w:pPr>
              <w:widowControl/>
              <w:jc w:val="center"/>
              <w:textAlignment w:val="bottom"/>
              <w:rPr>
                <w:rFonts w:ascii="等线" w:hAnsi="等线" w:eastAsia="等线" w:cs="等线"/>
                <w:color w:val="000000"/>
                <w:sz w:val="18"/>
                <w:szCs w:val="18"/>
              </w:rPr>
            </w:pPr>
            <w:r>
              <w:rPr>
                <w:rFonts w:hint="eastAsia" w:ascii="等线" w:hAnsi="等线" w:eastAsia="等线" w:cs="等线"/>
                <w:color w:val="000000"/>
                <w:kern w:val="0"/>
                <w:sz w:val="18"/>
                <w:szCs w:val="18"/>
                <w:lang w:bidi="ar"/>
              </w:rPr>
              <w:t>中和剂肉汤培养基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6882" w:type="dxa"/>
            <w:vAlign w:val="center"/>
          </w:tcPr>
          <w:p>
            <w:pPr>
              <w:widowControl/>
              <w:jc w:val="center"/>
              <w:textAlignment w:val="bottom"/>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中和剂肉汤培养基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0" w:type="auto"/>
            <w:vMerge w:val="continue"/>
          </w:tcPr>
          <w:p>
            <w:pPr>
              <w:widowControl/>
              <w:spacing w:before="100" w:beforeAutospacing="1" w:after="100" w:afterAutospacing="1"/>
              <w:jc w:val="left"/>
              <w:rPr>
                <w:rFonts w:cs="宋体" w:asciiTheme="minorEastAsia" w:hAnsiTheme="minorEastAsia" w:eastAsiaTheme="minorEastAsia"/>
                <w:kern w:val="0"/>
                <w:sz w:val="24"/>
              </w:rPr>
            </w:pPr>
          </w:p>
        </w:tc>
        <w:tc>
          <w:tcPr>
            <w:tcW w:w="6882" w:type="dxa"/>
            <w:vAlign w:val="center"/>
          </w:tcPr>
          <w:p>
            <w:pPr>
              <w:widowControl/>
              <w:jc w:val="center"/>
              <w:textAlignment w:val="bottom"/>
              <w:rPr>
                <w:rFonts w:ascii="等线" w:hAnsi="等线" w:eastAsia="等线" w:cs="等线"/>
                <w:color w:val="000000"/>
                <w:sz w:val="18"/>
                <w:szCs w:val="18"/>
              </w:rPr>
            </w:pPr>
            <w:r>
              <w:rPr>
                <w:rFonts w:hint="eastAsia" w:ascii="等线" w:hAnsi="等线" w:eastAsia="等线" w:cs="等线"/>
                <w:color w:val="000000"/>
                <w:kern w:val="0"/>
                <w:sz w:val="18"/>
                <w:szCs w:val="18"/>
                <w:lang w:bidi="ar"/>
              </w:rPr>
              <w:t>平板表面平整、9CM、保质期半年以上</w:t>
            </w:r>
          </w:p>
        </w:tc>
      </w:tr>
    </w:tbl>
    <w:p>
      <w:pPr>
        <w:spacing w:line="540" w:lineRule="exact"/>
        <w:rPr>
          <w:rFonts w:ascii="宋体" w:hAnsi="宋体"/>
          <w:bCs/>
          <w:sz w:val="24"/>
        </w:rPr>
      </w:pPr>
      <w:bookmarkStart w:id="0" w:name="_GoBack"/>
      <w:bookmarkEnd w:id="0"/>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1665C8"/>
    <w:rsid w:val="001C020B"/>
    <w:rsid w:val="001C5E6B"/>
    <w:rsid w:val="001D0F34"/>
    <w:rsid w:val="001D4F49"/>
    <w:rsid w:val="001F3EC2"/>
    <w:rsid w:val="00203F52"/>
    <w:rsid w:val="0021733B"/>
    <w:rsid w:val="002305AE"/>
    <w:rsid w:val="00233710"/>
    <w:rsid w:val="00236EB7"/>
    <w:rsid w:val="002B4449"/>
    <w:rsid w:val="002D3235"/>
    <w:rsid w:val="002D4BC7"/>
    <w:rsid w:val="003113BF"/>
    <w:rsid w:val="00346659"/>
    <w:rsid w:val="0035664E"/>
    <w:rsid w:val="003717CD"/>
    <w:rsid w:val="00375B7E"/>
    <w:rsid w:val="00392245"/>
    <w:rsid w:val="00425B19"/>
    <w:rsid w:val="00426CA7"/>
    <w:rsid w:val="00515A8F"/>
    <w:rsid w:val="00546B4C"/>
    <w:rsid w:val="005672FE"/>
    <w:rsid w:val="005708F0"/>
    <w:rsid w:val="00584E0A"/>
    <w:rsid w:val="005B3A63"/>
    <w:rsid w:val="005D33F2"/>
    <w:rsid w:val="005E3E42"/>
    <w:rsid w:val="005F48C7"/>
    <w:rsid w:val="005F6C47"/>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805F1"/>
    <w:rsid w:val="009A1255"/>
    <w:rsid w:val="009B58B3"/>
    <w:rsid w:val="009B7588"/>
    <w:rsid w:val="009D7642"/>
    <w:rsid w:val="009F6854"/>
    <w:rsid w:val="00AE7DB5"/>
    <w:rsid w:val="00B1082A"/>
    <w:rsid w:val="00B16D72"/>
    <w:rsid w:val="00B202D7"/>
    <w:rsid w:val="00B34EC8"/>
    <w:rsid w:val="00B418DD"/>
    <w:rsid w:val="00B55854"/>
    <w:rsid w:val="00B56BCF"/>
    <w:rsid w:val="00B703C8"/>
    <w:rsid w:val="00B97A76"/>
    <w:rsid w:val="00BB1A91"/>
    <w:rsid w:val="00BD4E35"/>
    <w:rsid w:val="00BE41CB"/>
    <w:rsid w:val="00C52EF5"/>
    <w:rsid w:val="00C67A4F"/>
    <w:rsid w:val="00CE5B0C"/>
    <w:rsid w:val="00CF17B4"/>
    <w:rsid w:val="00D3503E"/>
    <w:rsid w:val="00D64BE1"/>
    <w:rsid w:val="00D8305A"/>
    <w:rsid w:val="00DA63C3"/>
    <w:rsid w:val="00DB386B"/>
    <w:rsid w:val="00DD0DE3"/>
    <w:rsid w:val="00DD2F31"/>
    <w:rsid w:val="00E1340D"/>
    <w:rsid w:val="00E73BA4"/>
    <w:rsid w:val="00E9378D"/>
    <w:rsid w:val="00E93F01"/>
    <w:rsid w:val="00EB4324"/>
    <w:rsid w:val="00EE28F3"/>
    <w:rsid w:val="00EE574D"/>
    <w:rsid w:val="00EF67F2"/>
    <w:rsid w:val="00F14601"/>
    <w:rsid w:val="00F70376"/>
    <w:rsid w:val="00F81225"/>
    <w:rsid w:val="00F85DB2"/>
    <w:rsid w:val="00F92D50"/>
    <w:rsid w:val="00FA07B8"/>
    <w:rsid w:val="00FF222A"/>
    <w:rsid w:val="00FF7643"/>
    <w:rsid w:val="063C618E"/>
    <w:rsid w:val="09317280"/>
    <w:rsid w:val="112D1CC5"/>
    <w:rsid w:val="1A2C7DEE"/>
    <w:rsid w:val="1D9D5BA4"/>
    <w:rsid w:val="1E592974"/>
    <w:rsid w:val="269C2E17"/>
    <w:rsid w:val="26EE059E"/>
    <w:rsid w:val="288B5A00"/>
    <w:rsid w:val="3AD75DF1"/>
    <w:rsid w:val="3D310040"/>
    <w:rsid w:val="3EAB5A0A"/>
    <w:rsid w:val="460445C1"/>
    <w:rsid w:val="47164442"/>
    <w:rsid w:val="4B171BBE"/>
    <w:rsid w:val="54D57D13"/>
    <w:rsid w:val="58211D7D"/>
    <w:rsid w:val="5BD52165"/>
    <w:rsid w:val="5FF2755C"/>
    <w:rsid w:val="63192A84"/>
    <w:rsid w:val="63793C94"/>
    <w:rsid w:val="72F77CB0"/>
    <w:rsid w:val="77801A2A"/>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autoRedefine/>
    <w:semiHidden/>
    <w:unhideWhenUsed/>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autoRedefine/>
    <w:qFormat/>
    <w:uiPriority w:val="0"/>
    <w:rPr>
      <w:rFonts w:ascii="Times New Roman" w:hAnsi="Times New Roman" w:eastAsia="宋体" w:cs="Times New Roman"/>
      <w:b/>
      <w:bCs/>
      <w:kern w:val="44"/>
      <w:sz w:val="44"/>
      <w:szCs w:val="44"/>
    </w:rPr>
  </w:style>
  <w:style w:type="character" w:customStyle="1" w:styleId="9">
    <w:name w:val="页眉 字符"/>
    <w:basedOn w:val="7"/>
    <w:link w:val="4"/>
    <w:autoRedefine/>
    <w:qFormat/>
    <w:uiPriority w:val="99"/>
    <w:rPr>
      <w:rFonts w:ascii="Calibri" w:hAnsi="Calibri" w:eastAsia="宋体" w:cs="Times New Roman"/>
      <w:sz w:val="18"/>
      <w:szCs w:val="18"/>
    </w:rPr>
  </w:style>
  <w:style w:type="character" w:customStyle="1" w:styleId="10">
    <w:name w:val="页脚 字符"/>
    <w:basedOn w:val="7"/>
    <w:link w:val="3"/>
    <w:autoRedefine/>
    <w:qFormat/>
    <w:uiPriority w:val="99"/>
    <w:rPr>
      <w:rFonts w:ascii="Calibri" w:hAnsi="Calibri" w:eastAsia="宋体" w:cs="Times New Roman"/>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428</Words>
  <Characters>2446</Characters>
  <Lines>20</Lines>
  <Paragraphs>5</Paragraphs>
  <TotalTime>0</TotalTime>
  <ScaleCrop>false</ScaleCrop>
  <LinksUpToDate>false</LinksUpToDate>
  <CharactersWithSpaces>2869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dz</cp:lastModifiedBy>
  <cp:lastPrinted>2023-07-12T02:54:00Z</cp:lastPrinted>
  <dcterms:modified xsi:type="dcterms:W3CDTF">2024-01-18T03:17:53Z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33DE186D168A4BCA898D98CB82DE8D9D_13</vt:lpwstr>
  </property>
</Properties>
</file>