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0CC0" w14:textId="5744ACD2" w:rsidR="00BF756C" w:rsidRDefault="00C24F0C" w:rsidP="00C24F0C">
      <w:pPr>
        <w:jc w:val="center"/>
        <w:rPr>
          <w:rFonts w:ascii="方正小标宋简体" w:eastAsia="方正小标宋简体" w:hint="eastAsia"/>
        </w:rPr>
      </w:pPr>
      <w:r>
        <w:rPr>
          <w:rFonts w:ascii="方正小标宋简体" w:eastAsia="方正小标宋简体" w:hAnsi="宋体" w:cs="宋体" w:hint="eastAsia"/>
          <w:b/>
          <w:bCs/>
          <w:color w:val="3F3F3F"/>
          <w:kern w:val="0"/>
          <w:sz w:val="36"/>
          <w:szCs w:val="36"/>
        </w:rPr>
        <w:t>深圳市儿童医院设备采购需求参数表</w:t>
      </w:r>
    </w:p>
    <w:tbl>
      <w:tblPr>
        <w:tblW w:w="9909" w:type="dxa"/>
        <w:jc w:val="center"/>
        <w:tblBorders>
          <w:top w:val="single" w:sz="4" w:space="0" w:color="3F3F3F"/>
          <w:left w:val="single" w:sz="4" w:space="0" w:color="3F3F3F"/>
          <w:bottom w:val="single" w:sz="4" w:space="0" w:color="3F3F3F"/>
          <w:right w:val="single" w:sz="4" w:space="0" w:color="3F3F3F"/>
          <w:insideH w:val="single" w:sz="4" w:space="0" w:color="3F3F3F"/>
          <w:insideV w:val="single" w:sz="4" w:space="0" w:color="3F3F3F"/>
        </w:tblBorders>
        <w:tblLook w:val="04A0" w:firstRow="1" w:lastRow="0" w:firstColumn="1" w:lastColumn="0" w:noHBand="0" w:noVBand="1"/>
      </w:tblPr>
      <w:tblGrid>
        <w:gridCol w:w="660"/>
        <w:gridCol w:w="1320"/>
        <w:gridCol w:w="7929"/>
      </w:tblGrid>
      <w:tr w:rsidR="00BF756C" w14:paraId="3BE40CC4" w14:textId="77777777" w:rsidTr="00C24F0C">
        <w:trPr>
          <w:trHeight w:val="420"/>
          <w:jc w:val="center"/>
        </w:trPr>
        <w:tc>
          <w:tcPr>
            <w:tcW w:w="660" w:type="dxa"/>
            <w:shd w:val="clear" w:color="000000" w:fill="FFFFFF"/>
            <w:vAlign w:val="center"/>
          </w:tcPr>
          <w:p w14:paraId="3BE40CC1" w14:textId="77777777" w:rsidR="00BF756C" w:rsidRDefault="00C24F0C">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1320" w:type="dxa"/>
            <w:shd w:val="clear" w:color="000000" w:fill="FFFFFF"/>
            <w:vAlign w:val="center"/>
          </w:tcPr>
          <w:p w14:paraId="3BE40CC2" w14:textId="77777777" w:rsidR="00BF756C" w:rsidRDefault="00C24F0C">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7929" w:type="dxa"/>
            <w:shd w:val="clear" w:color="000000" w:fill="FFFFFF"/>
            <w:vAlign w:val="center"/>
          </w:tcPr>
          <w:p w14:paraId="3BE40CC3" w14:textId="77777777" w:rsidR="00BF756C" w:rsidRDefault="00C24F0C" w:rsidP="00C24F0C">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C24F0C" w14:paraId="3BE40CCC" w14:textId="77777777" w:rsidTr="00C24F0C">
        <w:trPr>
          <w:jc w:val="center"/>
        </w:trPr>
        <w:tc>
          <w:tcPr>
            <w:tcW w:w="660" w:type="dxa"/>
            <w:vMerge w:val="restart"/>
            <w:shd w:val="clear" w:color="000000" w:fill="FFFFFF"/>
            <w:vAlign w:val="center"/>
          </w:tcPr>
          <w:p w14:paraId="3BE40CC5" w14:textId="6473FBB5" w:rsidR="00C24F0C" w:rsidRDefault="00C24F0C" w:rsidP="00C24F0C">
            <w:pPr>
              <w:jc w:val="center"/>
              <w:rPr>
                <w:rFonts w:ascii="宋体" w:hAnsi="宋体" w:cs="宋体"/>
                <w:color w:val="3F3F3F"/>
                <w:kern w:val="0"/>
                <w:sz w:val="20"/>
                <w:szCs w:val="20"/>
              </w:rPr>
            </w:pPr>
            <w:r>
              <w:rPr>
                <w:rFonts w:ascii="宋体" w:hAnsi="宋体" w:cs="宋体" w:hint="eastAsia"/>
                <w:color w:val="3F3F3F"/>
                <w:kern w:val="0"/>
                <w:sz w:val="20"/>
                <w:szCs w:val="20"/>
              </w:rPr>
              <w:t>1</w:t>
            </w:r>
          </w:p>
        </w:tc>
        <w:tc>
          <w:tcPr>
            <w:tcW w:w="1320" w:type="dxa"/>
            <w:vMerge w:val="restart"/>
            <w:shd w:val="clear" w:color="000000" w:fill="FFFFFF"/>
            <w:vAlign w:val="center"/>
          </w:tcPr>
          <w:p w14:paraId="3BE40CCA" w14:textId="3542A5C7" w:rsidR="00C24F0C" w:rsidRDefault="00C24F0C">
            <w:pPr>
              <w:widowControl/>
              <w:jc w:val="center"/>
              <w:rPr>
                <w:rFonts w:ascii="宋体" w:hAnsi="宋体" w:cs="宋体"/>
                <w:b/>
                <w:bCs/>
                <w:color w:val="3F3F3F"/>
                <w:kern w:val="0"/>
                <w:sz w:val="22"/>
              </w:rPr>
            </w:pPr>
            <w:r>
              <w:rPr>
                <w:rFonts w:ascii="宋体" w:hAnsi="宋体" w:cs="宋体" w:hint="eastAsia"/>
                <w:color w:val="3F3F3F"/>
                <w:kern w:val="0"/>
                <w:sz w:val="20"/>
                <w:szCs w:val="20"/>
              </w:rPr>
              <w:t>手术转运床</w:t>
            </w:r>
          </w:p>
        </w:tc>
        <w:tc>
          <w:tcPr>
            <w:tcW w:w="7929" w:type="dxa"/>
            <w:shd w:val="clear" w:color="000000" w:fill="FFFFFF"/>
          </w:tcPr>
          <w:p w14:paraId="3BE40CCB" w14:textId="77777777" w:rsidR="00C24F0C" w:rsidRDefault="00C24F0C">
            <w:pPr>
              <w:spacing w:line="360" w:lineRule="auto"/>
              <w:rPr>
                <w:rFonts w:ascii="宋体" w:hAnsi="宋体" w:cs="宋体"/>
                <w:color w:val="3F3F3F"/>
                <w:kern w:val="0"/>
                <w:sz w:val="20"/>
                <w:szCs w:val="20"/>
              </w:rPr>
            </w:pPr>
            <w:r>
              <w:rPr>
                <w:rFonts w:hint="eastAsia"/>
              </w:rPr>
              <w:t>1.</w:t>
            </w:r>
            <w:r>
              <w:rPr>
                <w:rFonts w:hint="eastAsia"/>
              </w:rPr>
              <w:t>转运车全长</w:t>
            </w:r>
            <w:r>
              <w:rPr>
                <w:rFonts w:hint="eastAsia"/>
              </w:rPr>
              <w:t>1930</w:t>
            </w:r>
            <w:r>
              <w:rPr>
                <w:rFonts w:hint="eastAsia"/>
              </w:rPr>
              <w:t>±</w:t>
            </w:r>
            <w:r>
              <w:rPr>
                <w:rFonts w:hint="eastAsia"/>
              </w:rPr>
              <w:t>10mm</w:t>
            </w:r>
            <w:r>
              <w:rPr>
                <w:rFonts w:hint="eastAsia"/>
              </w:rPr>
              <w:t>，全宽</w:t>
            </w:r>
            <w:r>
              <w:rPr>
                <w:rFonts w:hint="eastAsia"/>
              </w:rPr>
              <w:t>663</w:t>
            </w:r>
            <w:r>
              <w:rPr>
                <w:rFonts w:hint="eastAsia"/>
              </w:rPr>
              <w:t>±</w:t>
            </w:r>
            <w:r>
              <w:rPr>
                <w:rFonts w:hint="eastAsia"/>
              </w:rPr>
              <w:t>10mm;</w:t>
            </w:r>
          </w:p>
        </w:tc>
      </w:tr>
      <w:tr w:rsidR="00C24F0C" w14:paraId="3BE40CD0" w14:textId="77777777" w:rsidTr="00C24F0C">
        <w:trPr>
          <w:jc w:val="center"/>
        </w:trPr>
        <w:tc>
          <w:tcPr>
            <w:tcW w:w="660" w:type="dxa"/>
            <w:vMerge/>
            <w:vAlign w:val="center"/>
          </w:tcPr>
          <w:p w14:paraId="3BE40CCD" w14:textId="1802CCDD" w:rsidR="00C24F0C" w:rsidRDefault="00C24F0C" w:rsidP="008C6431">
            <w:pPr>
              <w:jc w:val="left"/>
              <w:rPr>
                <w:rFonts w:ascii="宋体" w:hAnsi="宋体" w:cs="宋体"/>
                <w:color w:val="3F3F3F"/>
                <w:kern w:val="0"/>
                <w:sz w:val="20"/>
                <w:szCs w:val="20"/>
              </w:rPr>
            </w:pPr>
          </w:p>
        </w:tc>
        <w:tc>
          <w:tcPr>
            <w:tcW w:w="1320" w:type="dxa"/>
            <w:vMerge/>
            <w:vAlign w:val="center"/>
          </w:tcPr>
          <w:p w14:paraId="3BE40CCE" w14:textId="77777777" w:rsidR="00C24F0C" w:rsidRDefault="00C24F0C">
            <w:pPr>
              <w:widowControl/>
              <w:jc w:val="left"/>
              <w:rPr>
                <w:rFonts w:ascii="宋体" w:hAnsi="宋体" w:cs="宋体"/>
                <w:color w:val="3F3F3F"/>
                <w:kern w:val="0"/>
                <w:sz w:val="20"/>
                <w:szCs w:val="20"/>
              </w:rPr>
            </w:pPr>
          </w:p>
        </w:tc>
        <w:tc>
          <w:tcPr>
            <w:tcW w:w="7929" w:type="dxa"/>
            <w:shd w:val="clear" w:color="000000" w:fill="FFFFFF"/>
          </w:tcPr>
          <w:p w14:paraId="3BE40CCF" w14:textId="77777777" w:rsidR="00C24F0C" w:rsidRDefault="00C24F0C">
            <w:pPr>
              <w:spacing w:line="360" w:lineRule="auto"/>
              <w:rPr>
                <w:rFonts w:ascii="宋体" w:hAnsi="宋体" w:cs="宋体"/>
                <w:color w:val="3F3F3F"/>
                <w:kern w:val="0"/>
                <w:sz w:val="20"/>
                <w:szCs w:val="20"/>
              </w:rPr>
            </w:pPr>
            <w:r>
              <w:rPr>
                <w:rFonts w:hint="eastAsia"/>
              </w:rPr>
              <w:t>2.</w:t>
            </w:r>
            <w:r>
              <w:rPr>
                <w:rFonts w:hint="eastAsia"/>
              </w:rPr>
              <w:t>床板距离地面可调节高度最低位≤</w:t>
            </w:r>
            <w:r>
              <w:rPr>
                <w:rFonts w:hint="eastAsia"/>
              </w:rPr>
              <w:t>510mm</w:t>
            </w:r>
            <w:r>
              <w:rPr>
                <w:rFonts w:hint="eastAsia"/>
              </w:rPr>
              <w:t>，最高位≥</w:t>
            </w:r>
            <w:r>
              <w:rPr>
                <w:rFonts w:hint="eastAsia"/>
              </w:rPr>
              <w:t>850mm</w:t>
            </w:r>
            <w:r>
              <w:rPr>
                <w:rFonts w:hint="eastAsia"/>
              </w:rPr>
              <w:t>，高低升降行程≥</w:t>
            </w:r>
            <w:r>
              <w:rPr>
                <w:rFonts w:hint="eastAsia"/>
              </w:rPr>
              <w:t>340mm</w:t>
            </w:r>
            <w:r>
              <w:rPr>
                <w:rFonts w:hint="eastAsia"/>
              </w:rPr>
              <w:t>。</w:t>
            </w:r>
          </w:p>
        </w:tc>
      </w:tr>
      <w:tr w:rsidR="00C24F0C" w14:paraId="3BE40CD4" w14:textId="77777777" w:rsidTr="00C24F0C">
        <w:trPr>
          <w:jc w:val="center"/>
        </w:trPr>
        <w:tc>
          <w:tcPr>
            <w:tcW w:w="660" w:type="dxa"/>
            <w:vMerge/>
            <w:vAlign w:val="center"/>
          </w:tcPr>
          <w:p w14:paraId="3BE40CD1" w14:textId="7C81E393" w:rsidR="00C24F0C" w:rsidRDefault="00C24F0C" w:rsidP="008C6431">
            <w:pPr>
              <w:jc w:val="left"/>
              <w:rPr>
                <w:rFonts w:ascii="宋体" w:hAnsi="宋体" w:cs="宋体"/>
                <w:color w:val="3F3F3F"/>
                <w:kern w:val="0"/>
                <w:sz w:val="20"/>
                <w:szCs w:val="20"/>
              </w:rPr>
            </w:pPr>
          </w:p>
        </w:tc>
        <w:tc>
          <w:tcPr>
            <w:tcW w:w="1320" w:type="dxa"/>
            <w:vMerge/>
            <w:vAlign w:val="center"/>
          </w:tcPr>
          <w:p w14:paraId="3BE40CD2" w14:textId="77777777" w:rsidR="00C24F0C" w:rsidRDefault="00C24F0C">
            <w:pPr>
              <w:widowControl/>
              <w:jc w:val="left"/>
              <w:rPr>
                <w:rFonts w:ascii="宋体" w:hAnsi="宋体" w:cs="宋体"/>
                <w:color w:val="3F3F3F"/>
                <w:kern w:val="0"/>
                <w:sz w:val="20"/>
                <w:szCs w:val="20"/>
              </w:rPr>
            </w:pPr>
          </w:p>
        </w:tc>
        <w:tc>
          <w:tcPr>
            <w:tcW w:w="7929" w:type="dxa"/>
            <w:shd w:val="clear" w:color="000000" w:fill="FFFFFF"/>
          </w:tcPr>
          <w:p w14:paraId="3BE40CD3" w14:textId="77777777" w:rsidR="00C24F0C" w:rsidRDefault="00C24F0C">
            <w:pPr>
              <w:spacing w:line="360" w:lineRule="auto"/>
              <w:rPr>
                <w:rFonts w:ascii="宋体" w:hAnsi="宋体" w:cs="宋体"/>
                <w:color w:val="3F3F3F"/>
                <w:kern w:val="0"/>
                <w:sz w:val="20"/>
                <w:szCs w:val="20"/>
              </w:rPr>
            </w:pPr>
            <w:r>
              <w:rPr>
                <w:rFonts w:hint="eastAsia"/>
              </w:rPr>
              <w:t>3.</w:t>
            </w:r>
            <w:r>
              <w:rPr>
                <w:rFonts w:hint="eastAsia"/>
              </w:rPr>
              <w:t>背板升降</w:t>
            </w:r>
            <w:r>
              <w:rPr>
                <w:rFonts w:hint="eastAsia"/>
              </w:rPr>
              <w:t>0-70</w:t>
            </w:r>
            <w:r>
              <w:rPr>
                <w:rFonts w:hint="eastAsia"/>
              </w:rPr>
              <w:t>°，由气动弹簧控制</w:t>
            </w:r>
            <w:r>
              <w:rPr>
                <w:rFonts w:hint="eastAsia"/>
              </w:rPr>
              <w:t>,</w:t>
            </w:r>
            <w:r>
              <w:rPr>
                <w:rFonts w:hint="eastAsia"/>
              </w:rPr>
              <w:t>无级操作。</w:t>
            </w:r>
          </w:p>
        </w:tc>
      </w:tr>
      <w:tr w:rsidR="00C24F0C" w14:paraId="3BE40CD8" w14:textId="77777777" w:rsidTr="00C24F0C">
        <w:trPr>
          <w:jc w:val="center"/>
        </w:trPr>
        <w:tc>
          <w:tcPr>
            <w:tcW w:w="660" w:type="dxa"/>
            <w:vMerge/>
            <w:vAlign w:val="center"/>
          </w:tcPr>
          <w:p w14:paraId="3BE40CD5" w14:textId="4CBDAA57" w:rsidR="00C24F0C" w:rsidRDefault="00C24F0C" w:rsidP="008C6431">
            <w:pPr>
              <w:jc w:val="left"/>
              <w:rPr>
                <w:rFonts w:ascii="宋体" w:hAnsi="宋体" w:cs="宋体"/>
                <w:color w:val="3F3F3F"/>
                <w:kern w:val="0"/>
                <w:sz w:val="20"/>
                <w:szCs w:val="20"/>
              </w:rPr>
            </w:pPr>
          </w:p>
        </w:tc>
        <w:tc>
          <w:tcPr>
            <w:tcW w:w="1320" w:type="dxa"/>
            <w:vMerge/>
            <w:vAlign w:val="center"/>
          </w:tcPr>
          <w:p w14:paraId="3BE40CD6" w14:textId="77777777" w:rsidR="00C24F0C" w:rsidRDefault="00C24F0C">
            <w:pPr>
              <w:widowControl/>
              <w:jc w:val="left"/>
              <w:rPr>
                <w:rFonts w:ascii="宋体" w:hAnsi="宋体" w:cs="宋体"/>
                <w:color w:val="3F3F3F"/>
                <w:kern w:val="0"/>
                <w:sz w:val="20"/>
                <w:szCs w:val="20"/>
              </w:rPr>
            </w:pPr>
          </w:p>
        </w:tc>
        <w:tc>
          <w:tcPr>
            <w:tcW w:w="7929" w:type="dxa"/>
            <w:shd w:val="clear" w:color="000000" w:fill="FFFFFF"/>
          </w:tcPr>
          <w:p w14:paraId="3BE40CD7" w14:textId="77777777" w:rsidR="00C24F0C" w:rsidRDefault="00C24F0C">
            <w:pPr>
              <w:rPr>
                <w:rFonts w:ascii="宋体" w:hAnsi="宋体" w:cs="宋体"/>
                <w:color w:val="3F3F3F"/>
                <w:kern w:val="0"/>
                <w:sz w:val="20"/>
                <w:szCs w:val="20"/>
              </w:rPr>
            </w:pPr>
            <w:r>
              <w:rPr>
                <w:rFonts w:hint="eastAsia"/>
              </w:rPr>
              <w:t>▲</w:t>
            </w:r>
            <w:r>
              <w:rPr>
                <w:rFonts w:hint="eastAsia"/>
              </w:rPr>
              <w:t>4.</w:t>
            </w:r>
            <w:r>
              <w:rPr>
                <w:rFonts w:hint="eastAsia"/>
              </w:rPr>
              <w:t>铝钢制床架，采用（电泳＋粉末）复式喷涂，经过耐挤压性、耐重物落下性、、耐开水性、耐盐水喷雾性（盐雾≥</w:t>
            </w:r>
            <w:r>
              <w:rPr>
                <w:rFonts w:hint="eastAsia"/>
              </w:rPr>
              <w:t>500</w:t>
            </w:r>
            <w:r>
              <w:rPr>
                <w:rFonts w:hint="eastAsia"/>
              </w:rPr>
              <w:t>小时）、耐湿性等相关测试。</w:t>
            </w:r>
            <w:r>
              <w:rPr>
                <w:rFonts w:hint="eastAsia"/>
              </w:rPr>
              <w:t>(</w:t>
            </w:r>
            <w:r>
              <w:rPr>
                <w:rFonts w:hint="eastAsia"/>
              </w:rPr>
              <w:t>可以提供第三方相关测试报告</w:t>
            </w:r>
            <w:r>
              <w:rPr>
                <w:rFonts w:hint="eastAsia"/>
              </w:rPr>
              <w:t>)</w:t>
            </w:r>
            <w:r>
              <w:rPr>
                <w:rFonts w:hint="eastAsia"/>
              </w:rPr>
              <w:t>。</w:t>
            </w:r>
          </w:p>
        </w:tc>
      </w:tr>
      <w:tr w:rsidR="00C24F0C" w14:paraId="3BE40CDC" w14:textId="77777777" w:rsidTr="00C24F0C">
        <w:trPr>
          <w:jc w:val="center"/>
        </w:trPr>
        <w:tc>
          <w:tcPr>
            <w:tcW w:w="660" w:type="dxa"/>
            <w:vMerge/>
            <w:vAlign w:val="center"/>
          </w:tcPr>
          <w:p w14:paraId="3BE40CD9" w14:textId="40369710" w:rsidR="00C24F0C" w:rsidRDefault="00C24F0C" w:rsidP="008C6431">
            <w:pPr>
              <w:jc w:val="left"/>
              <w:rPr>
                <w:rFonts w:ascii="宋体" w:hAnsi="宋体" w:cs="宋体"/>
                <w:color w:val="3F3F3F"/>
                <w:kern w:val="0"/>
                <w:sz w:val="20"/>
                <w:szCs w:val="20"/>
              </w:rPr>
            </w:pPr>
          </w:p>
        </w:tc>
        <w:tc>
          <w:tcPr>
            <w:tcW w:w="1320" w:type="dxa"/>
            <w:vMerge/>
            <w:vAlign w:val="center"/>
          </w:tcPr>
          <w:p w14:paraId="3BE40CDA" w14:textId="77777777" w:rsidR="00C24F0C" w:rsidRDefault="00C24F0C">
            <w:pPr>
              <w:widowControl/>
              <w:jc w:val="left"/>
              <w:rPr>
                <w:rFonts w:ascii="宋体" w:hAnsi="宋体" w:cs="宋体"/>
                <w:color w:val="3F3F3F"/>
                <w:kern w:val="0"/>
                <w:sz w:val="20"/>
                <w:szCs w:val="20"/>
              </w:rPr>
            </w:pPr>
          </w:p>
        </w:tc>
        <w:tc>
          <w:tcPr>
            <w:tcW w:w="7929" w:type="dxa"/>
            <w:shd w:val="clear" w:color="000000" w:fill="FFFFFF"/>
          </w:tcPr>
          <w:p w14:paraId="3BE40CDB" w14:textId="77777777" w:rsidR="00C24F0C" w:rsidRDefault="00C24F0C">
            <w:pPr>
              <w:widowControl/>
              <w:jc w:val="left"/>
              <w:rPr>
                <w:rFonts w:ascii="宋体" w:hAnsi="宋体" w:cs="宋体"/>
                <w:color w:val="3F3F3F"/>
                <w:kern w:val="0"/>
                <w:sz w:val="20"/>
                <w:szCs w:val="20"/>
              </w:rPr>
            </w:pPr>
            <w:r>
              <w:rPr>
                <w:rFonts w:hint="eastAsia"/>
              </w:rPr>
              <w:t>5.</w:t>
            </w:r>
            <w:r>
              <w:rPr>
                <w:rFonts w:hint="eastAsia"/>
              </w:rPr>
              <w:t>床板采用</w:t>
            </w:r>
            <w:r>
              <w:rPr>
                <w:rFonts w:hint="eastAsia"/>
              </w:rPr>
              <w:t>PP</w:t>
            </w:r>
            <w:r>
              <w:rPr>
                <w:rFonts w:hint="eastAsia"/>
              </w:rPr>
              <w:t>树脂材料制成，床板两段式设计，腿部床板背面配有增加强度的加固凹槽，数量≥</w:t>
            </w:r>
            <w:r>
              <w:rPr>
                <w:rFonts w:hint="eastAsia"/>
              </w:rPr>
              <w:t>22</w:t>
            </w:r>
            <w:r>
              <w:rPr>
                <w:rFonts w:hint="eastAsia"/>
              </w:rPr>
              <w:t>个。（可提供产品实物图片）</w:t>
            </w:r>
          </w:p>
        </w:tc>
      </w:tr>
      <w:tr w:rsidR="00C24F0C" w14:paraId="3BE40CE0" w14:textId="77777777" w:rsidTr="00C24F0C">
        <w:trPr>
          <w:jc w:val="center"/>
        </w:trPr>
        <w:tc>
          <w:tcPr>
            <w:tcW w:w="660" w:type="dxa"/>
            <w:vMerge/>
            <w:vAlign w:val="center"/>
          </w:tcPr>
          <w:p w14:paraId="3BE40CDD" w14:textId="45C25B73" w:rsidR="00C24F0C" w:rsidRDefault="00C24F0C" w:rsidP="008C6431">
            <w:pPr>
              <w:jc w:val="left"/>
              <w:rPr>
                <w:rFonts w:ascii="宋体" w:hAnsi="宋体" w:cs="宋体"/>
                <w:color w:val="3F3F3F"/>
                <w:kern w:val="0"/>
                <w:sz w:val="20"/>
                <w:szCs w:val="20"/>
              </w:rPr>
            </w:pPr>
          </w:p>
        </w:tc>
        <w:tc>
          <w:tcPr>
            <w:tcW w:w="1320" w:type="dxa"/>
            <w:vMerge/>
            <w:vAlign w:val="center"/>
          </w:tcPr>
          <w:p w14:paraId="3BE40CDE" w14:textId="77777777" w:rsidR="00C24F0C" w:rsidRDefault="00C24F0C">
            <w:pPr>
              <w:widowControl/>
              <w:jc w:val="left"/>
              <w:rPr>
                <w:rFonts w:ascii="宋体" w:hAnsi="宋体" w:cs="宋体"/>
                <w:color w:val="3F3F3F"/>
                <w:kern w:val="0"/>
                <w:sz w:val="20"/>
                <w:szCs w:val="20"/>
              </w:rPr>
            </w:pPr>
          </w:p>
        </w:tc>
        <w:tc>
          <w:tcPr>
            <w:tcW w:w="7929" w:type="dxa"/>
            <w:shd w:val="clear" w:color="000000" w:fill="FFFFFF"/>
          </w:tcPr>
          <w:p w14:paraId="3BE40CDF" w14:textId="77777777" w:rsidR="00C24F0C" w:rsidRDefault="00C24F0C">
            <w:pPr>
              <w:widowControl/>
              <w:jc w:val="left"/>
              <w:rPr>
                <w:rFonts w:ascii="宋体" w:hAnsi="宋体" w:cs="宋体"/>
                <w:color w:val="3F3F3F"/>
                <w:kern w:val="0"/>
                <w:sz w:val="20"/>
                <w:szCs w:val="20"/>
              </w:rPr>
            </w:pPr>
            <w:r>
              <w:rPr>
                <w:rFonts w:hint="eastAsia"/>
              </w:rPr>
              <w:t>6.</w:t>
            </w:r>
            <w:r>
              <w:rPr>
                <w:rFonts w:hint="eastAsia"/>
              </w:rPr>
              <w:t>转运车两侧都安装有</w:t>
            </w:r>
            <w:r>
              <w:rPr>
                <w:rFonts w:hint="eastAsia"/>
              </w:rPr>
              <w:t>PP</w:t>
            </w:r>
            <w:r>
              <w:rPr>
                <w:rFonts w:hint="eastAsia"/>
              </w:rPr>
              <w:t>树脂材料制成的护栏，旋转式设计，可水平固定，方便护士输液、量血压，让输液者的手臂有舒适的放置处。（可提供水平固定功能实物图片）</w:t>
            </w:r>
          </w:p>
        </w:tc>
      </w:tr>
      <w:tr w:rsidR="00C24F0C" w14:paraId="3BE40CE4" w14:textId="77777777" w:rsidTr="00C24F0C">
        <w:trPr>
          <w:jc w:val="center"/>
        </w:trPr>
        <w:tc>
          <w:tcPr>
            <w:tcW w:w="660" w:type="dxa"/>
            <w:vMerge/>
            <w:vAlign w:val="center"/>
          </w:tcPr>
          <w:p w14:paraId="3BE40CE1" w14:textId="1979D248" w:rsidR="00C24F0C" w:rsidRDefault="00C24F0C" w:rsidP="008C6431">
            <w:pPr>
              <w:jc w:val="left"/>
              <w:rPr>
                <w:rFonts w:ascii="宋体" w:hAnsi="宋体" w:cs="宋体"/>
                <w:color w:val="3F3F3F"/>
                <w:kern w:val="0"/>
                <w:sz w:val="20"/>
                <w:szCs w:val="20"/>
              </w:rPr>
            </w:pPr>
          </w:p>
        </w:tc>
        <w:tc>
          <w:tcPr>
            <w:tcW w:w="1320" w:type="dxa"/>
            <w:vMerge/>
            <w:vAlign w:val="center"/>
          </w:tcPr>
          <w:p w14:paraId="3BE40CE2" w14:textId="77777777" w:rsidR="00C24F0C" w:rsidRDefault="00C24F0C">
            <w:pPr>
              <w:widowControl/>
              <w:jc w:val="left"/>
              <w:rPr>
                <w:rFonts w:ascii="宋体" w:hAnsi="宋体" w:cs="宋体"/>
                <w:color w:val="3F3F3F"/>
                <w:kern w:val="0"/>
                <w:sz w:val="20"/>
                <w:szCs w:val="20"/>
              </w:rPr>
            </w:pPr>
          </w:p>
        </w:tc>
        <w:tc>
          <w:tcPr>
            <w:tcW w:w="7929" w:type="dxa"/>
            <w:shd w:val="clear" w:color="000000" w:fill="FFFFFF"/>
          </w:tcPr>
          <w:p w14:paraId="3BE40CE3" w14:textId="77777777" w:rsidR="00C24F0C" w:rsidRDefault="00C24F0C">
            <w:pPr>
              <w:spacing w:line="360" w:lineRule="auto"/>
              <w:rPr>
                <w:rFonts w:ascii="宋体" w:hAnsi="宋体" w:cs="宋体"/>
                <w:color w:val="3F3F3F"/>
                <w:kern w:val="0"/>
                <w:sz w:val="20"/>
                <w:szCs w:val="20"/>
              </w:rPr>
            </w:pPr>
            <w:r>
              <w:rPr>
                <w:rFonts w:hint="eastAsia"/>
              </w:rPr>
              <w:t>7.</w:t>
            </w:r>
            <w:r>
              <w:rPr>
                <w:rFonts w:hint="eastAsia"/>
              </w:rPr>
              <w:t>护栏采用双重安全锁，护栏开关需设置在足侧（防止患者误操作），双重安全锁配有锁定确认显示窗，锁定为绿色，未锁定为红色。</w:t>
            </w:r>
          </w:p>
        </w:tc>
      </w:tr>
      <w:tr w:rsidR="00C24F0C" w14:paraId="3BE40CE8" w14:textId="77777777" w:rsidTr="00C24F0C">
        <w:trPr>
          <w:jc w:val="center"/>
        </w:trPr>
        <w:tc>
          <w:tcPr>
            <w:tcW w:w="660" w:type="dxa"/>
            <w:vMerge/>
            <w:shd w:val="clear" w:color="000000" w:fill="FFFFFF"/>
            <w:vAlign w:val="center"/>
          </w:tcPr>
          <w:p w14:paraId="3BE40CE5" w14:textId="1113F69D"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CE6"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CE7" w14:textId="77777777" w:rsidR="00C24F0C" w:rsidRDefault="00C24F0C">
            <w:pPr>
              <w:spacing w:line="360" w:lineRule="auto"/>
              <w:rPr>
                <w:rFonts w:ascii="宋体" w:hAnsi="宋体" w:cs="宋体"/>
                <w:b/>
                <w:bCs/>
                <w:color w:val="3F3F3F"/>
                <w:kern w:val="0"/>
                <w:sz w:val="22"/>
              </w:rPr>
            </w:pPr>
            <w:r>
              <w:rPr>
                <w:rFonts w:hint="eastAsia"/>
              </w:rPr>
              <w:t>▲</w:t>
            </w:r>
            <w:r>
              <w:rPr>
                <w:rFonts w:hint="eastAsia"/>
              </w:rPr>
              <w:t>8.</w:t>
            </w:r>
            <w:r>
              <w:rPr>
                <w:rFonts w:hint="eastAsia"/>
              </w:rPr>
              <w:t>护栏上设有一次吹塑成型角度显示器，护栏上设有凹槽，方便管道通过护栏；护栏上有一次吹塑成型的生产厂家标识。（可提供产品实物图片）</w:t>
            </w:r>
          </w:p>
        </w:tc>
      </w:tr>
      <w:tr w:rsidR="00C24F0C" w14:paraId="3BE40CEC" w14:textId="77777777" w:rsidTr="00C24F0C">
        <w:trPr>
          <w:jc w:val="center"/>
        </w:trPr>
        <w:tc>
          <w:tcPr>
            <w:tcW w:w="660" w:type="dxa"/>
            <w:vMerge/>
            <w:shd w:val="clear" w:color="000000" w:fill="FFFFFF"/>
            <w:vAlign w:val="center"/>
          </w:tcPr>
          <w:p w14:paraId="3BE40CE9" w14:textId="225A4AB1"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CEA" w14:textId="77777777" w:rsidR="00C24F0C" w:rsidRDefault="00C24F0C">
            <w:pPr>
              <w:widowControl/>
              <w:jc w:val="center"/>
              <w:rPr>
                <w:rFonts w:ascii="宋体" w:hAnsi="宋体" w:cs="宋体"/>
                <w:b/>
                <w:bCs/>
                <w:color w:val="3F3F3F"/>
                <w:kern w:val="0"/>
                <w:sz w:val="22"/>
              </w:rPr>
            </w:pPr>
          </w:p>
        </w:tc>
        <w:tc>
          <w:tcPr>
            <w:tcW w:w="7929" w:type="dxa"/>
            <w:shd w:val="clear" w:color="000000" w:fill="FFFFFF"/>
          </w:tcPr>
          <w:p w14:paraId="3BE40CEB" w14:textId="77777777" w:rsidR="00C24F0C" w:rsidRDefault="00C24F0C">
            <w:pPr>
              <w:spacing w:line="360" w:lineRule="auto"/>
              <w:rPr>
                <w:rFonts w:ascii="宋体" w:hAnsi="宋体" w:cs="宋体"/>
                <w:b/>
                <w:bCs/>
                <w:color w:val="3F3F3F"/>
                <w:kern w:val="0"/>
                <w:sz w:val="22"/>
              </w:rPr>
            </w:pPr>
            <w:r>
              <w:rPr>
                <w:rFonts w:hint="eastAsia"/>
              </w:rPr>
              <w:t>9.</w:t>
            </w:r>
            <w:r>
              <w:rPr>
                <w:rFonts w:hint="eastAsia"/>
              </w:rPr>
              <w:t>在护栏下方配置配件横杆，单侧横杆上设置有≥</w:t>
            </w:r>
            <w:r>
              <w:rPr>
                <w:rFonts w:hint="eastAsia"/>
              </w:rPr>
              <w:t>6</w:t>
            </w:r>
            <w:r>
              <w:rPr>
                <w:rFonts w:hint="eastAsia"/>
              </w:rPr>
              <w:t>个挂钩安装孔，挂钩可根据临床需要调整不同位置，挂钩承重≥</w:t>
            </w:r>
            <w:r>
              <w:rPr>
                <w:rFonts w:hint="eastAsia"/>
              </w:rPr>
              <w:t>3kg</w:t>
            </w:r>
            <w:r>
              <w:rPr>
                <w:rFonts w:hint="eastAsia"/>
              </w:rPr>
              <w:t>。挂钩采用徒手拆卸式挂钩，无需任何工具即可调整挂钩的位置。</w:t>
            </w:r>
          </w:p>
        </w:tc>
      </w:tr>
      <w:tr w:rsidR="00C24F0C" w14:paraId="3BE40CF0" w14:textId="77777777" w:rsidTr="00C24F0C">
        <w:trPr>
          <w:jc w:val="center"/>
        </w:trPr>
        <w:tc>
          <w:tcPr>
            <w:tcW w:w="660" w:type="dxa"/>
            <w:vMerge/>
            <w:shd w:val="clear" w:color="000000" w:fill="FFFFFF"/>
            <w:vAlign w:val="center"/>
          </w:tcPr>
          <w:p w14:paraId="3BE40CED" w14:textId="1FE920CA"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CEE"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CEF" w14:textId="77777777" w:rsidR="00C24F0C" w:rsidRDefault="00C24F0C">
            <w:pPr>
              <w:rPr>
                <w:rFonts w:ascii="宋体" w:hAnsi="宋体" w:cs="宋体"/>
                <w:b/>
                <w:bCs/>
                <w:color w:val="3F3F3F"/>
                <w:kern w:val="0"/>
                <w:sz w:val="22"/>
              </w:rPr>
            </w:pPr>
            <w:r>
              <w:rPr>
                <w:rFonts w:hint="eastAsia"/>
              </w:rPr>
              <w:t>10.</w:t>
            </w:r>
            <w:r>
              <w:rPr>
                <w:rFonts w:hint="eastAsia"/>
              </w:rPr>
              <w:t>床体四角配有输液架安装孔，共</w:t>
            </w:r>
            <w:r>
              <w:rPr>
                <w:rFonts w:hint="eastAsia"/>
              </w:rPr>
              <w:t>4</w:t>
            </w:r>
            <w:r>
              <w:rPr>
                <w:rFonts w:hint="eastAsia"/>
              </w:rPr>
              <w:t>处，金属支座上设置输液架固定旋钮，固定把手须朝向床体中间，防止误操作。</w:t>
            </w:r>
          </w:p>
        </w:tc>
      </w:tr>
      <w:tr w:rsidR="00C24F0C" w14:paraId="3BE40CF4" w14:textId="77777777" w:rsidTr="00C24F0C">
        <w:trPr>
          <w:jc w:val="center"/>
        </w:trPr>
        <w:tc>
          <w:tcPr>
            <w:tcW w:w="660" w:type="dxa"/>
            <w:vMerge/>
            <w:shd w:val="clear" w:color="000000" w:fill="FFFFFF"/>
            <w:vAlign w:val="center"/>
          </w:tcPr>
          <w:p w14:paraId="3BE40CF1" w14:textId="562E87BA"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CF2"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CF3" w14:textId="77777777" w:rsidR="00C24F0C" w:rsidRDefault="00C24F0C">
            <w:pPr>
              <w:spacing w:line="360" w:lineRule="auto"/>
              <w:rPr>
                <w:rFonts w:ascii="宋体" w:hAnsi="宋体" w:cs="宋体"/>
                <w:b/>
                <w:bCs/>
                <w:color w:val="3F3F3F"/>
                <w:kern w:val="0"/>
                <w:sz w:val="22"/>
              </w:rPr>
            </w:pPr>
            <w:r>
              <w:rPr>
                <w:rFonts w:hint="eastAsia"/>
              </w:rPr>
              <w:t>11.</w:t>
            </w:r>
            <w:r>
              <w:rPr>
                <w:rFonts w:hint="eastAsia"/>
              </w:rPr>
              <w:t>床体装备独立的中心第五轮模块，模块与床框架采用非焊接固定，可拆卸更换（提供独立中心第五轮模块实物图片）；</w:t>
            </w:r>
          </w:p>
        </w:tc>
      </w:tr>
      <w:tr w:rsidR="00C24F0C" w14:paraId="3BE40CF8" w14:textId="77777777" w:rsidTr="00C24F0C">
        <w:trPr>
          <w:jc w:val="center"/>
        </w:trPr>
        <w:tc>
          <w:tcPr>
            <w:tcW w:w="660" w:type="dxa"/>
            <w:vMerge/>
            <w:shd w:val="clear" w:color="000000" w:fill="FFFFFF"/>
            <w:vAlign w:val="center"/>
          </w:tcPr>
          <w:p w14:paraId="3BE40CF5" w14:textId="4B5FDB90"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CF6"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CF7" w14:textId="77777777" w:rsidR="00C24F0C" w:rsidRDefault="00C24F0C">
            <w:pPr>
              <w:spacing w:line="360" w:lineRule="auto"/>
              <w:rPr>
                <w:rFonts w:ascii="宋体" w:hAnsi="宋体" w:cs="宋体"/>
                <w:b/>
                <w:bCs/>
                <w:color w:val="3F3F3F"/>
                <w:kern w:val="0"/>
                <w:sz w:val="22"/>
              </w:rPr>
            </w:pPr>
            <w:r>
              <w:rPr>
                <w:rFonts w:hint="eastAsia"/>
              </w:rPr>
              <w:t>▲</w:t>
            </w:r>
            <w:r>
              <w:rPr>
                <w:rFonts w:hint="eastAsia"/>
              </w:rPr>
              <w:t>12.</w:t>
            </w:r>
            <w:r>
              <w:rPr>
                <w:rFonts w:hint="eastAsia"/>
              </w:rPr>
              <w:t>中心</w:t>
            </w:r>
            <w:proofErr w:type="gramStart"/>
            <w:r>
              <w:rPr>
                <w:rFonts w:hint="eastAsia"/>
              </w:rPr>
              <w:t>第五轮锁止后</w:t>
            </w:r>
            <w:proofErr w:type="gramEnd"/>
            <w:r>
              <w:rPr>
                <w:rFonts w:hint="eastAsia"/>
              </w:rPr>
              <w:t>，推动转运车前行时，应能自限在呈床身纵向直线方向行走。</w:t>
            </w:r>
          </w:p>
        </w:tc>
      </w:tr>
      <w:tr w:rsidR="00C24F0C" w14:paraId="3BE40CFC" w14:textId="77777777" w:rsidTr="00C24F0C">
        <w:trPr>
          <w:jc w:val="center"/>
        </w:trPr>
        <w:tc>
          <w:tcPr>
            <w:tcW w:w="660" w:type="dxa"/>
            <w:vMerge/>
            <w:shd w:val="clear" w:color="000000" w:fill="FFFFFF"/>
            <w:vAlign w:val="center"/>
          </w:tcPr>
          <w:p w14:paraId="3BE40CF9" w14:textId="6DC32F73"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CFA"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CFB" w14:textId="77777777" w:rsidR="00C24F0C" w:rsidRDefault="00C24F0C">
            <w:pPr>
              <w:spacing w:line="360" w:lineRule="auto"/>
              <w:rPr>
                <w:rFonts w:ascii="宋体" w:hAnsi="宋体" w:cs="宋体"/>
                <w:b/>
                <w:bCs/>
                <w:color w:val="3F3F3F"/>
                <w:kern w:val="0"/>
                <w:sz w:val="22"/>
              </w:rPr>
            </w:pPr>
            <w:r>
              <w:rPr>
                <w:rFonts w:hint="eastAsia"/>
              </w:rPr>
              <w:t>13.</w:t>
            </w:r>
            <w:r>
              <w:rPr>
                <w:rFonts w:hint="eastAsia"/>
              </w:rPr>
              <w:t>采用中控锁双面脚轮，四个直径≥</w:t>
            </w:r>
            <w:r>
              <w:rPr>
                <w:rFonts w:hint="eastAsia"/>
              </w:rPr>
              <w:t>150</w:t>
            </w:r>
            <w:r>
              <w:rPr>
                <w:rFonts w:hint="eastAsia"/>
              </w:rPr>
              <w:t>毫米双面脚轮，</w:t>
            </w:r>
            <w:proofErr w:type="gramStart"/>
            <w:r>
              <w:rPr>
                <w:rFonts w:hint="eastAsia"/>
              </w:rPr>
              <w:t>轮面有</w:t>
            </w:r>
            <w:proofErr w:type="gramEnd"/>
            <w:r>
              <w:rPr>
                <w:rFonts w:hint="eastAsia"/>
              </w:rPr>
              <w:t>推车厂家标识。（提供实物图片）</w:t>
            </w:r>
          </w:p>
        </w:tc>
      </w:tr>
      <w:tr w:rsidR="00C24F0C" w14:paraId="3BE40D00" w14:textId="77777777" w:rsidTr="00C24F0C">
        <w:trPr>
          <w:jc w:val="center"/>
        </w:trPr>
        <w:tc>
          <w:tcPr>
            <w:tcW w:w="660" w:type="dxa"/>
            <w:vMerge/>
            <w:shd w:val="clear" w:color="000000" w:fill="FFFFFF"/>
            <w:vAlign w:val="center"/>
          </w:tcPr>
          <w:p w14:paraId="3BE40CFD" w14:textId="55427E2C"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CFE"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CFF" w14:textId="77777777" w:rsidR="00C24F0C" w:rsidRDefault="00C24F0C">
            <w:pPr>
              <w:spacing w:line="360" w:lineRule="auto"/>
              <w:rPr>
                <w:rFonts w:ascii="宋体" w:hAnsi="宋体" w:cs="宋体"/>
                <w:b/>
                <w:bCs/>
                <w:color w:val="3F3F3F"/>
                <w:kern w:val="0"/>
                <w:sz w:val="22"/>
              </w:rPr>
            </w:pPr>
            <w:r>
              <w:rPr>
                <w:rFonts w:hint="eastAsia"/>
              </w:rPr>
              <w:t>14.</w:t>
            </w:r>
            <w:r>
              <w:rPr>
                <w:rFonts w:hint="eastAsia"/>
              </w:rPr>
              <w:t>四个脚轮中具有一个可导电脚轮，保证转运过程中能消除静电，导电轮有黄色标识圈。（提供实物图片）</w:t>
            </w:r>
          </w:p>
        </w:tc>
      </w:tr>
      <w:tr w:rsidR="00C24F0C" w14:paraId="3BE40D04" w14:textId="77777777" w:rsidTr="00C24F0C">
        <w:trPr>
          <w:jc w:val="center"/>
        </w:trPr>
        <w:tc>
          <w:tcPr>
            <w:tcW w:w="660" w:type="dxa"/>
            <w:vMerge/>
            <w:shd w:val="clear" w:color="000000" w:fill="FFFFFF"/>
            <w:vAlign w:val="center"/>
          </w:tcPr>
          <w:p w14:paraId="3BE40D01" w14:textId="27F1DBD9" w:rsidR="00C24F0C" w:rsidRDefault="00C24F0C" w:rsidP="008C6431">
            <w:pPr>
              <w:jc w:val="left"/>
              <w:rPr>
                <w:rFonts w:ascii="宋体" w:hAnsi="宋体" w:cs="宋体"/>
                <w:b/>
                <w:bCs/>
                <w:color w:val="3F3F3F"/>
                <w:kern w:val="0"/>
                <w:sz w:val="22"/>
              </w:rPr>
            </w:pPr>
          </w:p>
        </w:tc>
        <w:tc>
          <w:tcPr>
            <w:tcW w:w="1320" w:type="dxa"/>
            <w:vMerge/>
            <w:shd w:val="clear" w:color="000000" w:fill="FFFFFF"/>
            <w:vAlign w:val="center"/>
          </w:tcPr>
          <w:p w14:paraId="3BE40D02"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D03" w14:textId="77777777" w:rsidR="00C24F0C" w:rsidRDefault="00C24F0C">
            <w:pPr>
              <w:spacing w:line="360" w:lineRule="auto"/>
              <w:rPr>
                <w:rFonts w:ascii="宋体" w:hAnsi="宋体" w:cs="宋体"/>
                <w:b/>
                <w:bCs/>
                <w:color w:val="3F3F3F"/>
                <w:kern w:val="0"/>
                <w:sz w:val="22"/>
              </w:rPr>
            </w:pPr>
            <w:r>
              <w:rPr>
                <w:rFonts w:hint="eastAsia"/>
              </w:rPr>
              <w:t>15.</w:t>
            </w:r>
            <w:r>
              <w:rPr>
                <w:rFonts w:hint="eastAsia"/>
              </w:rPr>
              <w:t>四个脚轮上均配中控刹车踏板，刹车踏板配有红绿颜色标志，在任意脚轮一侧踩下不同颜色端都可同时控制四个轮子的解锁或锁定。具有脚轮相关国际认证报告。</w:t>
            </w:r>
          </w:p>
        </w:tc>
      </w:tr>
      <w:tr w:rsidR="00C24F0C" w14:paraId="3BE40D08" w14:textId="77777777" w:rsidTr="00C24F0C">
        <w:trPr>
          <w:jc w:val="center"/>
        </w:trPr>
        <w:tc>
          <w:tcPr>
            <w:tcW w:w="660" w:type="dxa"/>
            <w:vMerge/>
            <w:shd w:val="clear" w:color="000000" w:fill="FFFFFF"/>
            <w:vAlign w:val="center"/>
          </w:tcPr>
          <w:p w14:paraId="3BE40D05" w14:textId="676048E6" w:rsidR="00C24F0C" w:rsidRDefault="00C24F0C">
            <w:pPr>
              <w:widowControl/>
              <w:jc w:val="left"/>
              <w:rPr>
                <w:rFonts w:ascii="宋体" w:hAnsi="宋体" w:cs="宋体"/>
                <w:b/>
                <w:bCs/>
                <w:color w:val="3F3F3F"/>
                <w:kern w:val="0"/>
                <w:sz w:val="22"/>
              </w:rPr>
            </w:pPr>
          </w:p>
        </w:tc>
        <w:tc>
          <w:tcPr>
            <w:tcW w:w="1320" w:type="dxa"/>
            <w:vMerge/>
            <w:shd w:val="clear" w:color="000000" w:fill="FFFFFF"/>
            <w:vAlign w:val="center"/>
          </w:tcPr>
          <w:p w14:paraId="3BE40D06"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D07" w14:textId="77777777" w:rsidR="00C24F0C" w:rsidRDefault="00C24F0C">
            <w:pPr>
              <w:spacing w:line="360" w:lineRule="auto"/>
              <w:rPr>
                <w:rFonts w:ascii="宋体" w:hAnsi="宋体" w:cs="宋体"/>
                <w:b/>
                <w:bCs/>
                <w:color w:val="3F3F3F"/>
                <w:kern w:val="0"/>
                <w:sz w:val="22"/>
              </w:rPr>
            </w:pPr>
            <w:r>
              <w:rPr>
                <w:rFonts w:hint="eastAsia"/>
              </w:rPr>
              <w:t>▲</w:t>
            </w:r>
            <w:r>
              <w:rPr>
                <w:rFonts w:hint="eastAsia"/>
              </w:rPr>
              <w:t>16.</w:t>
            </w:r>
            <w:r>
              <w:rPr>
                <w:rFonts w:hint="eastAsia"/>
              </w:rPr>
              <w:t>转运车的脚轮锁定必须牢靠，</w:t>
            </w:r>
            <w:proofErr w:type="gramStart"/>
            <w:r>
              <w:rPr>
                <w:rFonts w:hint="eastAsia"/>
              </w:rPr>
              <w:t>锁止后</w:t>
            </w:r>
            <w:proofErr w:type="gramEnd"/>
            <w:r>
              <w:rPr>
                <w:rFonts w:hint="eastAsia"/>
              </w:rPr>
              <w:t>在倾斜</w:t>
            </w:r>
            <w:r>
              <w:rPr>
                <w:rFonts w:hint="eastAsia"/>
              </w:rPr>
              <w:t>10</w:t>
            </w:r>
            <w:r>
              <w:rPr>
                <w:rFonts w:hint="eastAsia"/>
              </w:rPr>
              <w:t>°的斜面上移动距离应≤</w:t>
            </w:r>
            <w:r>
              <w:rPr>
                <w:rFonts w:hint="eastAsia"/>
              </w:rPr>
              <w:t>10mm</w:t>
            </w:r>
            <w:r>
              <w:rPr>
                <w:rFonts w:hint="eastAsia"/>
              </w:rPr>
              <w:t>。</w:t>
            </w:r>
          </w:p>
        </w:tc>
      </w:tr>
      <w:tr w:rsidR="00C24F0C" w14:paraId="3BE40D0C" w14:textId="77777777" w:rsidTr="00C24F0C">
        <w:trPr>
          <w:jc w:val="center"/>
        </w:trPr>
        <w:tc>
          <w:tcPr>
            <w:tcW w:w="660" w:type="dxa"/>
            <w:vMerge/>
            <w:shd w:val="clear" w:color="000000" w:fill="FFFFFF"/>
            <w:vAlign w:val="center"/>
          </w:tcPr>
          <w:p w14:paraId="3BE40D09" w14:textId="77777777" w:rsidR="00C24F0C" w:rsidRDefault="00C24F0C">
            <w:pPr>
              <w:widowControl/>
              <w:jc w:val="left"/>
              <w:rPr>
                <w:rFonts w:ascii="宋体" w:hAnsi="宋体" w:cs="宋体"/>
                <w:b/>
                <w:bCs/>
                <w:color w:val="3F3F3F"/>
                <w:kern w:val="0"/>
                <w:sz w:val="22"/>
              </w:rPr>
            </w:pPr>
          </w:p>
        </w:tc>
        <w:tc>
          <w:tcPr>
            <w:tcW w:w="1320" w:type="dxa"/>
            <w:vMerge/>
            <w:shd w:val="clear" w:color="000000" w:fill="FFFFFF"/>
            <w:vAlign w:val="center"/>
          </w:tcPr>
          <w:p w14:paraId="3BE40D0A"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D0B" w14:textId="77777777" w:rsidR="00C24F0C" w:rsidRDefault="00C24F0C">
            <w:pPr>
              <w:widowControl/>
              <w:jc w:val="left"/>
              <w:rPr>
                <w:rFonts w:ascii="宋体" w:hAnsi="宋体" w:cs="宋体"/>
                <w:b/>
                <w:bCs/>
                <w:color w:val="3F3F3F"/>
                <w:kern w:val="0"/>
                <w:sz w:val="22"/>
              </w:rPr>
            </w:pPr>
            <w:r>
              <w:rPr>
                <w:rFonts w:hint="eastAsia"/>
              </w:rPr>
              <w:t>17.</w:t>
            </w:r>
            <w:r>
              <w:rPr>
                <w:rFonts w:hint="eastAsia"/>
              </w:rPr>
              <w:t>床体下方配有二段式托盘，托盘分为大小、深浅不同的两部分，设有</w:t>
            </w:r>
            <w:r>
              <w:rPr>
                <w:rFonts w:hint="eastAsia"/>
              </w:rPr>
              <w:t>6</w:t>
            </w:r>
            <w:r>
              <w:rPr>
                <w:rFonts w:hint="eastAsia"/>
              </w:rPr>
              <w:t>个漏水孔，托盘设置输液架收纳位。（提供实物图片）</w:t>
            </w:r>
          </w:p>
        </w:tc>
      </w:tr>
      <w:tr w:rsidR="00C24F0C" w14:paraId="3BE40D10" w14:textId="77777777" w:rsidTr="00C24F0C">
        <w:trPr>
          <w:jc w:val="center"/>
        </w:trPr>
        <w:tc>
          <w:tcPr>
            <w:tcW w:w="660" w:type="dxa"/>
            <w:vMerge/>
            <w:shd w:val="clear" w:color="000000" w:fill="FFFFFF"/>
            <w:vAlign w:val="center"/>
          </w:tcPr>
          <w:p w14:paraId="3BE40D0D" w14:textId="77777777" w:rsidR="00C24F0C" w:rsidRDefault="00C24F0C">
            <w:pPr>
              <w:widowControl/>
              <w:jc w:val="left"/>
              <w:rPr>
                <w:rFonts w:ascii="宋体" w:hAnsi="宋体" w:cs="宋体"/>
                <w:b/>
                <w:bCs/>
                <w:color w:val="3F3F3F"/>
                <w:kern w:val="0"/>
                <w:sz w:val="22"/>
              </w:rPr>
            </w:pPr>
          </w:p>
        </w:tc>
        <w:tc>
          <w:tcPr>
            <w:tcW w:w="1320" w:type="dxa"/>
            <w:vMerge/>
            <w:shd w:val="clear" w:color="000000" w:fill="FFFFFF"/>
            <w:vAlign w:val="center"/>
          </w:tcPr>
          <w:p w14:paraId="3BE40D0E"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D0F" w14:textId="77777777" w:rsidR="00C24F0C" w:rsidRDefault="00C24F0C">
            <w:pPr>
              <w:spacing w:line="360" w:lineRule="auto"/>
              <w:rPr>
                <w:rFonts w:ascii="宋体" w:hAnsi="宋体" w:cs="宋体"/>
                <w:b/>
                <w:bCs/>
                <w:color w:val="3F3F3F"/>
                <w:kern w:val="0"/>
                <w:sz w:val="22"/>
              </w:rPr>
            </w:pPr>
            <w:r>
              <w:rPr>
                <w:rFonts w:hint="eastAsia"/>
              </w:rPr>
              <w:t>18.</w:t>
            </w:r>
            <w:proofErr w:type="gramStart"/>
            <w:r>
              <w:rPr>
                <w:rFonts w:hint="eastAsia"/>
              </w:rPr>
              <w:t>标配病人</w:t>
            </w:r>
            <w:proofErr w:type="gramEnd"/>
            <w:r>
              <w:rPr>
                <w:rFonts w:hint="eastAsia"/>
              </w:rPr>
              <w:t>约束带两根，转运过程中能对病人进行束缚。</w:t>
            </w:r>
          </w:p>
        </w:tc>
      </w:tr>
      <w:tr w:rsidR="00C24F0C" w14:paraId="3BE40D14" w14:textId="77777777" w:rsidTr="00C24F0C">
        <w:trPr>
          <w:jc w:val="center"/>
        </w:trPr>
        <w:tc>
          <w:tcPr>
            <w:tcW w:w="660" w:type="dxa"/>
            <w:vMerge/>
            <w:shd w:val="clear" w:color="000000" w:fill="FFFFFF"/>
            <w:vAlign w:val="center"/>
          </w:tcPr>
          <w:p w14:paraId="3BE40D11" w14:textId="77777777" w:rsidR="00C24F0C" w:rsidRDefault="00C24F0C">
            <w:pPr>
              <w:widowControl/>
              <w:jc w:val="left"/>
              <w:rPr>
                <w:rFonts w:ascii="宋体" w:hAnsi="宋体" w:cs="宋体"/>
                <w:b/>
                <w:bCs/>
                <w:color w:val="3F3F3F"/>
                <w:kern w:val="0"/>
                <w:sz w:val="22"/>
              </w:rPr>
            </w:pPr>
          </w:p>
        </w:tc>
        <w:tc>
          <w:tcPr>
            <w:tcW w:w="1320" w:type="dxa"/>
            <w:vMerge/>
            <w:shd w:val="clear" w:color="000000" w:fill="FFFFFF"/>
            <w:vAlign w:val="center"/>
          </w:tcPr>
          <w:p w14:paraId="3BE40D12"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D13" w14:textId="77777777" w:rsidR="00C24F0C" w:rsidRDefault="00C24F0C">
            <w:pPr>
              <w:spacing w:line="360" w:lineRule="auto"/>
              <w:rPr>
                <w:rFonts w:ascii="宋体" w:hAnsi="宋体" w:cs="宋体"/>
                <w:b/>
                <w:bCs/>
                <w:color w:val="3F3F3F"/>
                <w:kern w:val="0"/>
                <w:sz w:val="22"/>
              </w:rPr>
            </w:pPr>
            <w:r>
              <w:rPr>
                <w:rFonts w:hint="eastAsia"/>
              </w:rPr>
              <w:t>19.</w:t>
            </w:r>
            <w:proofErr w:type="gramStart"/>
            <w:r>
              <w:rPr>
                <w:rFonts w:hint="eastAsia"/>
              </w:rPr>
              <w:t>标配氧气瓶</w:t>
            </w:r>
            <w:proofErr w:type="gramEnd"/>
            <w:r>
              <w:rPr>
                <w:rFonts w:hint="eastAsia"/>
              </w:rPr>
              <w:t>搁架，可以选择横竖两种方式存放氧气瓶，搁架可随床体同时升降，防止氧气管道被拉扯。</w:t>
            </w:r>
          </w:p>
        </w:tc>
      </w:tr>
      <w:tr w:rsidR="00C24F0C" w14:paraId="3BE40D18" w14:textId="77777777" w:rsidTr="00C24F0C">
        <w:trPr>
          <w:jc w:val="center"/>
        </w:trPr>
        <w:tc>
          <w:tcPr>
            <w:tcW w:w="660" w:type="dxa"/>
            <w:vMerge/>
            <w:shd w:val="clear" w:color="000000" w:fill="FFFFFF"/>
            <w:vAlign w:val="center"/>
          </w:tcPr>
          <w:p w14:paraId="3BE40D15" w14:textId="77777777" w:rsidR="00C24F0C" w:rsidRDefault="00C24F0C">
            <w:pPr>
              <w:widowControl/>
              <w:jc w:val="left"/>
              <w:rPr>
                <w:rFonts w:ascii="宋体" w:hAnsi="宋体" w:cs="宋体"/>
                <w:b/>
                <w:bCs/>
                <w:color w:val="3F3F3F"/>
                <w:kern w:val="0"/>
                <w:sz w:val="22"/>
              </w:rPr>
            </w:pPr>
          </w:p>
        </w:tc>
        <w:tc>
          <w:tcPr>
            <w:tcW w:w="1320" w:type="dxa"/>
            <w:vMerge/>
            <w:shd w:val="clear" w:color="000000" w:fill="FFFFFF"/>
            <w:vAlign w:val="center"/>
          </w:tcPr>
          <w:p w14:paraId="3BE40D16"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D17" w14:textId="77777777" w:rsidR="00C24F0C" w:rsidRDefault="00C24F0C">
            <w:pPr>
              <w:spacing w:line="360" w:lineRule="auto"/>
              <w:rPr>
                <w:rFonts w:ascii="宋体" w:hAnsi="宋体" w:cs="宋体"/>
                <w:b/>
                <w:bCs/>
                <w:color w:val="3F3F3F"/>
                <w:kern w:val="0"/>
                <w:sz w:val="22"/>
              </w:rPr>
            </w:pPr>
            <w:r>
              <w:rPr>
                <w:rFonts w:hint="eastAsia"/>
              </w:rPr>
              <w:t>20.</w:t>
            </w:r>
            <w:proofErr w:type="gramStart"/>
            <w:r>
              <w:rPr>
                <w:rFonts w:hint="eastAsia"/>
              </w:rPr>
              <w:t>标配转运</w:t>
            </w:r>
            <w:proofErr w:type="gramEnd"/>
            <w:r>
              <w:rPr>
                <w:rFonts w:hint="eastAsia"/>
              </w:rPr>
              <w:t>床垫：面料表面防水处理，易于清洗，四角装有拉链，外部面料可水洗；防静电</w:t>
            </w:r>
            <w:r>
              <w:rPr>
                <w:rFonts w:hint="eastAsia"/>
              </w:rPr>
              <w:t>3</w:t>
            </w:r>
            <w:r>
              <w:rPr>
                <w:rFonts w:hint="eastAsia"/>
              </w:rPr>
              <w:t>段式构造，只需一人操作即可以平行对接和转运病人。垫子两边各有两个把手，床罩面料光滑易抽动转运。床套四周有拉链，可将床罩拆卸清洗。</w:t>
            </w:r>
          </w:p>
        </w:tc>
      </w:tr>
      <w:tr w:rsidR="00C24F0C" w14:paraId="3BE40D1C" w14:textId="77777777" w:rsidTr="00C24F0C">
        <w:trPr>
          <w:jc w:val="center"/>
        </w:trPr>
        <w:tc>
          <w:tcPr>
            <w:tcW w:w="660" w:type="dxa"/>
            <w:vMerge/>
            <w:shd w:val="clear" w:color="000000" w:fill="FFFFFF"/>
            <w:vAlign w:val="center"/>
          </w:tcPr>
          <w:p w14:paraId="3BE40D19" w14:textId="77777777" w:rsidR="00C24F0C" w:rsidRDefault="00C24F0C">
            <w:pPr>
              <w:widowControl/>
              <w:jc w:val="left"/>
              <w:rPr>
                <w:rFonts w:ascii="宋体" w:hAnsi="宋体" w:cs="宋体"/>
                <w:b/>
                <w:bCs/>
                <w:color w:val="3F3F3F"/>
                <w:kern w:val="0"/>
                <w:sz w:val="22"/>
              </w:rPr>
            </w:pPr>
          </w:p>
        </w:tc>
        <w:tc>
          <w:tcPr>
            <w:tcW w:w="1320" w:type="dxa"/>
            <w:vMerge/>
            <w:shd w:val="clear" w:color="000000" w:fill="FFFFFF"/>
            <w:vAlign w:val="center"/>
          </w:tcPr>
          <w:p w14:paraId="3BE40D1A" w14:textId="77777777" w:rsidR="00C24F0C" w:rsidRDefault="00C24F0C">
            <w:pPr>
              <w:widowControl/>
              <w:rPr>
                <w:rFonts w:ascii="宋体" w:hAnsi="宋体" w:cs="宋体"/>
                <w:b/>
                <w:bCs/>
                <w:color w:val="3F3F3F"/>
                <w:kern w:val="0"/>
                <w:sz w:val="22"/>
              </w:rPr>
            </w:pPr>
          </w:p>
        </w:tc>
        <w:tc>
          <w:tcPr>
            <w:tcW w:w="7929" w:type="dxa"/>
            <w:shd w:val="clear" w:color="000000" w:fill="FFFFFF"/>
          </w:tcPr>
          <w:p w14:paraId="3BE40D1B" w14:textId="77777777" w:rsidR="00C24F0C" w:rsidRDefault="00C24F0C">
            <w:pPr>
              <w:widowControl/>
              <w:jc w:val="left"/>
              <w:rPr>
                <w:rFonts w:ascii="宋体" w:hAnsi="宋体" w:cs="宋体"/>
                <w:b/>
                <w:bCs/>
                <w:color w:val="3F3F3F"/>
                <w:kern w:val="0"/>
                <w:sz w:val="22"/>
              </w:rPr>
            </w:pPr>
            <w:r>
              <w:rPr>
                <w:rFonts w:hint="eastAsia"/>
              </w:rPr>
              <w:t>21.</w:t>
            </w:r>
            <w:proofErr w:type="gramStart"/>
            <w:r>
              <w:rPr>
                <w:rFonts w:hint="eastAsia"/>
              </w:rPr>
              <w:t>标配输液</w:t>
            </w:r>
            <w:proofErr w:type="gramEnd"/>
            <w:r>
              <w:rPr>
                <w:rFonts w:hint="eastAsia"/>
              </w:rPr>
              <w:t>架，有至少</w:t>
            </w:r>
            <w:r>
              <w:rPr>
                <w:rFonts w:hint="eastAsia"/>
              </w:rPr>
              <w:t>2</w:t>
            </w:r>
            <w:r>
              <w:rPr>
                <w:rFonts w:hint="eastAsia"/>
              </w:rPr>
              <w:t>处输液架收藏装置</w:t>
            </w:r>
          </w:p>
        </w:tc>
      </w:tr>
    </w:tbl>
    <w:p w14:paraId="01F79465" w14:textId="77777777" w:rsidR="00C24F0C" w:rsidRDefault="00C24F0C">
      <w:pPr>
        <w:pStyle w:val="1"/>
        <w:jc w:val="center"/>
        <w:rPr>
          <w:kern w:val="0"/>
        </w:rPr>
      </w:pPr>
    </w:p>
    <w:p w14:paraId="3BE40D21" w14:textId="25A9E65F" w:rsidR="00BF756C" w:rsidRDefault="00C24F0C">
      <w:pPr>
        <w:pStyle w:val="1"/>
        <w:jc w:val="center"/>
        <w:rPr>
          <w:kern w:val="0"/>
        </w:rPr>
      </w:pPr>
      <w:r>
        <w:rPr>
          <w:rFonts w:hint="eastAsia"/>
          <w:kern w:val="0"/>
        </w:rPr>
        <w:t>设备配套耗材试剂情况</w:t>
      </w:r>
    </w:p>
    <w:p w14:paraId="3BE40D22" w14:textId="77777777" w:rsidR="00BF756C" w:rsidRDefault="00C24F0C">
      <w:pPr>
        <w:jc w:val="left"/>
        <w:rPr>
          <w:rFonts w:ascii="宋体" w:hAnsi="宋体" w:cs="宋体"/>
          <w:b/>
          <w:bCs/>
          <w:kern w:val="0"/>
          <w:sz w:val="28"/>
          <w:szCs w:val="28"/>
        </w:rPr>
      </w:pPr>
      <w:r>
        <w:rPr>
          <w:rFonts w:ascii="宋体" w:hAnsi="宋体" w:cs="宋体" w:hint="eastAsia"/>
          <w:b/>
          <w:bCs/>
          <w:kern w:val="0"/>
          <w:sz w:val="28"/>
          <w:szCs w:val="28"/>
        </w:rPr>
        <w:t>配套耗材或试剂</w:t>
      </w:r>
      <w:r>
        <w:rPr>
          <w:rFonts w:ascii="宋体" w:hAnsi="宋体" w:cs="宋体" w:hint="eastAsia"/>
          <w:b/>
          <w:bCs/>
          <w:kern w:val="0"/>
          <w:sz w:val="28"/>
          <w:szCs w:val="28"/>
        </w:rPr>
        <w:t xml:space="preserve">  </w:t>
      </w:r>
      <w:r>
        <w:rPr>
          <w:rFonts w:ascii="宋体" w:hAnsi="宋体" w:cs="宋体" w:hint="eastAsia"/>
          <w:b/>
          <w:bCs/>
          <w:kern w:val="0"/>
          <w:sz w:val="28"/>
          <w:szCs w:val="28"/>
        </w:rPr>
        <w:t>（</w:t>
      </w:r>
      <w:r>
        <w:rPr>
          <w:rFonts w:ascii="宋体" w:hAnsi="宋体" w:cs="宋体" w:hint="eastAsia"/>
          <w:b/>
          <w:bCs/>
          <w:color w:val="FF0000"/>
          <w:kern w:val="0"/>
          <w:sz w:val="28"/>
          <w:szCs w:val="28"/>
        </w:rPr>
        <w:t>开放□</w:t>
      </w:r>
      <w:r>
        <w:rPr>
          <w:rFonts w:ascii="宋体" w:hAnsi="宋体" w:cs="宋体" w:hint="eastAsia"/>
          <w:b/>
          <w:bCs/>
          <w:color w:val="FF0000"/>
          <w:kern w:val="0"/>
          <w:sz w:val="28"/>
          <w:szCs w:val="28"/>
        </w:rPr>
        <w:t xml:space="preserve">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专用□</w:t>
      </w:r>
      <w:r>
        <w:rPr>
          <w:rFonts w:ascii="宋体" w:hAnsi="宋体" w:cs="宋体" w:hint="eastAsia"/>
          <w:b/>
          <w:bCs/>
          <w:color w:val="FF0000"/>
          <w:kern w:val="0"/>
          <w:sz w:val="28"/>
          <w:szCs w:val="28"/>
        </w:rPr>
        <w:t xml:space="preserve">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w:t>
      </w:r>
      <w:r>
        <w:rPr>
          <w:rFonts w:ascii="宋体" w:hAnsi="宋体" w:cs="宋体" w:hint="eastAsia"/>
          <w:b/>
          <w:bCs/>
          <w:color w:val="FF0000"/>
          <w:kern w:val="0"/>
          <w:sz w:val="28"/>
          <w:szCs w:val="28"/>
        </w:rPr>
        <w:t>无☑</w:t>
      </w:r>
      <w:r>
        <w:rPr>
          <w:rFonts w:ascii="宋体" w:hAnsi="宋体" w:cs="宋体" w:hint="eastAsia"/>
          <w:b/>
          <w:bCs/>
          <w:kern w:val="0"/>
          <w:sz w:val="28"/>
          <w:szCs w:val="28"/>
        </w:rPr>
        <w:t>）</w:t>
      </w:r>
      <w:r>
        <w:rPr>
          <w:rFonts w:ascii="宋体" w:hAnsi="宋体" w:cs="宋体" w:hint="eastAsia"/>
          <w:b/>
          <w:bCs/>
          <w:kern w:val="0"/>
          <w:sz w:val="28"/>
          <w:szCs w:val="28"/>
        </w:rPr>
        <w:t xml:space="preserve"> </w:t>
      </w:r>
    </w:p>
    <w:p w14:paraId="3BE40D23" w14:textId="77777777" w:rsidR="00BF756C" w:rsidRDefault="00BF756C">
      <w:pPr>
        <w:jc w:val="left"/>
        <w:rPr>
          <w:rFonts w:ascii="宋体" w:hAnsi="宋体" w:cs="宋体"/>
          <w:b/>
          <w:bCs/>
          <w:kern w:val="0"/>
          <w:sz w:val="24"/>
          <w:szCs w:val="24"/>
        </w:rPr>
      </w:pPr>
    </w:p>
    <w:p w14:paraId="3BE40D24" w14:textId="77777777" w:rsidR="00BF756C" w:rsidRDefault="00C24F0C">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BF756C" w14:paraId="3BE40D29" w14:textId="77777777" w:rsidTr="00C24F0C">
        <w:trPr>
          <w:trHeight w:val="540"/>
        </w:trPr>
        <w:tc>
          <w:tcPr>
            <w:tcW w:w="860" w:type="dxa"/>
            <w:vAlign w:val="center"/>
          </w:tcPr>
          <w:p w14:paraId="3BE40D25" w14:textId="77777777"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3BE40D26" w14:textId="77777777"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3BE40D27" w14:textId="77777777"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3BE40D28" w14:textId="77777777"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BF756C" w14:paraId="3BE40D2E" w14:textId="77777777" w:rsidTr="00C24F0C">
        <w:trPr>
          <w:trHeight w:val="514"/>
        </w:trPr>
        <w:tc>
          <w:tcPr>
            <w:tcW w:w="860" w:type="dxa"/>
            <w:vAlign w:val="center"/>
          </w:tcPr>
          <w:p w14:paraId="3BE40D2A" w14:textId="77777777" w:rsidR="00BF756C" w:rsidRDefault="00C24F0C">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3BE40D2B" w14:textId="77777777" w:rsidR="00BF756C" w:rsidRDefault="00BF756C">
            <w:pPr>
              <w:jc w:val="center"/>
              <w:rPr>
                <w:rFonts w:ascii="仿宋_GB2312" w:eastAsia="仿宋_GB2312" w:hAnsi="Times New Roman"/>
                <w:b/>
                <w:sz w:val="28"/>
                <w:szCs w:val="21"/>
              </w:rPr>
            </w:pPr>
          </w:p>
        </w:tc>
        <w:tc>
          <w:tcPr>
            <w:tcW w:w="1985" w:type="dxa"/>
            <w:vAlign w:val="center"/>
          </w:tcPr>
          <w:p w14:paraId="3BE40D2C" w14:textId="77777777" w:rsidR="00BF756C" w:rsidRDefault="00BF756C">
            <w:pPr>
              <w:jc w:val="center"/>
              <w:rPr>
                <w:rFonts w:ascii="仿宋_GB2312" w:eastAsia="仿宋_GB2312" w:hAnsi="Times New Roman"/>
                <w:b/>
                <w:sz w:val="28"/>
                <w:szCs w:val="21"/>
              </w:rPr>
            </w:pPr>
          </w:p>
        </w:tc>
        <w:tc>
          <w:tcPr>
            <w:tcW w:w="2126" w:type="dxa"/>
            <w:vAlign w:val="center"/>
          </w:tcPr>
          <w:p w14:paraId="3BE40D2D" w14:textId="77777777" w:rsidR="00BF756C" w:rsidRDefault="00BF756C">
            <w:pPr>
              <w:jc w:val="center"/>
              <w:rPr>
                <w:rFonts w:ascii="仿宋_GB2312" w:eastAsia="仿宋_GB2312" w:hAnsi="Times New Roman"/>
                <w:b/>
                <w:sz w:val="28"/>
                <w:szCs w:val="21"/>
              </w:rPr>
            </w:pPr>
          </w:p>
        </w:tc>
      </w:tr>
    </w:tbl>
    <w:p w14:paraId="3BE40D43" w14:textId="77777777" w:rsidR="00BF756C" w:rsidRDefault="00BF756C">
      <w:pPr>
        <w:jc w:val="left"/>
        <w:rPr>
          <w:rFonts w:ascii="Times New Roman" w:hAnsi="Times New Roman"/>
          <w:szCs w:val="21"/>
        </w:rPr>
      </w:pPr>
    </w:p>
    <w:p w14:paraId="3BE40D44" w14:textId="77777777" w:rsidR="00BF756C" w:rsidRDefault="00C24F0C">
      <w:pPr>
        <w:jc w:val="left"/>
        <w:rPr>
          <w:rFonts w:ascii="宋体" w:hAnsi="宋体" w:cs="宋体"/>
          <w:b/>
          <w:bCs/>
          <w:kern w:val="0"/>
          <w:sz w:val="24"/>
          <w:szCs w:val="24"/>
        </w:rPr>
      </w:pPr>
      <w:r>
        <w:rPr>
          <w:rFonts w:ascii="宋体" w:hAnsi="宋体" w:cs="宋体" w:hint="eastAsia"/>
          <w:b/>
          <w:bCs/>
          <w:kern w:val="0"/>
          <w:sz w:val="24"/>
          <w:szCs w:val="24"/>
        </w:rPr>
        <w:t>配套试剂</w:t>
      </w:r>
      <w:r>
        <w:rPr>
          <w:rFonts w:ascii="宋体" w:hAnsi="宋体" w:cs="宋体" w:hint="eastAsia"/>
          <w:b/>
          <w:bCs/>
          <w:kern w:val="0"/>
          <w:sz w:val="24"/>
          <w:szCs w:val="24"/>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BF756C" w14:paraId="3BE40D49" w14:textId="77777777">
        <w:trPr>
          <w:trHeight w:val="547"/>
        </w:trPr>
        <w:tc>
          <w:tcPr>
            <w:tcW w:w="847" w:type="dxa"/>
            <w:vAlign w:val="center"/>
          </w:tcPr>
          <w:p w14:paraId="3BE40D45" w14:textId="77777777"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3BE40D46" w14:textId="77777777"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3BE40D47" w14:textId="77777777"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3BE40D48" w14:textId="1CD885B0" w:rsidR="00BF756C" w:rsidRDefault="00C24F0C">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BF756C" w14:paraId="3BE40D4E" w14:textId="77777777">
        <w:trPr>
          <w:trHeight w:val="472"/>
        </w:trPr>
        <w:tc>
          <w:tcPr>
            <w:tcW w:w="847" w:type="dxa"/>
            <w:vAlign w:val="center"/>
          </w:tcPr>
          <w:p w14:paraId="3BE40D4A" w14:textId="77777777" w:rsidR="00BF756C" w:rsidRDefault="00C24F0C">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3BE40D4B" w14:textId="77777777" w:rsidR="00BF756C" w:rsidRDefault="00BF756C">
            <w:pPr>
              <w:jc w:val="center"/>
              <w:rPr>
                <w:rFonts w:ascii="仿宋_GB2312" w:eastAsia="仿宋_GB2312" w:hAnsi="Times New Roman"/>
                <w:sz w:val="24"/>
                <w:szCs w:val="21"/>
              </w:rPr>
            </w:pPr>
          </w:p>
        </w:tc>
        <w:tc>
          <w:tcPr>
            <w:tcW w:w="1985" w:type="dxa"/>
            <w:vAlign w:val="center"/>
          </w:tcPr>
          <w:p w14:paraId="3BE40D4C" w14:textId="77777777" w:rsidR="00BF756C" w:rsidRDefault="00BF756C">
            <w:pPr>
              <w:jc w:val="center"/>
              <w:rPr>
                <w:rFonts w:ascii="仿宋_GB2312" w:eastAsia="仿宋_GB2312" w:hAnsi="Times New Roman"/>
                <w:sz w:val="24"/>
                <w:szCs w:val="21"/>
              </w:rPr>
            </w:pPr>
          </w:p>
        </w:tc>
        <w:tc>
          <w:tcPr>
            <w:tcW w:w="2126" w:type="dxa"/>
            <w:vAlign w:val="center"/>
          </w:tcPr>
          <w:p w14:paraId="3BE40D4D" w14:textId="77777777" w:rsidR="00BF756C" w:rsidRDefault="00BF756C">
            <w:pPr>
              <w:jc w:val="center"/>
              <w:rPr>
                <w:rFonts w:ascii="仿宋_GB2312" w:eastAsia="仿宋_GB2312" w:hAnsi="Times New Roman"/>
                <w:sz w:val="24"/>
                <w:szCs w:val="21"/>
              </w:rPr>
            </w:pPr>
          </w:p>
        </w:tc>
      </w:tr>
    </w:tbl>
    <w:p w14:paraId="3BE40E14" w14:textId="77777777" w:rsidR="00BF756C" w:rsidRDefault="00BF756C">
      <w:pPr>
        <w:jc w:val="center"/>
        <w:rPr>
          <w:rFonts w:ascii="微软雅黑" w:eastAsia="微软雅黑" w:hAnsi="微软雅黑" w:cs="宋体"/>
          <w:color w:val="3F3F3F"/>
          <w:kern w:val="0"/>
          <w:szCs w:val="21"/>
        </w:rPr>
      </w:pPr>
    </w:p>
    <w:sectPr w:rsidR="00BF756C">
      <w:footerReference w:type="default" r:id="rId7"/>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8BC11" w14:textId="77777777" w:rsidR="001A10CB" w:rsidRDefault="001A10CB">
      <w:r>
        <w:separator/>
      </w:r>
    </w:p>
  </w:endnote>
  <w:endnote w:type="continuationSeparator" w:id="0">
    <w:p w14:paraId="1EDD3659" w14:textId="77777777" w:rsidR="001A10CB" w:rsidRDefault="001A1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0E19" w14:textId="77777777" w:rsidR="00BF756C" w:rsidRDefault="00BF756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368E8" w14:textId="77777777" w:rsidR="001A10CB" w:rsidRDefault="001A10CB">
      <w:r>
        <w:separator/>
      </w:r>
    </w:p>
  </w:footnote>
  <w:footnote w:type="continuationSeparator" w:id="0">
    <w:p w14:paraId="42561735" w14:textId="77777777" w:rsidR="001A10CB" w:rsidRDefault="001A1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MmYxN2I2MDNiOTYyODhhN2Q1MWIwYjE0MTMxZDEifQ=="/>
  </w:docVars>
  <w:rsids>
    <w:rsidRoot w:val="00180716"/>
    <w:rsid w:val="00031B84"/>
    <w:rsid w:val="0007571F"/>
    <w:rsid w:val="00086401"/>
    <w:rsid w:val="000B3A24"/>
    <w:rsid w:val="000E0A0A"/>
    <w:rsid w:val="00100D1E"/>
    <w:rsid w:val="0012370B"/>
    <w:rsid w:val="00153A42"/>
    <w:rsid w:val="0015678E"/>
    <w:rsid w:val="00180716"/>
    <w:rsid w:val="0018661F"/>
    <w:rsid w:val="001A10CB"/>
    <w:rsid w:val="001B0A84"/>
    <w:rsid w:val="001D5E72"/>
    <w:rsid w:val="00206936"/>
    <w:rsid w:val="002617DE"/>
    <w:rsid w:val="002738F1"/>
    <w:rsid w:val="002B5E3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BF756C"/>
    <w:rsid w:val="00C046E8"/>
    <w:rsid w:val="00C24F0C"/>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C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12313A8"/>
    <w:rsid w:val="1E4C7CB2"/>
    <w:rsid w:val="20527BD7"/>
    <w:rsid w:val="296E678C"/>
    <w:rsid w:val="4AD5501C"/>
    <w:rsid w:val="5A716E34"/>
    <w:rsid w:val="65A17605"/>
    <w:rsid w:val="67B527B3"/>
    <w:rsid w:val="69A9437B"/>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40C7C"/>
  <w15:docId w15:val="{797E3F8E-D68D-4CF6-8CBC-3C334DF6A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kern w:val="0"/>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4">
    <w:name w:val="批注文字 字符"/>
    <w:link w:val="a3"/>
    <w:uiPriority w:val="99"/>
    <w:semiHidden/>
    <w:qFormat/>
    <w:rPr>
      <w:kern w:val="2"/>
      <w:sz w:val="21"/>
      <w:szCs w:val="22"/>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sz w:val="18"/>
      <w:szCs w:val="18"/>
    </w:rPr>
  </w:style>
  <w:style w:type="character" w:customStyle="1" w:styleId="aa">
    <w:name w:val="页眉 字符"/>
    <w:link w:val="a9"/>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204</Words>
  <Characters>1168</Characters>
  <Application>Microsoft Office Word</Application>
  <DocSecurity>0</DocSecurity>
  <Lines>9</Lines>
  <Paragraphs>2</Paragraphs>
  <ScaleCrop>false</ScaleCrop>
  <Company>Sky123.Org</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8</cp:revision>
  <cp:lastPrinted>2020-06-15T03:32:00Z</cp:lastPrinted>
  <dcterms:created xsi:type="dcterms:W3CDTF">2023-11-02T03:07:00Z</dcterms:created>
  <dcterms:modified xsi:type="dcterms:W3CDTF">2024-02-01T07:42:00Z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5ECAB3CDAB1E4F2E9F0783FF98891651</vt:lpwstr>
  </property>
</Properties>
</file>