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0890A" w14:textId="3C7B1AA6" w:rsidR="005A2C6E" w:rsidRDefault="003C27B4" w:rsidP="00881340">
      <w:pPr>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3F3F3F"/>
          <w:left w:val="single" w:sz="4" w:space="0" w:color="3F3F3F"/>
          <w:bottom w:val="single" w:sz="4" w:space="0" w:color="3F3F3F"/>
          <w:right w:val="single" w:sz="4" w:space="0" w:color="3F3F3F"/>
          <w:insideH w:val="single" w:sz="4" w:space="0" w:color="3F3F3F"/>
          <w:insideV w:val="single" w:sz="4" w:space="0" w:color="3F3F3F"/>
        </w:tblBorders>
        <w:tblLook w:val="04A0" w:firstRow="1" w:lastRow="0" w:firstColumn="1" w:lastColumn="0" w:noHBand="0" w:noVBand="1"/>
      </w:tblPr>
      <w:tblGrid>
        <w:gridCol w:w="660"/>
        <w:gridCol w:w="1178"/>
        <w:gridCol w:w="7816"/>
      </w:tblGrid>
      <w:tr w:rsidR="005A2C6E" w14:paraId="1410890E" w14:textId="77777777" w:rsidTr="00CE21F7">
        <w:trPr>
          <w:trHeight w:val="420"/>
          <w:jc w:val="center"/>
        </w:trPr>
        <w:tc>
          <w:tcPr>
            <w:tcW w:w="660" w:type="dxa"/>
            <w:shd w:val="clear" w:color="000000" w:fill="FFFFFF"/>
            <w:vAlign w:val="center"/>
          </w:tcPr>
          <w:p w14:paraId="1410890B" w14:textId="77777777" w:rsidR="005A2C6E" w:rsidRDefault="003C27B4">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178" w:type="dxa"/>
            <w:shd w:val="clear" w:color="000000" w:fill="FFFFFF"/>
            <w:vAlign w:val="center"/>
          </w:tcPr>
          <w:p w14:paraId="1410890C" w14:textId="77777777" w:rsidR="005A2C6E" w:rsidRDefault="003C27B4">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816" w:type="dxa"/>
            <w:shd w:val="clear" w:color="000000" w:fill="FFFFFF"/>
            <w:vAlign w:val="center"/>
          </w:tcPr>
          <w:p w14:paraId="1410890D" w14:textId="77777777" w:rsidR="005A2C6E" w:rsidRDefault="003C27B4" w:rsidP="00881340">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CE21F7" w14:paraId="1410891A" w14:textId="77777777" w:rsidTr="00CE21F7">
        <w:trPr>
          <w:jc w:val="center"/>
        </w:trPr>
        <w:tc>
          <w:tcPr>
            <w:tcW w:w="660" w:type="dxa"/>
            <w:vMerge w:val="restart"/>
            <w:shd w:val="clear" w:color="000000" w:fill="FFFFFF"/>
            <w:vAlign w:val="center"/>
          </w:tcPr>
          <w:p w14:paraId="14108913" w14:textId="53BF471C" w:rsidR="00CE21F7" w:rsidRPr="00881340" w:rsidRDefault="00CE21F7" w:rsidP="003C27B4">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1178" w:type="dxa"/>
            <w:vMerge w:val="restart"/>
            <w:shd w:val="clear" w:color="000000" w:fill="FFFFFF"/>
            <w:vAlign w:val="center"/>
          </w:tcPr>
          <w:p w14:paraId="14108918" w14:textId="3391907E" w:rsidR="00CE21F7" w:rsidRDefault="00CE21F7" w:rsidP="00881340">
            <w:pPr>
              <w:widowControl/>
              <w:jc w:val="center"/>
              <w:rPr>
                <w:rFonts w:ascii="宋体" w:hAnsi="宋体" w:cs="宋体"/>
                <w:b/>
                <w:bCs/>
                <w:color w:val="3F3F3F"/>
                <w:kern w:val="0"/>
                <w:sz w:val="22"/>
              </w:rPr>
            </w:pPr>
            <w:r>
              <w:rPr>
                <w:rFonts w:ascii="宋体" w:hAnsi="宋体"/>
                <w:sz w:val="22"/>
              </w:rPr>
              <w:t>体外循环塔</w:t>
            </w:r>
          </w:p>
        </w:tc>
        <w:tc>
          <w:tcPr>
            <w:tcW w:w="7816" w:type="dxa"/>
            <w:shd w:val="clear" w:color="000000" w:fill="FFFFFF"/>
            <w:vAlign w:val="center"/>
          </w:tcPr>
          <w:p w14:paraId="14108919"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产品采用国际标准，制造企业通过ISO9001、ISO13485、ISO14001、ISO27001、ISO45001、QC080000认证。（提供相关证件复印件）</w:t>
            </w:r>
          </w:p>
        </w:tc>
      </w:tr>
      <w:tr w:rsidR="00CE21F7" w14:paraId="1410891E" w14:textId="77777777" w:rsidTr="00CE21F7">
        <w:trPr>
          <w:jc w:val="center"/>
        </w:trPr>
        <w:tc>
          <w:tcPr>
            <w:tcW w:w="660" w:type="dxa"/>
            <w:vMerge/>
            <w:vAlign w:val="center"/>
          </w:tcPr>
          <w:p w14:paraId="1410891B" w14:textId="122161D2" w:rsidR="00CE21F7" w:rsidRDefault="00CE21F7" w:rsidP="00D72565">
            <w:pPr>
              <w:jc w:val="left"/>
              <w:rPr>
                <w:rFonts w:ascii="宋体" w:hAnsi="宋体" w:cs="宋体"/>
                <w:color w:val="3F3F3F"/>
                <w:kern w:val="0"/>
                <w:sz w:val="20"/>
                <w:szCs w:val="20"/>
              </w:rPr>
            </w:pPr>
          </w:p>
        </w:tc>
        <w:tc>
          <w:tcPr>
            <w:tcW w:w="1178" w:type="dxa"/>
            <w:vMerge/>
            <w:vAlign w:val="center"/>
          </w:tcPr>
          <w:p w14:paraId="1410891C"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vAlign w:val="center"/>
          </w:tcPr>
          <w:p w14:paraId="1410891D"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吊塔主体因长期受力，需具备更高的抗拉强度和屈服强度，有更好的抗断裂韧性，应采用6005高强度铝合金型材，加工级别达到T6，防腐性高、易清洗，模具化生产。（提供权威第三方检测报告）</w:t>
            </w:r>
          </w:p>
        </w:tc>
      </w:tr>
      <w:tr w:rsidR="00CE21F7" w14:paraId="14108922" w14:textId="77777777" w:rsidTr="00CE21F7">
        <w:trPr>
          <w:jc w:val="center"/>
        </w:trPr>
        <w:tc>
          <w:tcPr>
            <w:tcW w:w="660" w:type="dxa"/>
            <w:vMerge/>
            <w:vAlign w:val="center"/>
          </w:tcPr>
          <w:p w14:paraId="1410891F" w14:textId="7C78480A" w:rsidR="00CE21F7" w:rsidRDefault="00CE21F7" w:rsidP="00D72565">
            <w:pPr>
              <w:jc w:val="left"/>
              <w:rPr>
                <w:rFonts w:ascii="宋体" w:hAnsi="宋体" w:cs="宋体"/>
                <w:color w:val="3F3F3F"/>
                <w:kern w:val="0"/>
                <w:sz w:val="20"/>
                <w:szCs w:val="20"/>
              </w:rPr>
            </w:pPr>
          </w:p>
        </w:tc>
        <w:tc>
          <w:tcPr>
            <w:tcW w:w="1178" w:type="dxa"/>
            <w:vMerge/>
            <w:vAlign w:val="center"/>
          </w:tcPr>
          <w:p w14:paraId="14108920"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vAlign w:val="center"/>
          </w:tcPr>
          <w:p w14:paraId="14108921"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吊塔主体全封闭式设计，悬臂最薄处10mm以上，最厚处16mm以上，承确保承载性能稳定，吊塔箱体定位准确，不易漂移。（提供权威第三方检测报告）</w:t>
            </w:r>
          </w:p>
        </w:tc>
      </w:tr>
      <w:tr w:rsidR="00CE21F7" w14:paraId="14108926" w14:textId="77777777" w:rsidTr="00CE21F7">
        <w:trPr>
          <w:jc w:val="center"/>
        </w:trPr>
        <w:tc>
          <w:tcPr>
            <w:tcW w:w="660" w:type="dxa"/>
            <w:vMerge/>
            <w:vAlign w:val="center"/>
          </w:tcPr>
          <w:p w14:paraId="14108923" w14:textId="1353F003" w:rsidR="00CE21F7" w:rsidRDefault="00CE21F7" w:rsidP="00D72565">
            <w:pPr>
              <w:jc w:val="left"/>
              <w:rPr>
                <w:rFonts w:ascii="宋体" w:hAnsi="宋体" w:cs="宋体"/>
                <w:color w:val="3F3F3F"/>
                <w:kern w:val="0"/>
                <w:sz w:val="20"/>
                <w:szCs w:val="20"/>
              </w:rPr>
            </w:pPr>
          </w:p>
        </w:tc>
        <w:tc>
          <w:tcPr>
            <w:tcW w:w="1178" w:type="dxa"/>
            <w:vMerge/>
            <w:vAlign w:val="center"/>
          </w:tcPr>
          <w:p w14:paraId="14108924"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vAlign w:val="center"/>
          </w:tcPr>
          <w:p w14:paraId="14108925"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吊塔承载最大工作承重时相对于空载时。终端箱体底部沿垂直方向的方向位移量≤2</w:t>
            </w:r>
            <w:r w:rsidRPr="00881340">
              <w:rPr>
                <w:rFonts w:ascii="宋体" w:hAnsi="宋体"/>
                <w:sz w:val="22"/>
                <w:szCs w:val="21"/>
              </w:rPr>
              <w:t>5</w:t>
            </w:r>
            <w:r w:rsidRPr="00881340">
              <w:rPr>
                <w:rFonts w:ascii="宋体" w:hAnsi="宋体" w:hint="eastAsia"/>
                <w:sz w:val="22"/>
                <w:szCs w:val="21"/>
              </w:rPr>
              <w:t>mm；根据额定承重，负载时箱体倾斜角度≤0.7°。（提供权威第三方检测报告）</w:t>
            </w:r>
          </w:p>
        </w:tc>
      </w:tr>
      <w:tr w:rsidR="00CE21F7" w14:paraId="1410892A" w14:textId="77777777" w:rsidTr="00CE21F7">
        <w:trPr>
          <w:jc w:val="center"/>
        </w:trPr>
        <w:tc>
          <w:tcPr>
            <w:tcW w:w="660" w:type="dxa"/>
            <w:vMerge/>
            <w:vAlign w:val="center"/>
          </w:tcPr>
          <w:p w14:paraId="14108927" w14:textId="50DEA696" w:rsidR="00CE21F7" w:rsidRDefault="00CE21F7" w:rsidP="00D72565">
            <w:pPr>
              <w:jc w:val="left"/>
              <w:rPr>
                <w:rFonts w:ascii="宋体" w:hAnsi="宋体" w:cs="宋体"/>
                <w:color w:val="3F3F3F"/>
                <w:kern w:val="0"/>
                <w:sz w:val="20"/>
                <w:szCs w:val="20"/>
              </w:rPr>
            </w:pPr>
          </w:p>
        </w:tc>
        <w:tc>
          <w:tcPr>
            <w:tcW w:w="1178" w:type="dxa"/>
            <w:vMerge/>
            <w:vAlign w:val="center"/>
          </w:tcPr>
          <w:p w14:paraId="14108928"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tcPr>
          <w:p w14:paraId="14108929"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表面采用环保粉沫喷塑处理，粉末通过抑菌检测。（提供粉末抑菌权威第三方证明文件）</w:t>
            </w:r>
          </w:p>
        </w:tc>
      </w:tr>
      <w:tr w:rsidR="00CE21F7" w14:paraId="1410892E" w14:textId="77777777" w:rsidTr="00CE21F7">
        <w:trPr>
          <w:jc w:val="center"/>
        </w:trPr>
        <w:tc>
          <w:tcPr>
            <w:tcW w:w="660" w:type="dxa"/>
            <w:vMerge/>
            <w:vAlign w:val="center"/>
          </w:tcPr>
          <w:p w14:paraId="1410892B" w14:textId="757A50E4" w:rsidR="00CE21F7" w:rsidRDefault="00CE21F7" w:rsidP="00D72565">
            <w:pPr>
              <w:jc w:val="left"/>
              <w:rPr>
                <w:rFonts w:ascii="宋体" w:hAnsi="宋体" w:cs="宋体"/>
                <w:color w:val="3F3F3F"/>
                <w:kern w:val="0"/>
                <w:sz w:val="20"/>
                <w:szCs w:val="20"/>
              </w:rPr>
            </w:pPr>
          </w:p>
        </w:tc>
        <w:tc>
          <w:tcPr>
            <w:tcW w:w="1178" w:type="dxa"/>
            <w:vMerge/>
            <w:vAlign w:val="center"/>
          </w:tcPr>
          <w:p w14:paraId="1410892C"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tcPr>
          <w:p w14:paraId="1410892D"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箱体采用全模块化设计，电源，气源，网口等终端安装在独立的模块上，模块尺寸不大于150×200mm，节省空间。功能模块可根据临床实际需要进行组合、设计，保证安装时无需临时改装，安装完成后可随时加装功能模块及灵活更换模块位置。（提供模块化箱体实物图及权威第三方检测报告）</w:t>
            </w:r>
          </w:p>
        </w:tc>
      </w:tr>
      <w:tr w:rsidR="00CE21F7" w14:paraId="14108932" w14:textId="77777777" w:rsidTr="00CE21F7">
        <w:trPr>
          <w:jc w:val="center"/>
        </w:trPr>
        <w:tc>
          <w:tcPr>
            <w:tcW w:w="660" w:type="dxa"/>
            <w:vMerge/>
            <w:vAlign w:val="center"/>
          </w:tcPr>
          <w:p w14:paraId="1410892F" w14:textId="48E2A42B" w:rsidR="00CE21F7" w:rsidRDefault="00CE21F7" w:rsidP="00D72565">
            <w:pPr>
              <w:jc w:val="left"/>
              <w:rPr>
                <w:rFonts w:ascii="宋体" w:hAnsi="宋体" w:cs="宋体"/>
                <w:color w:val="3F3F3F"/>
                <w:kern w:val="0"/>
                <w:sz w:val="20"/>
                <w:szCs w:val="20"/>
              </w:rPr>
            </w:pPr>
          </w:p>
        </w:tc>
        <w:tc>
          <w:tcPr>
            <w:tcW w:w="1178" w:type="dxa"/>
            <w:vMerge/>
            <w:vAlign w:val="center"/>
          </w:tcPr>
          <w:p w14:paraId="14108930" w14:textId="77777777" w:rsidR="00CE21F7" w:rsidRDefault="00CE21F7">
            <w:pPr>
              <w:widowControl/>
              <w:jc w:val="left"/>
              <w:rPr>
                <w:rFonts w:ascii="宋体" w:hAnsi="宋体" w:cs="宋体"/>
                <w:color w:val="3F3F3F"/>
                <w:kern w:val="0"/>
                <w:sz w:val="20"/>
                <w:szCs w:val="20"/>
              </w:rPr>
            </w:pPr>
          </w:p>
        </w:tc>
        <w:tc>
          <w:tcPr>
            <w:tcW w:w="7816" w:type="dxa"/>
            <w:shd w:val="clear" w:color="000000" w:fill="FFFFFF"/>
          </w:tcPr>
          <w:p w14:paraId="14108931"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所有吊塔上承载的设备的电源线及气源管路和塔体之间不会发生相对移动，所有电源线路及气源管路在塔体内不外露，保证吊塔在移动过程中，不会因位置的改变导致线路的脱落。（提供权威第三方检测报告）</w:t>
            </w:r>
          </w:p>
        </w:tc>
      </w:tr>
      <w:tr w:rsidR="00CE21F7" w14:paraId="14108936" w14:textId="77777777" w:rsidTr="00CE21F7">
        <w:trPr>
          <w:jc w:val="center"/>
        </w:trPr>
        <w:tc>
          <w:tcPr>
            <w:tcW w:w="660" w:type="dxa"/>
            <w:vMerge/>
            <w:shd w:val="clear" w:color="000000" w:fill="FFFFFF"/>
            <w:vAlign w:val="center"/>
          </w:tcPr>
          <w:p w14:paraId="14108933" w14:textId="1E228643" w:rsidR="00CE21F7" w:rsidRDefault="00CE21F7" w:rsidP="00D72565">
            <w:pPr>
              <w:jc w:val="left"/>
              <w:rPr>
                <w:rFonts w:ascii="宋体" w:hAnsi="宋体" w:cs="宋体"/>
                <w:b/>
                <w:bCs/>
                <w:color w:val="3F3F3F"/>
                <w:kern w:val="0"/>
                <w:sz w:val="22"/>
              </w:rPr>
            </w:pPr>
          </w:p>
        </w:tc>
        <w:tc>
          <w:tcPr>
            <w:tcW w:w="1178" w:type="dxa"/>
            <w:vMerge/>
            <w:shd w:val="clear" w:color="000000" w:fill="FFFFFF"/>
            <w:vAlign w:val="center"/>
          </w:tcPr>
          <w:p w14:paraId="14108934" w14:textId="77777777" w:rsidR="00CE21F7" w:rsidRDefault="00CE21F7">
            <w:pPr>
              <w:widowControl/>
              <w:jc w:val="center"/>
              <w:rPr>
                <w:rFonts w:ascii="宋体" w:hAnsi="宋体" w:cs="宋体"/>
                <w:b/>
                <w:bCs/>
                <w:color w:val="3F3F3F"/>
                <w:kern w:val="0"/>
                <w:sz w:val="22"/>
              </w:rPr>
            </w:pPr>
          </w:p>
        </w:tc>
        <w:tc>
          <w:tcPr>
            <w:tcW w:w="7816" w:type="dxa"/>
            <w:shd w:val="clear" w:color="000000" w:fill="FFFFFF"/>
          </w:tcPr>
          <w:p w14:paraId="14108935"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吊塔采用锥面轴承（非平面轴承），受力面为斜面，能有效分解作用力，减少滚珠磨损，长期使用不漂移不卡顿（提供实物图）</w:t>
            </w:r>
          </w:p>
        </w:tc>
      </w:tr>
      <w:tr w:rsidR="00CE21F7" w14:paraId="1410893A" w14:textId="77777777" w:rsidTr="00CE21F7">
        <w:trPr>
          <w:jc w:val="center"/>
        </w:trPr>
        <w:tc>
          <w:tcPr>
            <w:tcW w:w="660" w:type="dxa"/>
            <w:vMerge/>
            <w:shd w:val="clear" w:color="000000" w:fill="FFFFFF"/>
            <w:vAlign w:val="center"/>
          </w:tcPr>
          <w:p w14:paraId="14108937" w14:textId="4906EC42" w:rsidR="00CE21F7" w:rsidRDefault="00CE21F7" w:rsidP="00D72565">
            <w:pPr>
              <w:jc w:val="left"/>
              <w:rPr>
                <w:rFonts w:ascii="宋体" w:hAnsi="宋体" w:cs="宋体"/>
                <w:b/>
                <w:bCs/>
                <w:color w:val="3F3F3F"/>
                <w:kern w:val="0"/>
                <w:sz w:val="22"/>
              </w:rPr>
            </w:pPr>
          </w:p>
        </w:tc>
        <w:tc>
          <w:tcPr>
            <w:tcW w:w="1178" w:type="dxa"/>
            <w:vMerge/>
            <w:shd w:val="clear" w:color="000000" w:fill="FFFFFF"/>
            <w:vAlign w:val="center"/>
          </w:tcPr>
          <w:p w14:paraId="14108938" w14:textId="77777777" w:rsidR="00CE21F7" w:rsidRDefault="00CE21F7">
            <w:pPr>
              <w:widowControl/>
              <w:jc w:val="center"/>
              <w:rPr>
                <w:rFonts w:ascii="宋体" w:hAnsi="宋体" w:cs="宋体"/>
                <w:b/>
                <w:bCs/>
                <w:color w:val="3F3F3F"/>
                <w:kern w:val="0"/>
                <w:sz w:val="22"/>
              </w:rPr>
            </w:pPr>
          </w:p>
        </w:tc>
        <w:tc>
          <w:tcPr>
            <w:tcW w:w="7816" w:type="dxa"/>
            <w:shd w:val="clear" w:color="000000" w:fill="FFFFFF"/>
          </w:tcPr>
          <w:p w14:paraId="14108939"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所有吊塔箱体可旋转角度≥34</w:t>
            </w:r>
            <w:r w:rsidRPr="00881340">
              <w:rPr>
                <w:rFonts w:ascii="宋体" w:hAnsi="宋体"/>
                <w:sz w:val="22"/>
                <w:szCs w:val="21"/>
              </w:rPr>
              <w:t>5</w:t>
            </w:r>
            <w:r w:rsidRPr="00881340">
              <w:rPr>
                <w:rFonts w:ascii="宋体" w:hAnsi="宋体" w:hint="eastAsia"/>
                <w:sz w:val="22"/>
                <w:szCs w:val="21"/>
              </w:rPr>
              <w:t>度。（提供权威第三方检测报告）</w:t>
            </w:r>
          </w:p>
        </w:tc>
      </w:tr>
      <w:tr w:rsidR="00CE21F7" w14:paraId="1410893E" w14:textId="77777777" w:rsidTr="00CE21F7">
        <w:trPr>
          <w:jc w:val="center"/>
        </w:trPr>
        <w:tc>
          <w:tcPr>
            <w:tcW w:w="660" w:type="dxa"/>
            <w:vMerge/>
            <w:shd w:val="clear" w:color="000000" w:fill="FFFFFF"/>
            <w:vAlign w:val="center"/>
          </w:tcPr>
          <w:p w14:paraId="1410893B" w14:textId="64F0CD31" w:rsidR="00CE21F7" w:rsidRDefault="00CE21F7" w:rsidP="00D72565">
            <w:pPr>
              <w:jc w:val="left"/>
              <w:rPr>
                <w:rFonts w:ascii="宋体" w:hAnsi="宋体" w:cs="宋体"/>
                <w:b/>
                <w:bCs/>
                <w:color w:val="3F3F3F"/>
                <w:kern w:val="0"/>
                <w:sz w:val="22"/>
              </w:rPr>
            </w:pPr>
          </w:p>
        </w:tc>
        <w:tc>
          <w:tcPr>
            <w:tcW w:w="1178" w:type="dxa"/>
            <w:vMerge/>
            <w:shd w:val="clear" w:color="000000" w:fill="FFFFFF"/>
            <w:vAlign w:val="center"/>
          </w:tcPr>
          <w:p w14:paraId="1410893C"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3D"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吊塔旋转转轴在负重300kg状态下旋转寿命≥10万次。（提供权威第三方证明文件）</w:t>
            </w:r>
          </w:p>
        </w:tc>
      </w:tr>
      <w:tr w:rsidR="00CE21F7" w14:paraId="14108942" w14:textId="77777777" w:rsidTr="00CE21F7">
        <w:trPr>
          <w:jc w:val="center"/>
        </w:trPr>
        <w:tc>
          <w:tcPr>
            <w:tcW w:w="660" w:type="dxa"/>
            <w:vMerge/>
            <w:shd w:val="clear" w:color="000000" w:fill="FFFFFF"/>
            <w:vAlign w:val="center"/>
          </w:tcPr>
          <w:p w14:paraId="1410893F" w14:textId="468AE5FD" w:rsidR="00CE21F7" w:rsidRDefault="00CE21F7" w:rsidP="00D72565">
            <w:pPr>
              <w:jc w:val="left"/>
              <w:rPr>
                <w:rFonts w:ascii="宋体" w:hAnsi="宋体" w:cs="宋体"/>
                <w:b/>
                <w:bCs/>
                <w:color w:val="3F3F3F"/>
                <w:kern w:val="0"/>
                <w:sz w:val="22"/>
              </w:rPr>
            </w:pPr>
          </w:p>
        </w:tc>
        <w:tc>
          <w:tcPr>
            <w:tcW w:w="1178" w:type="dxa"/>
            <w:vMerge/>
            <w:shd w:val="clear" w:color="000000" w:fill="FFFFFF"/>
            <w:vAlign w:val="center"/>
          </w:tcPr>
          <w:p w14:paraId="14108940"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41"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所有气体接口必须带有通、断、拔（原位Standby）三种状态，能带气维修。气体出口均要以国际标准色标予以区别，并有防止不同气体误插的装置或结构。（提供权威第三方检测报告）</w:t>
            </w:r>
          </w:p>
        </w:tc>
      </w:tr>
      <w:tr w:rsidR="00CE21F7" w14:paraId="14108946" w14:textId="77777777" w:rsidTr="00CE21F7">
        <w:trPr>
          <w:jc w:val="center"/>
        </w:trPr>
        <w:tc>
          <w:tcPr>
            <w:tcW w:w="660" w:type="dxa"/>
            <w:vMerge/>
            <w:shd w:val="clear" w:color="000000" w:fill="FFFFFF"/>
            <w:vAlign w:val="center"/>
          </w:tcPr>
          <w:p w14:paraId="14108943" w14:textId="55231F51"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44"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45"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气体终端插拔次数50，000次以上。（提供权威第三方证明文件）</w:t>
            </w:r>
          </w:p>
        </w:tc>
      </w:tr>
      <w:tr w:rsidR="00CE21F7" w14:paraId="1410894A" w14:textId="77777777" w:rsidTr="00CE21F7">
        <w:trPr>
          <w:jc w:val="center"/>
        </w:trPr>
        <w:tc>
          <w:tcPr>
            <w:tcW w:w="660" w:type="dxa"/>
            <w:vMerge/>
            <w:shd w:val="clear" w:color="000000" w:fill="FFFFFF"/>
            <w:vAlign w:val="center"/>
          </w:tcPr>
          <w:p w14:paraId="14108947"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48"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49"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气源终端采用Z字型交叉排列方式，以便于同时插上氧气流量计、负压吸引瓶等附件不会发生干涉。（提供实物照片）</w:t>
            </w:r>
          </w:p>
        </w:tc>
      </w:tr>
      <w:tr w:rsidR="00CE21F7" w14:paraId="1410894E" w14:textId="77777777" w:rsidTr="00CE21F7">
        <w:trPr>
          <w:jc w:val="center"/>
        </w:trPr>
        <w:tc>
          <w:tcPr>
            <w:tcW w:w="660" w:type="dxa"/>
            <w:vMerge/>
            <w:shd w:val="clear" w:color="000000" w:fill="FFFFFF"/>
            <w:vAlign w:val="center"/>
          </w:tcPr>
          <w:p w14:paraId="1410894B"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4C"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4D"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电源采用双排五插插座，单面箱体排列4个五插插座，占用的面板长度不超过20cm，使得箱体在有限的长度下能提供更多的电源支持。（提供实物照片）</w:t>
            </w:r>
          </w:p>
        </w:tc>
      </w:tr>
      <w:tr w:rsidR="00CE21F7" w14:paraId="14108952" w14:textId="77777777" w:rsidTr="00CE21F7">
        <w:trPr>
          <w:jc w:val="center"/>
        </w:trPr>
        <w:tc>
          <w:tcPr>
            <w:tcW w:w="660" w:type="dxa"/>
            <w:vMerge/>
            <w:shd w:val="clear" w:color="000000" w:fill="FFFFFF"/>
            <w:vAlign w:val="center"/>
          </w:tcPr>
          <w:p w14:paraId="1410894F"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50"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51"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采用进口医用优质气体管路，为三层管设计，内层为食品级材料，中间层为聚酯线加强层，外层为耐磨损PVC材质，坚韧性强，通过生物相容性检测。（提供气源管进口报关单及生物相容性检测报告）</w:t>
            </w:r>
          </w:p>
        </w:tc>
      </w:tr>
      <w:tr w:rsidR="00CE21F7" w14:paraId="14108956" w14:textId="77777777" w:rsidTr="00CE21F7">
        <w:trPr>
          <w:jc w:val="center"/>
        </w:trPr>
        <w:tc>
          <w:tcPr>
            <w:tcW w:w="660" w:type="dxa"/>
            <w:vMerge/>
            <w:shd w:val="clear" w:color="000000" w:fill="FFFFFF"/>
            <w:vAlign w:val="center"/>
          </w:tcPr>
          <w:p w14:paraId="14108953"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54"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55"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医用气体管道在测试压强为32</w:t>
            </w:r>
            <w:r w:rsidRPr="00881340">
              <w:rPr>
                <w:rFonts w:ascii="宋体" w:hAnsi="宋体"/>
                <w:sz w:val="22"/>
                <w:szCs w:val="21"/>
              </w:rPr>
              <w:t>0</w:t>
            </w:r>
            <w:r w:rsidRPr="00881340">
              <w:rPr>
                <w:rFonts w:ascii="宋体" w:hAnsi="宋体" w:hint="eastAsia"/>
                <w:sz w:val="22"/>
                <w:szCs w:val="21"/>
              </w:rPr>
              <w:t>k</w:t>
            </w:r>
            <w:r w:rsidRPr="00881340">
              <w:rPr>
                <w:rFonts w:ascii="宋体" w:hAnsi="宋体"/>
                <w:sz w:val="22"/>
                <w:szCs w:val="21"/>
              </w:rPr>
              <w:t>P</w:t>
            </w:r>
            <w:r w:rsidRPr="00881340">
              <w:rPr>
                <w:rFonts w:ascii="宋体" w:hAnsi="宋体" w:hint="eastAsia"/>
                <w:sz w:val="22"/>
                <w:szCs w:val="21"/>
              </w:rPr>
              <w:t>a，流速为2</w:t>
            </w:r>
            <w:r w:rsidRPr="00881340">
              <w:rPr>
                <w:rFonts w:ascii="宋体" w:hAnsi="宋体"/>
                <w:sz w:val="22"/>
                <w:szCs w:val="21"/>
              </w:rPr>
              <w:t>0</w:t>
            </w:r>
            <w:r w:rsidRPr="00881340">
              <w:rPr>
                <w:rFonts w:ascii="宋体" w:hAnsi="宋体" w:hint="eastAsia"/>
                <w:sz w:val="22"/>
                <w:szCs w:val="21"/>
              </w:rPr>
              <w:t>ml</w:t>
            </w:r>
            <w:r w:rsidRPr="00881340">
              <w:rPr>
                <w:rFonts w:ascii="宋体" w:hAnsi="宋体"/>
                <w:sz w:val="22"/>
                <w:szCs w:val="21"/>
              </w:rPr>
              <w:t>/</w:t>
            </w:r>
            <w:r w:rsidRPr="00881340">
              <w:rPr>
                <w:rFonts w:ascii="宋体" w:hAnsi="宋体" w:hint="eastAsia"/>
                <w:sz w:val="22"/>
                <w:szCs w:val="21"/>
              </w:rPr>
              <w:t>min情况下，承重2</w:t>
            </w:r>
            <w:r w:rsidRPr="00881340">
              <w:rPr>
                <w:rFonts w:ascii="宋体" w:hAnsi="宋体"/>
                <w:sz w:val="22"/>
                <w:szCs w:val="21"/>
              </w:rPr>
              <w:t>0</w:t>
            </w:r>
            <w:r w:rsidRPr="00881340">
              <w:rPr>
                <w:rFonts w:ascii="宋体" w:hAnsi="宋体" w:hint="eastAsia"/>
                <w:sz w:val="22"/>
                <w:szCs w:val="21"/>
              </w:rPr>
              <w:t>kg重物时，流速下降不应超过2</w:t>
            </w:r>
            <w:r w:rsidRPr="00881340">
              <w:rPr>
                <w:rFonts w:ascii="宋体" w:hAnsi="宋体"/>
                <w:sz w:val="22"/>
                <w:szCs w:val="21"/>
              </w:rPr>
              <w:t>0%</w:t>
            </w:r>
            <w:r w:rsidRPr="00881340">
              <w:rPr>
                <w:rFonts w:ascii="宋体" w:hAnsi="宋体" w:hint="eastAsia"/>
                <w:sz w:val="22"/>
                <w:szCs w:val="21"/>
              </w:rPr>
              <w:t>；负压气体管道在测试压强为</w:t>
            </w:r>
            <w:r w:rsidRPr="00881340">
              <w:rPr>
                <w:rFonts w:ascii="宋体" w:hAnsi="宋体"/>
                <w:sz w:val="22"/>
                <w:szCs w:val="21"/>
              </w:rPr>
              <w:t>10</w:t>
            </w:r>
            <w:r w:rsidRPr="00881340">
              <w:rPr>
                <w:rFonts w:ascii="宋体" w:hAnsi="宋体" w:hint="eastAsia"/>
                <w:sz w:val="22"/>
                <w:szCs w:val="21"/>
              </w:rPr>
              <w:t>k</w:t>
            </w:r>
            <w:r w:rsidRPr="00881340">
              <w:rPr>
                <w:rFonts w:ascii="宋体" w:hAnsi="宋体"/>
                <w:sz w:val="22"/>
                <w:szCs w:val="21"/>
              </w:rPr>
              <w:t>P</w:t>
            </w:r>
            <w:r w:rsidRPr="00881340">
              <w:rPr>
                <w:rFonts w:ascii="宋体" w:hAnsi="宋体" w:hint="eastAsia"/>
                <w:sz w:val="22"/>
                <w:szCs w:val="21"/>
              </w:rPr>
              <w:t>a，流速为2</w:t>
            </w:r>
            <w:r w:rsidRPr="00881340">
              <w:rPr>
                <w:rFonts w:ascii="宋体" w:hAnsi="宋体"/>
                <w:sz w:val="22"/>
                <w:szCs w:val="21"/>
              </w:rPr>
              <w:t>0</w:t>
            </w:r>
            <w:r w:rsidRPr="00881340">
              <w:rPr>
                <w:rFonts w:ascii="宋体" w:hAnsi="宋体" w:hint="eastAsia"/>
                <w:sz w:val="22"/>
                <w:szCs w:val="21"/>
              </w:rPr>
              <w:t>ml</w:t>
            </w:r>
            <w:r w:rsidRPr="00881340">
              <w:rPr>
                <w:rFonts w:ascii="宋体" w:hAnsi="宋体"/>
                <w:sz w:val="22"/>
                <w:szCs w:val="21"/>
              </w:rPr>
              <w:t>/</w:t>
            </w:r>
            <w:r w:rsidRPr="00881340">
              <w:rPr>
                <w:rFonts w:ascii="宋体" w:hAnsi="宋体" w:hint="eastAsia"/>
                <w:sz w:val="22"/>
                <w:szCs w:val="21"/>
              </w:rPr>
              <w:t>min情况下，承重2</w:t>
            </w:r>
            <w:r w:rsidRPr="00881340">
              <w:rPr>
                <w:rFonts w:ascii="宋体" w:hAnsi="宋体"/>
                <w:sz w:val="22"/>
                <w:szCs w:val="21"/>
              </w:rPr>
              <w:t>0</w:t>
            </w:r>
            <w:r w:rsidRPr="00881340">
              <w:rPr>
                <w:rFonts w:ascii="宋体" w:hAnsi="宋体" w:hint="eastAsia"/>
                <w:sz w:val="22"/>
                <w:szCs w:val="21"/>
              </w:rPr>
              <w:t>kg重物时，流速下降不应超过2</w:t>
            </w:r>
            <w:r w:rsidRPr="00881340">
              <w:rPr>
                <w:rFonts w:ascii="宋体" w:hAnsi="宋体"/>
                <w:sz w:val="22"/>
                <w:szCs w:val="21"/>
              </w:rPr>
              <w:t>0%</w:t>
            </w:r>
            <w:r w:rsidRPr="00881340">
              <w:rPr>
                <w:rFonts w:ascii="宋体" w:hAnsi="宋体" w:hint="eastAsia"/>
                <w:sz w:val="22"/>
                <w:szCs w:val="21"/>
              </w:rPr>
              <w:t>（提供权威第三方检测报告）</w:t>
            </w:r>
          </w:p>
        </w:tc>
      </w:tr>
      <w:tr w:rsidR="00CE21F7" w14:paraId="1410895A" w14:textId="77777777" w:rsidTr="00CE21F7">
        <w:trPr>
          <w:jc w:val="center"/>
        </w:trPr>
        <w:tc>
          <w:tcPr>
            <w:tcW w:w="660" w:type="dxa"/>
            <w:vMerge/>
            <w:shd w:val="clear" w:color="000000" w:fill="FFFFFF"/>
            <w:vAlign w:val="center"/>
          </w:tcPr>
          <w:p w14:paraId="14108957"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58"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59"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吊臂承载负荷：≥2</w:t>
            </w:r>
            <w:r w:rsidRPr="00881340">
              <w:rPr>
                <w:rFonts w:ascii="宋体" w:hAnsi="宋体"/>
                <w:sz w:val="22"/>
                <w:szCs w:val="21"/>
              </w:rPr>
              <w:t>0</w:t>
            </w:r>
            <w:r w:rsidRPr="00881340">
              <w:rPr>
                <w:rFonts w:ascii="宋体" w:hAnsi="宋体" w:hint="eastAsia"/>
                <w:sz w:val="22"/>
                <w:szCs w:val="21"/>
              </w:rPr>
              <w:t>0KG，箱体承载负荷：≥150KG，托盘承载重量≥</w:t>
            </w:r>
            <w:r w:rsidRPr="00881340">
              <w:rPr>
                <w:rFonts w:ascii="宋体" w:hAnsi="宋体"/>
                <w:sz w:val="22"/>
                <w:szCs w:val="21"/>
              </w:rPr>
              <w:t>85</w:t>
            </w:r>
            <w:r w:rsidRPr="00881340">
              <w:rPr>
                <w:rFonts w:ascii="宋体" w:hAnsi="宋体" w:hint="eastAsia"/>
                <w:sz w:val="22"/>
                <w:szCs w:val="21"/>
              </w:rPr>
              <w:t>Kg，带抽屉的托盘承载重量≥</w:t>
            </w:r>
            <w:r w:rsidRPr="00881340">
              <w:rPr>
                <w:rFonts w:ascii="宋体" w:hAnsi="宋体"/>
                <w:sz w:val="22"/>
                <w:szCs w:val="21"/>
              </w:rPr>
              <w:t>6</w:t>
            </w:r>
            <w:r w:rsidRPr="00881340">
              <w:rPr>
                <w:rFonts w:ascii="宋体" w:hAnsi="宋体" w:hint="eastAsia"/>
                <w:sz w:val="22"/>
                <w:szCs w:val="21"/>
              </w:rPr>
              <w:t>0Kg，通过4倍安全承重检测，即吊臂承载负荷：≥8</w:t>
            </w:r>
            <w:r w:rsidRPr="00881340">
              <w:rPr>
                <w:rFonts w:ascii="宋体" w:hAnsi="宋体"/>
                <w:sz w:val="22"/>
                <w:szCs w:val="21"/>
              </w:rPr>
              <w:t>0</w:t>
            </w:r>
            <w:r w:rsidRPr="00881340">
              <w:rPr>
                <w:rFonts w:ascii="宋体" w:hAnsi="宋体" w:hint="eastAsia"/>
                <w:sz w:val="22"/>
                <w:szCs w:val="21"/>
              </w:rPr>
              <w:t>0KG。（提供各项承重的权威第三方检测报告）</w:t>
            </w:r>
          </w:p>
        </w:tc>
      </w:tr>
      <w:tr w:rsidR="00CE21F7" w14:paraId="1410895E" w14:textId="77777777" w:rsidTr="00CE21F7">
        <w:trPr>
          <w:jc w:val="center"/>
        </w:trPr>
        <w:tc>
          <w:tcPr>
            <w:tcW w:w="660" w:type="dxa"/>
            <w:vMerge/>
            <w:shd w:val="clear" w:color="000000" w:fill="FFFFFF"/>
            <w:vAlign w:val="center"/>
          </w:tcPr>
          <w:p w14:paraId="1410895B"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5C"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5D"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具备刹车系统，可保障吊臂移动灵活和定位准确的需要，各关节轴承具备自锁功能，防止吊臂自行产生旋转。（提供权威第三方检测报告）</w:t>
            </w:r>
          </w:p>
        </w:tc>
      </w:tr>
      <w:tr w:rsidR="00CE21F7" w14:paraId="14108962" w14:textId="77777777" w:rsidTr="00CE21F7">
        <w:trPr>
          <w:jc w:val="center"/>
        </w:trPr>
        <w:tc>
          <w:tcPr>
            <w:tcW w:w="660" w:type="dxa"/>
            <w:vMerge/>
            <w:shd w:val="clear" w:color="000000" w:fill="FFFFFF"/>
            <w:vAlign w:val="center"/>
          </w:tcPr>
          <w:p w14:paraId="1410895F"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60"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61"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吊塔具有良好的防尘效果，箱体内部不易积灰，防尘等级达到IP30或以上；（提供权威第三方检测报告）</w:t>
            </w:r>
          </w:p>
        </w:tc>
      </w:tr>
      <w:tr w:rsidR="00CE21F7" w14:paraId="14108966" w14:textId="77777777" w:rsidTr="00CE21F7">
        <w:trPr>
          <w:jc w:val="center"/>
        </w:trPr>
        <w:tc>
          <w:tcPr>
            <w:tcW w:w="660" w:type="dxa"/>
            <w:vMerge/>
            <w:shd w:val="clear" w:color="000000" w:fill="FFFFFF"/>
            <w:vAlign w:val="center"/>
          </w:tcPr>
          <w:p w14:paraId="14108963"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64"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65" w14:textId="77777777" w:rsidR="00CE21F7" w:rsidRPr="00881340" w:rsidRDefault="00CE21F7">
            <w:pPr>
              <w:widowControl/>
              <w:jc w:val="left"/>
              <w:textAlignment w:val="baseline"/>
              <w:rPr>
                <w:rFonts w:ascii="宋体" w:hAnsi="宋体"/>
                <w:sz w:val="22"/>
                <w:szCs w:val="21"/>
              </w:rPr>
            </w:pPr>
            <w:r w:rsidRPr="00881340">
              <w:rPr>
                <w:rFonts w:ascii="宋体" w:hAnsi="宋体" w:cs="宋体" w:hint="eastAsia"/>
                <w:sz w:val="22"/>
                <w:szCs w:val="21"/>
              </w:rPr>
              <w:t>▲</w:t>
            </w:r>
            <w:r w:rsidRPr="00881340">
              <w:rPr>
                <w:rFonts w:ascii="宋体" w:hAnsi="宋体" w:hint="eastAsia"/>
                <w:sz w:val="22"/>
                <w:szCs w:val="21"/>
              </w:rPr>
              <w:t>吊塔外壳具有良好的防火性能，确保使用安全，防火等级要求达到UL94-V0。（提供权威第三方检测报告）</w:t>
            </w:r>
          </w:p>
        </w:tc>
      </w:tr>
      <w:tr w:rsidR="00CE21F7" w14:paraId="1410896A" w14:textId="77777777" w:rsidTr="00CE21F7">
        <w:trPr>
          <w:jc w:val="center"/>
        </w:trPr>
        <w:tc>
          <w:tcPr>
            <w:tcW w:w="660" w:type="dxa"/>
            <w:vMerge/>
            <w:shd w:val="clear" w:color="000000" w:fill="FFFFFF"/>
            <w:vAlign w:val="center"/>
          </w:tcPr>
          <w:p w14:paraId="14108967"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68"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69"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气体终端、照明灯、输液架、仪器平台、抽屉、电源插座、接地端子、网络接口的制式和数量等，可根据实际要求进行定制。（提供权威第三方检测报告）</w:t>
            </w:r>
          </w:p>
        </w:tc>
      </w:tr>
      <w:tr w:rsidR="00CE21F7" w14:paraId="1410896E" w14:textId="77777777" w:rsidTr="00CE21F7">
        <w:trPr>
          <w:jc w:val="center"/>
        </w:trPr>
        <w:tc>
          <w:tcPr>
            <w:tcW w:w="660" w:type="dxa"/>
            <w:vMerge/>
            <w:shd w:val="clear" w:color="000000" w:fill="FFFFFF"/>
            <w:vAlign w:val="center"/>
          </w:tcPr>
          <w:p w14:paraId="1410896B" w14:textId="77777777" w:rsidR="00CE21F7" w:rsidRDefault="00CE21F7">
            <w:pPr>
              <w:widowControl/>
              <w:jc w:val="left"/>
              <w:rPr>
                <w:rFonts w:ascii="宋体" w:hAnsi="宋体" w:cs="宋体"/>
                <w:b/>
                <w:bCs/>
                <w:color w:val="3F3F3F"/>
                <w:kern w:val="0"/>
                <w:sz w:val="22"/>
              </w:rPr>
            </w:pPr>
          </w:p>
        </w:tc>
        <w:tc>
          <w:tcPr>
            <w:tcW w:w="1178" w:type="dxa"/>
            <w:vMerge/>
            <w:shd w:val="clear" w:color="000000" w:fill="FFFFFF"/>
            <w:vAlign w:val="center"/>
          </w:tcPr>
          <w:p w14:paraId="1410896C" w14:textId="77777777" w:rsidR="00CE21F7" w:rsidRDefault="00CE21F7">
            <w:pPr>
              <w:widowControl/>
              <w:rPr>
                <w:rFonts w:ascii="宋体" w:hAnsi="宋体" w:cs="宋体"/>
                <w:b/>
                <w:bCs/>
                <w:color w:val="3F3F3F"/>
                <w:kern w:val="0"/>
                <w:sz w:val="22"/>
              </w:rPr>
            </w:pPr>
          </w:p>
        </w:tc>
        <w:tc>
          <w:tcPr>
            <w:tcW w:w="7816" w:type="dxa"/>
            <w:shd w:val="clear" w:color="000000" w:fill="FFFFFF"/>
          </w:tcPr>
          <w:p w14:paraId="1410896D" w14:textId="77777777" w:rsidR="00CE21F7" w:rsidRPr="00881340" w:rsidRDefault="00CE21F7">
            <w:pPr>
              <w:widowControl/>
              <w:jc w:val="left"/>
              <w:textAlignment w:val="baseline"/>
              <w:rPr>
                <w:rFonts w:ascii="宋体" w:hAnsi="宋体"/>
                <w:sz w:val="22"/>
                <w:szCs w:val="21"/>
              </w:rPr>
            </w:pPr>
            <w:r w:rsidRPr="00881340">
              <w:rPr>
                <w:rFonts w:ascii="宋体" w:hAnsi="宋体" w:hint="eastAsia"/>
                <w:sz w:val="22"/>
                <w:szCs w:val="21"/>
              </w:rPr>
              <w:t>多功能扩展坞可支持拓展输液杆、网篮、显示器支架、电脑支架、湿化器支架等。（提供权威第三方检测报告）</w:t>
            </w:r>
          </w:p>
        </w:tc>
      </w:tr>
    </w:tbl>
    <w:p w14:paraId="05227DB4" w14:textId="77777777" w:rsidR="003C27B4" w:rsidRDefault="003C27B4">
      <w:pPr>
        <w:pStyle w:val="1"/>
        <w:jc w:val="center"/>
        <w:rPr>
          <w:kern w:val="0"/>
        </w:rPr>
      </w:pPr>
    </w:p>
    <w:p w14:paraId="1410897B" w14:textId="49E8DAE6" w:rsidR="005A2C6E" w:rsidRDefault="003C27B4">
      <w:pPr>
        <w:pStyle w:val="1"/>
        <w:jc w:val="center"/>
        <w:rPr>
          <w:kern w:val="0"/>
        </w:rPr>
      </w:pPr>
      <w:r>
        <w:rPr>
          <w:rFonts w:hint="eastAsia"/>
          <w:kern w:val="0"/>
        </w:rPr>
        <w:t>设备配套耗材试剂情况</w:t>
      </w:r>
    </w:p>
    <w:p w14:paraId="1410897C" w14:textId="77777777" w:rsidR="005A2C6E" w:rsidRDefault="003C27B4">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kern w:val="0"/>
          <w:sz w:val="28"/>
          <w:szCs w:val="28"/>
        </w:rPr>
        <w:t xml:space="preserve">） </w:t>
      </w:r>
    </w:p>
    <w:p w14:paraId="1410897D" w14:textId="77777777" w:rsidR="005A2C6E" w:rsidRDefault="005A2C6E">
      <w:pPr>
        <w:jc w:val="left"/>
        <w:rPr>
          <w:rFonts w:ascii="宋体" w:hAnsi="宋体" w:cs="宋体"/>
          <w:b/>
          <w:bCs/>
          <w:kern w:val="0"/>
          <w:sz w:val="24"/>
          <w:szCs w:val="24"/>
        </w:rPr>
      </w:pPr>
    </w:p>
    <w:p w14:paraId="1410897E" w14:textId="77777777" w:rsidR="005A2C6E" w:rsidRDefault="003C27B4">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5A2C6E" w14:paraId="14108983" w14:textId="77777777" w:rsidTr="003C27B4">
        <w:trPr>
          <w:trHeight w:val="540"/>
        </w:trPr>
        <w:tc>
          <w:tcPr>
            <w:tcW w:w="860" w:type="dxa"/>
            <w:vAlign w:val="center"/>
          </w:tcPr>
          <w:p w14:paraId="1410897F"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14108980"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4108981"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4108982"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5A2C6E" w14:paraId="14108988" w14:textId="77777777" w:rsidTr="003C27B4">
        <w:trPr>
          <w:trHeight w:val="514"/>
        </w:trPr>
        <w:tc>
          <w:tcPr>
            <w:tcW w:w="860" w:type="dxa"/>
            <w:vAlign w:val="center"/>
          </w:tcPr>
          <w:p w14:paraId="14108984" w14:textId="77777777" w:rsidR="005A2C6E" w:rsidRDefault="003C27B4">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14108985" w14:textId="77777777" w:rsidR="005A2C6E" w:rsidRDefault="005A2C6E">
            <w:pPr>
              <w:jc w:val="center"/>
              <w:rPr>
                <w:rFonts w:ascii="仿宋_GB2312" w:eastAsia="仿宋_GB2312" w:hAnsi="Times New Roman"/>
                <w:b/>
                <w:sz w:val="28"/>
                <w:szCs w:val="21"/>
              </w:rPr>
            </w:pPr>
          </w:p>
        </w:tc>
        <w:tc>
          <w:tcPr>
            <w:tcW w:w="1985" w:type="dxa"/>
            <w:vAlign w:val="center"/>
          </w:tcPr>
          <w:p w14:paraId="14108986" w14:textId="77777777" w:rsidR="005A2C6E" w:rsidRDefault="005A2C6E">
            <w:pPr>
              <w:jc w:val="center"/>
              <w:rPr>
                <w:rFonts w:ascii="仿宋_GB2312" w:eastAsia="仿宋_GB2312" w:hAnsi="Times New Roman"/>
                <w:b/>
                <w:sz w:val="28"/>
                <w:szCs w:val="21"/>
              </w:rPr>
            </w:pPr>
          </w:p>
        </w:tc>
        <w:tc>
          <w:tcPr>
            <w:tcW w:w="2126" w:type="dxa"/>
            <w:vAlign w:val="center"/>
          </w:tcPr>
          <w:p w14:paraId="14108987" w14:textId="77777777" w:rsidR="005A2C6E" w:rsidRDefault="005A2C6E">
            <w:pPr>
              <w:jc w:val="center"/>
              <w:rPr>
                <w:rFonts w:ascii="仿宋_GB2312" w:eastAsia="仿宋_GB2312" w:hAnsi="Times New Roman"/>
                <w:b/>
                <w:sz w:val="28"/>
                <w:szCs w:val="21"/>
              </w:rPr>
            </w:pPr>
          </w:p>
        </w:tc>
      </w:tr>
    </w:tbl>
    <w:p w14:paraId="1410899D" w14:textId="77777777" w:rsidR="005A2C6E" w:rsidRDefault="005A2C6E">
      <w:pPr>
        <w:jc w:val="left"/>
        <w:rPr>
          <w:rFonts w:ascii="Times New Roman" w:hAnsi="Times New Roman"/>
          <w:szCs w:val="21"/>
        </w:rPr>
      </w:pPr>
    </w:p>
    <w:p w14:paraId="1410899E" w14:textId="77777777" w:rsidR="005A2C6E" w:rsidRDefault="003C27B4">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5A2C6E" w14:paraId="141089A3" w14:textId="77777777">
        <w:trPr>
          <w:trHeight w:val="547"/>
        </w:trPr>
        <w:tc>
          <w:tcPr>
            <w:tcW w:w="847" w:type="dxa"/>
            <w:vAlign w:val="center"/>
          </w:tcPr>
          <w:p w14:paraId="1410899F"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141089A0"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41089A1" w14:textId="77777777" w:rsidR="005A2C6E" w:rsidRDefault="003C27B4">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41089A2" w14:textId="23DF6D6F" w:rsidR="005A2C6E" w:rsidRDefault="00BC69EC">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5A2C6E" w14:paraId="141089A8" w14:textId="77777777">
        <w:trPr>
          <w:trHeight w:val="472"/>
        </w:trPr>
        <w:tc>
          <w:tcPr>
            <w:tcW w:w="847" w:type="dxa"/>
            <w:vAlign w:val="center"/>
          </w:tcPr>
          <w:p w14:paraId="141089A4" w14:textId="77777777" w:rsidR="005A2C6E" w:rsidRDefault="003C27B4">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141089A5" w14:textId="77777777" w:rsidR="005A2C6E" w:rsidRDefault="005A2C6E">
            <w:pPr>
              <w:jc w:val="center"/>
              <w:rPr>
                <w:rFonts w:ascii="仿宋_GB2312" w:eastAsia="仿宋_GB2312" w:hAnsi="Times New Roman"/>
                <w:sz w:val="24"/>
                <w:szCs w:val="21"/>
              </w:rPr>
            </w:pPr>
          </w:p>
        </w:tc>
        <w:tc>
          <w:tcPr>
            <w:tcW w:w="1985" w:type="dxa"/>
            <w:vAlign w:val="center"/>
          </w:tcPr>
          <w:p w14:paraId="141089A6" w14:textId="77777777" w:rsidR="005A2C6E" w:rsidRDefault="005A2C6E">
            <w:pPr>
              <w:jc w:val="center"/>
              <w:rPr>
                <w:rFonts w:ascii="仿宋_GB2312" w:eastAsia="仿宋_GB2312" w:hAnsi="Times New Roman"/>
                <w:sz w:val="24"/>
                <w:szCs w:val="21"/>
              </w:rPr>
            </w:pPr>
          </w:p>
        </w:tc>
        <w:tc>
          <w:tcPr>
            <w:tcW w:w="2126" w:type="dxa"/>
            <w:vAlign w:val="center"/>
          </w:tcPr>
          <w:p w14:paraId="141089A7" w14:textId="77777777" w:rsidR="005A2C6E" w:rsidRDefault="005A2C6E">
            <w:pPr>
              <w:jc w:val="center"/>
              <w:rPr>
                <w:rFonts w:ascii="仿宋_GB2312" w:eastAsia="仿宋_GB2312" w:hAnsi="Times New Roman"/>
                <w:sz w:val="24"/>
                <w:szCs w:val="21"/>
              </w:rPr>
            </w:pPr>
          </w:p>
        </w:tc>
      </w:tr>
    </w:tbl>
    <w:p w14:paraId="14108A6E" w14:textId="77777777" w:rsidR="005A2C6E" w:rsidRDefault="005A2C6E" w:rsidP="003C27B4">
      <w:pPr>
        <w:widowControl/>
        <w:jc w:val="left"/>
        <w:rPr>
          <w:rFonts w:ascii="微软雅黑" w:eastAsia="微软雅黑" w:hAnsi="微软雅黑" w:cs="宋体"/>
          <w:color w:val="3F3F3F"/>
          <w:kern w:val="0"/>
          <w:szCs w:val="21"/>
        </w:rPr>
      </w:pPr>
    </w:p>
    <w:sectPr w:rsidR="005A2C6E" w:rsidSect="003C27B4">
      <w:footerReference w:type="default" r:id="rId7"/>
      <w:pgSz w:w="11906" w:h="16838"/>
      <w:pgMar w:top="1440" w:right="991"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8A78" w14:textId="77777777" w:rsidR="003C27B4" w:rsidRDefault="003C27B4">
      <w:r>
        <w:separator/>
      </w:r>
    </w:p>
  </w:endnote>
  <w:endnote w:type="continuationSeparator" w:id="0">
    <w:p w14:paraId="14108A7A" w14:textId="77777777" w:rsidR="003C27B4" w:rsidRDefault="003C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8A73" w14:textId="77777777" w:rsidR="005A2C6E" w:rsidRDefault="005A2C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8A74" w14:textId="77777777" w:rsidR="003C27B4" w:rsidRDefault="003C27B4">
      <w:r>
        <w:separator/>
      </w:r>
    </w:p>
  </w:footnote>
  <w:footnote w:type="continuationSeparator" w:id="0">
    <w:p w14:paraId="14108A76" w14:textId="77777777" w:rsidR="003C27B4" w:rsidRDefault="003C2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2MjM4OTJlM2FmM2M5OTI4YTdhMDAxMWRmOWMzMj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C27B4"/>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A2C6E"/>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81340"/>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C69EC"/>
    <w:rsid w:val="00BE5B4B"/>
    <w:rsid w:val="00C046E8"/>
    <w:rsid w:val="00C70023"/>
    <w:rsid w:val="00C70D64"/>
    <w:rsid w:val="00C717A1"/>
    <w:rsid w:val="00CA1F88"/>
    <w:rsid w:val="00CE21F7"/>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50960C8"/>
    <w:rsid w:val="06B238FA"/>
    <w:rsid w:val="07DC28C4"/>
    <w:rsid w:val="0AF142C5"/>
    <w:rsid w:val="15AC7766"/>
    <w:rsid w:val="163B4596"/>
    <w:rsid w:val="17CD0737"/>
    <w:rsid w:val="18644328"/>
    <w:rsid w:val="19EB72CE"/>
    <w:rsid w:val="1FC953DC"/>
    <w:rsid w:val="20527BD7"/>
    <w:rsid w:val="21260D15"/>
    <w:rsid w:val="21FA43D4"/>
    <w:rsid w:val="24B91EA0"/>
    <w:rsid w:val="24BA655F"/>
    <w:rsid w:val="283F26BC"/>
    <w:rsid w:val="2B632B65"/>
    <w:rsid w:val="2C163734"/>
    <w:rsid w:val="2D40315E"/>
    <w:rsid w:val="2E7B3D22"/>
    <w:rsid w:val="2F283EAA"/>
    <w:rsid w:val="34E40873"/>
    <w:rsid w:val="36820344"/>
    <w:rsid w:val="36853B27"/>
    <w:rsid w:val="3C6330EE"/>
    <w:rsid w:val="3D8A54C2"/>
    <w:rsid w:val="3EB0695E"/>
    <w:rsid w:val="43AF03EC"/>
    <w:rsid w:val="469C7200"/>
    <w:rsid w:val="47F435A1"/>
    <w:rsid w:val="4CA23096"/>
    <w:rsid w:val="4FCD07E5"/>
    <w:rsid w:val="528648C0"/>
    <w:rsid w:val="53C532FA"/>
    <w:rsid w:val="56811F6E"/>
    <w:rsid w:val="57F30CBC"/>
    <w:rsid w:val="57FB365A"/>
    <w:rsid w:val="58A837E2"/>
    <w:rsid w:val="595664FB"/>
    <w:rsid w:val="5AC73CC7"/>
    <w:rsid w:val="5AF076C2"/>
    <w:rsid w:val="5AFC7E15"/>
    <w:rsid w:val="5B5925CA"/>
    <w:rsid w:val="63A81BA8"/>
    <w:rsid w:val="642D54E3"/>
    <w:rsid w:val="68B021BE"/>
    <w:rsid w:val="6B986672"/>
    <w:rsid w:val="6D0843F7"/>
    <w:rsid w:val="7763329E"/>
    <w:rsid w:val="79346574"/>
    <w:rsid w:val="79516EBF"/>
    <w:rsid w:val="79F71A7C"/>
    <w:rsid w:val="7A4E428E"/>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88C5"/>
  <w15:docId w15:val="{36F6DD70-1B79-4B94-9CC8-6B8EDCE1B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 w:type="paragraph" w:styleId="ad">
    <w:name w:val="List Paragraph"/>
    <w:basedOn w:val="a"/>
    <w:uiPriority w:val="34"/>
    <w:qFormat/>
    <w:pPr>
      <w:ind w:firstLineChars="200" w:firstLine="420"/>
    </w:pPr>
    <w:rPr>
      <w:rFonts w:ascii="Times New Roman" w:hAnsi="Times New Roman"/>
      <w:szCs w:val="24"/>
    </w:rPr>
  </w:style>
  <w:style w:type="character" w:customStyle="1" w:styleId="font141">
    <w:name w:val="font14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263</Words>
  <Characters>1503</Characters>
  <Application>Microsoft Office Word</Application>
  <DocSecurity>0</DocSecurity>
  <Lines>12</Lines>
  <Paragraphs>3</Paragraphs>
  <ScaleCrop>false</ScaleCrop>
  <Company>Sky123.Org</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9</cp:revision>
  <cp:lastPrinted>2020-06-15T03:32:00Z</cp:lastPrinted>
  <dcterms:created xsi:type="dcterms:W3CDTF">2023-11-02T03:07:00Z</dcterms:created>
  <dcterms:modified xsi:type="dcterms:W3CDTF">2024-02-01T06:31:00Z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