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rPr>
          <w:rFonts w:ascii="宋体" w:hAnsi="宋体"/>
          <w:b/>
          <w:bCs/>
          <w:sz w:val="36"/>
          <w:szCs w:val="36"/>
        </w:rPr>
      </w:pPr>
      <w:r>
        <w:rPr>
          <w:rFonts w:hint="eastAsia" w:ascii="宋体" w:hAnsi="宋体"/>
          <w:b/>
          <w:bCs/>
          <w:sz w:val="36"/>
          <w:szCs w:val="36"/>
        </w:rPr>
        <w:t>流式检测试剂采购需求参数表</w:t>
      </w:r>
    </w:p>
    <w:p>
      <w:pPr>
        <w:rPr>
          <w:rFonts w:asciiTheme="minorEastAsia" w:hAnsiTheme="minorEastAsia" w:eastAsiaTheme="minorEastAsia"/>
          <w:b/>
          <w:sz w:val="24"/>
        </w:rPr>
      </w:pPr>
    </w:p>
    <w:p>
      <w:pPr>
        <w:rPr>
          <w:rFonts w:ascii="宋体" w:hAnsi="宋体"/>
          <w:b/>
          <w:bCs/>
          <w:sz w:val="24"/>
        </w:rPr>
      </w:pPr>
      <w:r>
        <w:rPr>
          <w:sz w:val="28"/>
          <w:szCs w:val="28"/>
        </w:rPr>
        <w:drawing>
          <wp:inline distT="0" distB="0" distL="0" distR="0">
            <wp:extent cx="1798955" cy="257810"/>
            <wp:effectExtent l="0" t="0" r="0" b="8890"/>
            <wp:docPr id="1" name="图片 1" descr="透明底横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横版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82536" cy="543366"/>
                    </a:xfrm>
                    <a:prstGeom prst="rect">
                      <a:avLst/>
                    </a:prstGeom>
                    <a:noFill/>
                    <a:ln>
                      <a:noFill/>
                    </a:ln>
                  </pic:spPr>
                </pic:pic>
              </a:graphicData>
            </a:graphic>
          </wp:inline>
        </w:drawing>
      </w:r>
    </w:p>
    <w:p>
      <w:pPr>
        <w:ind w:firstLine="5740" w:firstLineChars="2050"/>
        <w:jc w:val="left"/>
        <w:rPr>
          <w:rFonts w:asciiTheme="minorHAnsi" w:hAnsiTheme="minorHAnsi" w:eastAsiaTheme="minorEastAsia"/>
          <w:sz w:val="28"/>
          <w:szCs w:val="28"/>
        </w:rPr>
      </w:pPr>
    </w:p>
    <w:p>
      <w:pPr>
        <w:ind w:firstLine="2100" w:firstLineChars="700"/>
        <w:rPr>
          <w:sz w:val="30"/>
          <w:szCs w:val="30"/>
        </w:rPr>
      </w:pPr>
      <w:r>
        <w:rPr>
          <w:rFonts w:hint="eastAsia"/>
          <w:sz w:val="30"/>
          <w:szCs w:val="30"/>
        </w:rPr>
        <w:t>使用科室试剂采购需求表</w:t>
      </w:r>
      <w:r>
        <w:rPr>
          <w:rFonts w:hint="eastAsia"/>
          <w:color w:val="FF0000"/>
          <w:sz w:val="30"/>
          <w:szCs w:val="30"/>
        </w:rPr>
        <w:t>(专机专用</w:t>
      </w:r>
      <w:r>
        <w:rPr>
          <w:color w:val="FF0000"/>
          <w:sz w:val="30"/>
          <w:szCs w:val="30"/>
        </w:rPr>
        <w:t>试剂</w:t>
      </w:r>
      <w:r>
        <w:rPr>
          <w:rFonts w:hint="eastAsia"/>
          <w:color w:val="FF0000"/>
          <w:sz w:val="30"/>
          <w:szCs w:val="30"/>
        </w:rPr>
        <w:t>)</w:t>
      </w:r>
    </w:p>
    <w:tbl>
      <w:tblPr>
        <w:tblStyle w:val="6"/>
        <w:tblW w:w="9701"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618"/>
        <w:gridCol w:w="1178"/>
        <w:gridCol w:w="750"/>
        <w:gridCol w:w="1217"/>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序号</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试剂名称</w:t>
            </w: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设备名称</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设备品牌</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设备型号</w:t>
            </w:r>
          </w:p>
        </w:tc>
        <w:tc>
          <w:tcPr>
            <w:tcW w:w="3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1</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CD3/CD16+56/CD45/CD19 检测试剂（流式细胞法-FITC/PE/PerCP/APC）</w:t>
            </w:r>
          </w:p>
        </w:tc>
        <w:tc>
          <w:tcPr>
            <w:tcW w:w="1178" w:type="dxa"/>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流式细胞仪</w:t>
            </w:r>
          </w:p>
        </w:tc>
        <w:tc>
          <w:tcPr>
            <w:tcW w:w="750" w:type="dxa"/>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迈瑞/BD/安捷伦</w:t>
            </w:r>
          </w:p>
        </w:tc>
        <w:tc>
          <w:tcPr>
            <w:tcW w:w="1217" w:type="dxa"/>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BriCyte E6/ Canto II/ NovoCyte3000</w:t>
            </w:r>
          </w:p>
        </w:tc>
        <w:tc>
          <w:tcPr>
            <w:tcW w:w="3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该试剂用于在流式细胞仪上对全血中的成熟人淋巴细胞百分比进行分析，可分析的淋巴细胞类型包括：T淋巴细胞、B淋巴细胞和NK细胞。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2</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CD3/CD8/CD45/CD4 检测试剂（流式细胞法FITC/PE/PerCP/APC）</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该产品用于全血中的成熟人淋巴细胞百分比分析，可分析的淋巴细胞类型包括：T淋巴细胞、辅助/诱导T淋巴细胞和抑制/细胞毒性T淋巴细胞，还可提供CD4/CD8比率。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3</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HLA-B27检测试剂盒（流式细胞法）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该试剂用于在流式细胞仪上采用直接免疫荧光方法，检测人外周血样中淋巴细胞表面HLA-B27抗原的表达情况，以辅助疾病诊断。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IFN-γ/IL-2/IL-4/IL-6/IL-10/IL-17/TNF</w:t>
            </w:r>
            <w:r>
              <w:rPr>
                <w:rFonts w:hint="eastAsia" w:ascii="Times New Roman Regular" w:hAnsi="Times New Roman Regular" w:cs="Times New Roman Regular"/>
                <w:color w:val="000000"/>
                <w:kern w:val="0"/>
                <w:szCs w:val="21"/>
                <w:lang w:bidi="ar"/>
              </w:rPr>
              <w:t>-</w:t>
            </w:r>
            <w:r>
              <w:rPr>
                <w:rFonts w:ascii="Times New Roman Regular" w:hAnsi="Times New Roman Regular" w:cs="Times New Roman Regular"/>
                <w:color w:val="000000"/>
                <w:kern w:val="0"/>
                <w:szCs w:val="21"/>
                <w:lang w:bidi="ar"/>
              </w:rPr>
              <w:t>α检测试剂</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restart"/>
            <w:tcBorders>
              <w:top w:val="single" w:color="auto" w:sz="4" w:space="0"/>
              <w:left w:val="single" w:color="auto" w:sz="4" w:space="0"/>
              <w:right w:val="single" w:color="auto" w:sz="4" w:space="0"/>
            </w:tcBorders>
            <w:vAlign w:val="center"/>
          </w:tcPr>
          <w:p>
            <w:pPr>
              <w:jc w:val="center"/>
              <w:rPr>
                <w:rFonts w:hint="eastAsia" w:ascii="Times New Roman Regular" w:hAnsi="Times New Roman Regular" w:eastAsia="宋体" w:cs="Times New Roman Regular"/>
                <w:color w:val="000000"/>
                <w:kern w:val="0"/>
                <w:szCs w:val="21"/>
                <w:lang w:eastAsia="zh-CN"/>
              </w:rPr>
            </w:pPr>
            <w:r>
              <w:rPr>
                <w:rFonts w:ascii="Times New Roman Regular" w:hAnsi="Times New Roman Regular" w:cs="Times New Roman Regular"/>
                <w:color w:val="000000"/>
                <w:kern w:val="0"/>
                <w:szCs w:val="21"/>
              </w:rPr>
              <w:t>产品准确度：相对计数结果应在准确度质控品的靶值范围内;</w:t>
            </w:r>
          </w:p>
          <w:p>
            <w:pPr>
              <w:jc w:val="center"/>
              <w:rPr>
                <w:rFonts w:hint="eastAsia" w:ascii="Times New Roman Regular" w:hAnsi="Times New Roman Regular" w:eastAsia="宋体" w:cs="Times New Roman Regular"/>
                <w:color w:val="000000"/>
                <w:kern w:val="0"/>
                <w:szCs w:val="21"/>
                <w:lang w:eastAsia="zh-CN"/>
              </w:rPr>
            </w:pPr>
            <w:r>
              <w:rPr>
                <w:rFonts w:ascii="Times New Roman Regular" w:hAnsi="Times New Roman Regular" w:cs="Times New Roman Regular"/>
                <w:color w:val="000000"/>
                <w:kern w:val="0"/>
                <w:szCs w:val="21"/>
              </w:rPr>
              <w:t>产品稀释线性：每个稀释度的重复测试值中位数位于所有稀释度测试值中位数的绝对值3%或者相对值10%范围内;</w:t>
            </w:r>
          </w:p>
          <w:p>
            <w:pPr>
              <w:jc w:val="center"/>
              <w:rPr>
                <w:rFonts w:hint="eastAsia" w:ascii="Times New Roman Regular" w:hAnsi="Times New Roman Regular" w:eastAsia="宋体" w:cs="Times New Roman Regular"/>
                <w:color w:val="000000"/>
                <w:kern w:val="0"/>
                <w:szCs w:val="21"/>
                <w:lang w:eastAsia="zh-CN"/>
              </w:rPr>
            </w:pPr>
            <w:r>
              <w:rPr>
                <w:rFonts w:ascii="Times New Roman Regular" w:hAnsi="Times New Roman Regular" w:cs="Times New Roman Regular"/>
                <w:color w:val="000000"/>
                <w:kern w:val="0"/>
                <w:szCs w:val="21"/>
              </w:rPr>
              <w:t>批内精密度：当阳性百分比≥30%，CV≤8%；阳性百分比&lt;30%时，CV≤15%；</w:t>
            </w:r>
          </w:p>
          <w:p>
            <w:pPr>
              <w:jc w:val="center"/>
              <w:rPr>
                <w:rFonts w:hint="eastAsia" w:ascii="Times New Roman Regular" w:hAnsi="Times New Roman Regular" w:eastAsia="宋体" w:cs="Times New Roman Regular"/>
                <w:color w:val="000000"/>
                <w:kern w:val="0"/>
                <w:szCs w:val="21"/>
                <w:lang w:eastAsia="zh-CN"/>
              </w:rPr>
            </w:pPr>
            <w:r>
              <w:rPr>
                <w:rFonts w:ascii="Times New Roman Regular" w:hAnsi="Times New Roman Regular" w:cs="Times New Roman Regular"/>
                <w:color w:val="000000"/>
                <w:kern w:val="0"/>
                <w:szCs w:val="21"/>
              </w:rPr>
              <w:t>批间精密度：当阳性百分比≥30%，CV≤8%；阳性百分比&lt;30%时，CV≤15%；</w:t>
            </w:r>
          </w:p>
          <w:p>
            <w:pPr>
              <w:jc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rPr>
              <w:t>染色稳定性：24小时内，前后两次相对计数结果的差异相对于前一次检测的结果变化：阳性百分比≥30%时，相对计数结果偏差≤10%；阳性百分比10-30%时，相对计数结果偏差值≤20%</w:t>
            </w:r>
            <w:r>
              <w:rPr>
                <w:rFonts w:ascii="Times New Roman Regular" w:hAnsi="Times New Roman Regular" w:cs="Times New Roman Regular"/>
                <w:szCs w:val="21"/>
              </w:rPr>
              <w:t>用于与流式技术相关的分析中对样本进行检测时形成鞘流，以利于仪器进行技数分析。</w:t>
            </w:r>
          </w:p>
          <w:p>
            <w:pPr>
              <w:jc w:val="center"/>
              <w:rPr>
                <w:rFonts w:ascii="Times New Roman Regular" w:hAnsi="Times New Roman Regular" w:cs="Times New Roman Regular"/>
                <w:szCs w:val="21"/>
              </w:rPr>
            </w:pPr>
            <w:r>
              <w:rPr>
                <w:rFonts w:ascii="Times New Roman Regular" w:hAnsi="Times New Roman Regular" w:cs="Times New Roman Regular"/>
                <w:szCs w:val="21"/>
              </w:rPr>
              <w:t>用于快速裂解人类外周血中红细胞，维持白细胞基本形态，临床上用于流式细胞仪检测前样本处理。</w:t>
            </w:r>
          </w:p>
          <w:p>
            <w:pPr>
              <w:jc w:val="center"/>
              <w:rPr>
                <w:rFonts w:ascii="Times New Roman Regular" w:hAnsi="Times New Roman Regular" w:cs="Times New Roman Regular"/>
                <w:szCs w:val="21"/>
              </w:rPr>
            </w:pPr>
            <w:r>
              <w:rPr>
                <w:rFonts w:ascii="Times New Roman Regular" w:hAnsi="Times New Roman Regular" w:cs="Times New Roman Regular"/>
                <w:szCs w:val="21"/>
              </w:rPr>
              <w:t>主要用于清洗流式细胞仪。</w:t>
            </w:r>
          </w:p>
          <w:p>
            <w:pPr>
              <w:jc w:val="center"/>
              <w:rPr>
                <w:rFonts w:ascii="Times New Roman Regular" w:hAnsi="Times New Roman Regular" w:cs="Times New Roman Regular"/>
                <w:szCs w:val="21"/>
              </w:rPr>
            </w:pPr>
            <w:r>
              <w:rPr>
                <w:rFonts w:ascii="Times New Roman Regular" w:hAnsi="Times New Roman Regular" w:cs="Times New Roman Regular"/>
                <w:szCs w:val="21"/>
              </w:rPr>
              <w:t>主要用于流式仪设备电压参数等质量控</w:t>
            </w:r>
            <w:bookmarkStart w:id="0" w:name="_GoBack"/>
            <w:bookmarkEnd w:id="0"/>
            <w:r>
              <w:rPr>
                <w:rFonts w:ascii="Times New Roman Regular" w:hAnsi="Times New Roman Regular" w:cs="Times New Roman Regular"/>
                <w:szCs w:val="21"/>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5</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抗血小板抗体检测试剂盒 (流式细胞仪法-荧光素)</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IFN-γ/IL-1β/IL-2/IL-4/IL-5/IL-6/IL-8/IL-10/IL-12p70/IL-17AIL-17F/IL-22/TNFα/TNF-β检测试剂</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7</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绝对计数微球试剂盒（流式细胞仪法）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绝对计数微球试剂盒（流式细胞仪法）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9</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CD3-FITC/CD16+56-PE/CD45-PerCP-Cy5.5/CD4-PE-Cy7/CD19-APC/CD8-APC-Cy7荧光单克隆抗体检测试剂盒</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10</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CD3-FITC/CD8-PE/CD45-PerCP/CD4-APC荧光单克隆抗体</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11</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CD3-FITC/CD16+56-PE/CD45-PerCP/CD19-APC荧光单克隆抗体</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12</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CD4-FITC/CD8-PE/CD3-PerCP荧光单克隆抗体试剂盒（流式细胞仪法）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13</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CD3-FITC/CD4-PE/CD45-PerCP荧光单克隆抗体试剂盒（流式细胞仪法）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14</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CD3-FITC/CD16+56-PE荧光单克隆抗体试剂盒（流式细胞仪法）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15</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白细胞分化抗原CD分子检测试剂（流式细胞仪法）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HLA-DR检测试剂（流式细胞仪法）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17</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MPO检测试剂（流式细胞仪法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TDT检测试剂（流式细胞仪法）</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19</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淋巴细胞亚群检测试剂盒（流式细胞法）</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Lambda检测试剂（流式细胞仪法-PE）</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21</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Kappa检测试剂（流式细胞仪法-FITC）</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22</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FMC7检测试剂</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23</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CD34检测试剂盒（流式细胞仪法）</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24</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IFN-γ检测试剂</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25</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IL-</w:t>
            </w:r>
            <w:r>
              <w:rPr>
                <w:rFonts w:hint="eastAsia" w:ascii="Times New Roman Regular" w:hAnsi="Times New Roman Regular" w:cs="Times New Roman Regular"/>
                <w:color w:val="000000"/>
                <w:szCs w:val="21"/>
              </w:rPr>
              <w:t>4</w:t>
            </w:r>
            <w:r>
              <w:rPr>
                <w:rFonts w:ascii="Times New Roman Regular" w:hAnsi="Times New Roman Regular" w:cs="Times New Roman Regular"/>
                <w:color w:val="000000"/>
                <w:szCs w:val="21"/>
              </w:rPr>
              <w:t>检测试剂</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26</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Granzyme B检测试剂</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27</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Perforin 检测试剂</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28</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6项细胞因子检测试剂盒</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29</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7项细胞因子检测试剂盒</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30</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12项细胞因子检测试剂盒</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31</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kern w:val="0"/>
                <w:szCs w:val="21"/>
                <w:lang w:bidi="ar"/>
              </w:rPr>
            </w:pPr>
            <w:r>
              <w:rPr>
                <w:rFonts w:ascii="Times New Roman Regular" w:hAnsi="Times New Roman Regular" w:cs="Times New Roman Regular"/>
                <w:color w:val="000000"/>
                <w:kern w:val="0"/>
                <w:szCs w:val="21"/>
                <w:lang w:bidi="ar"/>
              </w:rPr>
              <w:t>14项细胞因子检测试剂盒</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32</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颗粒酶穿孔素检测试剂盒</w:t>
            </w:r>
          </w:p>
        </w:tc>
        <w:tc>
          <w:tcPr>
            <w:tcW w:w="1178" w:type="dxa"/>
            <w:vMerge w:val="continue"/>
            <w:tcBorders>
              <w:left w:val="single" w:color="auto" w:sz="4" w:space="0"/>
              <w:right w:val="single" w:color="auto" w:sz="4" w:space="0"/>
            </w:tcBorders>
            <w:vAlign w:val="center"/>
          </w:tcPr>
          <w:p>
            <w:pPr>
              <w:jc w:val="center"/>
              <w:rPr>
                <w:szCs w:val="21"/>
              </w:rPr>
            </w:pPr>
          </w:p>
        </w:tc>
        <w:tc>
          <w:tcPr>
            <w:tcW w:w="750" w:type="dxa"/>
            <w:vMerge w:val="continue"/>
            <w:tcBorders>
              <w:left w:val="single" w:color="auto" w:sz="4" w:space="0"/>
              <w:right w:val="single" w:color="auto" w:sz="4" w:space="0"/>
            </w:tcBorders>
            <w:vAlign w:val="center"/>
          </w:tcPr>
          <w:p>
            <w:pPr>
              <w:jc w:val="center"/>
              <w:rPr>
                <w:szCs w:val="21"/>
              </w:rPr>
            </w:pPr>
          </w:p>
        </w:tc>
        <w:tc>
          <w:tcPr>
            <w:tcW w:w="1217" w:type="dxa"/>
            <w:vMerge w:val="continue"/>
            <w:tcBorders>
              <w:left w:val="single" w:color="auto" w:sz="4" w:space="0"/>
              <w:right w:val="single" w:color="auto" w:sz="4" w:space="0"/>
            </w:tcBorders>
            <w:vAlign w:val="center"/>
          </w:tcPr>
          <w:p>
            <w:pPr>
              <w:jc w:val="center"/>
              <w:rPr>
                <w:szCs w:val="21"/>
              </w:rPr>
            </w:pPr>
          </w:p>
        </w:tc>
        <w:tc>
          <w:tcPr>
            <w:tcW w:w="3350" w:type="dxa"/>
            <w:vMerge w:val="continue"/>
            <w:tcBorders>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33</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color w:val="000000"/>
                <w:kern w:val="0"/>
                <w:szCs w:val="21"/>
                <w:lang w:bidi="ar"/>
              </w:rPr>
              <w:t>流式细胞仪七色设置微球</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流式配套试剂耗材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34</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流式细胞仪三色设置微球</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35</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流式细胞分析用鞘液</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36</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流式细胞分析用溶血素</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37</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流式细胞分析用清洗液</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38</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同型对照抗体（IgG1）（IgG1-PE）</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39</w:t>
            </w:r>
          </w:p>
        </w:tc>
        <w:tc>
          <w:tcPr>
            <w:tcW w:w="26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r>
              <w:rPr>
                <w:rFonts w:ascii="Times New Roman Regular" w:hAnsi="Times New Roman Regular" w:cs="Times New Roman Regular"/>
                <w:color w:val="000000"/>
                <w:kern w:val="0"/>
                <w:szCs w:val="21"/>
                <w:lang w:bidi="ar"/>
              </w:rPr>
              <w:t>绝对计数管 BD Trutount Absolute Count Tubes</w:t>
            </w:r>
          </w:p>
        </w:tc>
        <w:tc>
          <w:tcPr>
            <w:tcW w:w="1178"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7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1217"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c>
          <w:tcPr>
            <w:tcW w:w="3350" w:type="dxa"/>
            <w:vMerge w:val="continue"/>
            <w:tcBorders>
              <w:left w:val="single" w:color="auto" w:sz="4" w:space="0"/>
              <w:right w:val="single" w:color="auto" w:sz="4" w:space="0"/>
            </w:tcBorders>
            <w:vAlign w:val="center"/>
          </w:tcPr>
          <w:p>
            <w:pPr>
              <w:widowControl/>
              <w:jc w:val="center"/>
              <w:textAlignment w:val="center"/>
              <w:rPr>
                <w:rFonts w:ascii="Times New Roman Regular" w:hAnsi="Times New Roman Regular"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40</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固定剂</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41</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破膜剂</w:t>
            </w:r>
          </w:p>
        </w:tc>
        <w:tc>
          <w:tcPr>
            <w:tcW w:w="1178"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right w:val="single" w:color="auto" w:sz="4" w:space="0"/>
            </w:tcBorders>
            <w:vAlign w:val="center"/>
          </w:tcPr>
          <w:p>
            <w:pPr>
              <w:jc w:val="center"/>
              <w:rPr>
                <w:rFonts w:ascii="Times New Roman Regular" w:hAnsi="Times New Roman Regular"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42</w:t>
            </w:r>
          </w:p>
        </w:tc>
        <w:tc>
          <w:tcPr>
            <w:tcW w:w="26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r>
              <w:rPr>
                <w:rFonts w:ascii="Times New Roman Regular" w:hAnsi="Times New Roman Regular" w:cs="Times New Roman Regular"/>
                <w:szCs w:val="21"/>
              </w:rPr>
              <w:t>校准品</w:t>
            </w:r>
          </w:p>
        </w:tc>
        <w:tc>
          <w:tcPr>
            <w:tcW w:w="1178" w:type="dxa"/>
            <w:vMerge w:val="continue"/>
            <w:tcBorders>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750" w:type="dxa"/>
            <w:vMerge w:val="continue"/>
            <w:tcBorders>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1217" w:type="dxa"/>
            <w:vMerge w:val="continue"/>
            <w:tcBorders>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p>
        </w:tc>
        <w:tc>
          <w:tcPr>
            <w:tcW w:w="3350" w:type="dxa"/>
            <w:vMerge w:val="continue"/>
            <w:tcBorders>
              <w:left w:val="single" w:color="auto" w:sz="4" w:space="0"/>
              <w:bottom w:val="single" w:color="auto" w:sz="4" w:space="0"/>
              <w:right w:val="single" w:color="auto" w:sz="4" w:space="0"/>
            </w:tcBorders>
            <w:vAlign w:val="center"/>
          </w:tcPr>
          <w:p>
            <w:pPr>
              <w:jc w:val="center"/>
              <w:rPr>
                <w:rFonts w:ascii="Times New Roman Regular" w:hAnsi="Times New Roman Regular" w:cs="Times New Roman Regular"/>
                <w:szCs w:val="21"/>
              </w:rPr>
            </w:pPr>
          </w:p>
        </w:tc>
      </w:tr>
    </w:tbl>
    <w:p>
      <w:pPr>
        <w:ind w:firstLine="4305" w:firstLineChars="2050"/>
        <w:rPr>
          <w:rFonts w:asciiTheme="minorHAnsi" w:hAnsiTheme="minorHAnsi" w:eastAsiaTheme="minorEastAsia" w:cstheme="minorBidi"/>
          <w:sz w:val="28"/>
          <w:szCs w:val="28"/>
        </w:rPr>
      </w:pPr>
      <w:r>
        <w:rPr>
          <w:rFonts w:hint="eastAsia"/>
          <w:szCs w:val="21"/>
        </w:rPr>
        <w:t xml:space="preserve">            </w:t>
      </w:r>
      <w:r>
        <w:rPr>
          <w:rFonts w:hint="eastAsia"/>
          <w:sz w:val="28"/>
          <w:szCs w:val="28"/>
        </w:rPr>
        <w:t xml:space="preserve">               </w:t>
      </w:r>
    </w:p>
    <w:p>
      <w:pPr>
        <w:rPr>
          <w:rFonts w:ascii="宋体" w:hAnsi="宋体"/>
          <w:b/>
          <w:bCs/>
          <w:sz w:val="24"/>
        </w:rPr>
      </w:pPr>
    </w:p>
    <w:p>
      <w:pPr>
        <w:spacing w:line="540" w:lineRule="exact"/>
        <w:rPr>
          <w:rFonts w:ascii="宋体" w:hAnsi="宋体"/>
          <w:bCs/>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Arial Unicode MS"/>
    <w:panose1 w:val="00000000000000000000"/>
    <w:charset w:val="00"/>
    <w:family w:val="auto"/>
    <w:pitch w:val="default"/>
    <w:sig w:usb0="00000000" w:usb1="00000000"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359152"/>
    </w:sdtPr>
    <w:sdtContent>
      <w:p>
        <w:pPr>
          <w:pStyle w:val="3"/>
          <w:ind w:firstLine="4500" w:firstLineChars="2500"/>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ind w:firstLine="4770" w:firstLineChars="2650"/>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A7127"/>
    <w:rsid w:val="00126648"/>
    <w:rsid w:val="001D4F49"/>
    <w:rsid w:val="00203F52"/>
    <w:rsid w:val="00234222"/>
    <w:rsid w:val="00240564"/>
    <w:rsid w:val="002A41EF"/>
    <w:rsid w:val="002D2D93"/>
    <w:rsid w:val="002D4BC7"/>
    <w:rsid w:val="00387534"/>
    <w:rsid w:val="003C2CB7"/>
    <w:rsid w:val="003D6D7F"/>
    <w:rsid w:val="003E4B6A"/>
    <w:rsid w:val="004C0F6B"/>
    <w:rsid w:val="004E70E8"/>
    <w:rsid w:val="004F1E1B"/>
    <w:rsid w:val="00542AAB"/>
    <w:rsid w:val="005708F0"/>
    <w:rsid w:val="005B3A63"/>
    <w:rsid w:val="005B5EA3"/>
    <w:rsid w:val="005D04D8"/>
    <w:rsid w:val="005E3E42"/>
    <w:rsid w:val="00625820"/>
    <w:rsid w:val="00763593"/>
    <w:rsid w:val="00774C4E"/>
    <w:rsid w:val="007C5B24"/>
    <w:rsid w:val="00806B55"/>
    <w:rsid w:val="00816F83"/>
    <w:rsid w:val="00917972"/>
    <w:rsid w:val="009B58B3"/>
    <w:rsid w:val="009B7588"/>
    <w:rsid w:val="009C7972"/>
    <w:rsid w:val="009F4C99"/>
    <w:rsid w:val="009F6854"/>
    <w:rsid w:val="00A820F1"/>
    <w:rsid w:val="00AE4729"/>
    <w:rsid w:val="00B16D72"/>
    <w:rsid w:val="00B241BC"/>
    <w:rsid w:val="00B34EC8"/>
    <w:rsid w:val="00B703C8"/>
    <w:rsid w:val="00B95357"/>
    <w:rsid w:val="00BF3EB3"/>
    <w:rsid w:val="00C41141"/>
    <w:rsid w:val="00CE35F0"/>
    <w:rsid w:val="00CE5B0C"/>
    <w:rsid w:val="00D24930"/>
    <w:rsid w:val="00D51B57"/>
    <w:rsid w:val="00DB386B"/>
    <w:rsid w:val="00DC63AB"/>
    <w:rsid w:val="00DF2093"/>
    <w:rsid w:val="00E209A0"/>
    <w:rsid w:val="00E9378D"/>
    <w:rsid w:val="00EE2CB3"/>
    <w:rsid w:val="00EF59B8"/>
    <w:rsid w:val="00FA5CA9"/>
    <w:rsid w:val="00FE28CD"/>
    <w:rsid w:val="0C3842C5"/>
    <w:rsid w:val="0C3F313B"/>
    <w:rsid w:val="18992EDF"/>
    <w:rsid w:val="18FF7A70"/>
    <w:rsid w:val="1AE259D8"/>
    <w:rsid w:val="1C0B4B9C"/>
    <w:rsid w:val="25892A8A"/>
    <w:rsid w:val="28C97F1E"/>
    <w:rsid w:val="2FCC27C0"/>
    <w:rsid w:val="3AFC7AA9"/>
    <w:rsid w:val="4FEA97FF"/>
    <w:rsid w:val="529A4329"/>
    <w:rsid w:val="55952E51"/>
    <w:rsid w:val="64C454E1"/>
    <w:rsid w:val="66FE220C"/>
    <w:rsid w:val="7B40023A"/>
    <w:rsid w:val="7FB977D3"/>
    <w:rsid w:val="CE7B25BD"/>
    <w:rsid w:val="CFF794AC"/>
    <w:rsid w:val="FFFE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466</Words>
  <Characters>2662</Characters>
  <Lines>22</Lines>
  <Paragraphs>6</Paragraphs>
  <TotalTime>13</TotalTime>
  <ScaleCrop>false</ScaleCrop>
  <LinksUpToDate>false</LinksUpToDate>
  <CharactersWithSpaces>3122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2020-01-14T15:54:00Z</dcterms:created>
  <dc:creator>Windows 用户</dc:creator>
  <cp:lastModifiedBy>dz</cp:lastModifiedBy>
  <cp:lastPrinted>2023-07-13T10:58:00Z</cp:lastPrinted>
  <dcterms:modified xsi:type="dcterms:W3CDTF">2024-01-08T03:25:18Z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9FC854FFC09A4E37A8191A0661108223_13</vt:lpwstr>
  </property>
</Properties>
</file>