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（货物类）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综合评分法，是指投标文件满足招标文件全部实质性要求，且按照评审因素的量化指标评审得分最高的投标人为中标候选人的评标方法。    </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价格分计算方法：采用低价优先法计算，即满足招标文件要求且投标价格最低的投标报价为评标基准价，其价格分为满分。</w:t>
      </w:r>
    </w:p>
    <w:p>
      <w:pPr>
        <w:ind w:left="420"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其他投标人的价格分统一按照下列公式计算： </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投标报价得分=(评标基准价／投标报价)×100 </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评标总得分＝F1×A1＋F2×A2＋……＋Fn×An </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F1、F2……Fn分别为各项评审因素的得分； </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A1、A2、……An 分别为各项评审因素所占的权重(A1＋A2＋……＋An＝1)。 </w:t>
      </w:r>
    </w:p>
    <w:p>
      <w:pPr>
        <w:ind w:left="42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评标过程中，不得去掉报价中的最高报价和最低报价。 </w:t>
      </w:r>
    </w:p>
    <w:p>
      <w:pPr>
        <w:ind w:left="420"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 此方法适用于货物类、服务类、工程类项目。  </w:t>
      </w:r>
      <w:r>
        <w:rPr>
          <w:rFonts w:hint="eastAsia" w:asciiTheme="minorEastAsia" w:hAnsiTheme="minorEastAsia" w:eastAsiaTheme="minorEastAsia"/>
          <w:b/>
          <w:sz w:val="24"/>
          <w:szCs w:val="24"/>
        </w:rPr>
        <w:t> </w:t>
      </w:r>
    </w:p>
    <w:p>
      <w:pPr>
        <w:ind w:left="420"/>
        <w:rPr>
          <w:rFonts w:asciiTheme="minorEastAsia" w:hAnsiTheme="minorEastAsia" w:eastAsiaTheme="minorEastAsia"/>
          <w:b/>
          <w:sz w:val="24"/>
          <w:szCs w:val="24"/>
        </w:rPr>
      </w:pP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48"/>
        <w:gridCol w:w="892"/>
        <w:gridCol w:w="5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blHeader/>
          <w:jc w:val="center"/>
        </w:trPr>
        <w:tc>
          <w:tcPr>
            <w:tcW w:w="1117" w:type="dxa"/>
            <w:tcBorders>
              <w:top w:val="double" w:color="auto" w:sz="4" w:space="0"/>
              <w:left w:val="double" w:color="auto" w:sz="4" w:space="0"/>
              <w:bottom w:val="single" w:color="auto" w:sz="4" w:space="0"/>
            </w:tcBorders>
            <w:vAlign w:val="center"/>
          </w:tcPr>
          <w:p>
            <w:pPr>
              <w:adjustRightInd w:val="0"/>
              <w:snapToGrid w:val="0"/>
              <w:spacing w:line="300" w:lineRule="auto"/>
              <w:jc w:val="center"/>
              <w:rPr>
                <w:b/>
                <w:bCs/>
                <w:snapToGrid w:val="0"/>
                <w:kern w:val="0"/>
                <w:sz w:val="18"/>
              </w:rPr>
            </w:pPr>
            <w:r>
              <w:rPr>
                <w:rFonts w:hint="eastAsia"/>
                <w:b/>
                <w:bCs/>
                <w:snapToGrid w:val="0"/>
                <w:kern w:val="0"/>
                <w:sz w:val="18"/>
              </w:rPr>
              <w:t>类别</w:t>
            </w:r>
          </w:p>
        </w:tc>
        <w:tc>
          <w:tcPr>
            <w:tcW w:w="1148" w:type="dxa"/>
            <w:tcBorders>
              <w:top w:val="double" w:color="auto" w:sz="4" w:space="0"/>
            </w:tcBorders>
            <w:vAlign w:val="center"/>
          </w:tcPr>
          <w:p>
            <w:pPr>
              <w:adjustRightInd w:val="0"/>
              <w:snapToGrid w:val="0"/>
              <w:spacing w:line="300" w:lineRule="auto"/>
              <w:jc w:val="center"/>
              <w:rPr>
                <w:b/>
                <w:bCs/>
                <w:snapToGrid w:val="0"/>
                <w:kern w:val="0"/>
                <w:sz w:val="18"/>
              </w:rPr>
            </w:pPr>
            <w:r>
              <w:rPr>
                <w:rFonts w:hint="eastAsia"/>
                <w:b/>
                <w:bCs/>
                <w:snapToGrid w:val="0"/>
                <w:kern w:val="0"/>
                <w:sz w:val="18"/>
              </w:rPr>
              <w:t>评分项目</w:t>
            </w:r>
          </w:p>
        </w:tc>
        <w:tc>
          <w:tcPr>
            <w:tcW w:w="892" w:type="dxa"/>
            <w:tcBorders>
              <w:top w:val="double" w:color="auto" w:sz="4" w:space="0"/>
            </w:tcBorders>
            <w:vAlign w:val="center"/>
          </w:tcPr>
          <w:p>
            <w:pPr>
              <w:widowControl/>
              <w:adjustRightInd w:val="0"/>
              <w:snapToGrid w:val="0"/>
              <w:spacing w:after="60"/>
              <w:jc w:val="center"/>
              <w:rPr>
                <w:snapToGrid w:val="0"/>
                <w:kern w:val="0"/>
                <w:sz w:val="18"/>
              </w:rPr>
            </w:pPr>
            <w:r>
              <w:rPr>
                <w:rFonts w:hint="eastAsia"/>
                <w:b/>
                <w:bCs/>
                <w:snapToGrid w:val="0"/>
                <w:kern w:val="0"/>
                <w:sz w:val="18"/>
              </w:rPr>
              <w:t>最高分值</w:t>
            </w:r>
          </w:p>
        </w:tc>
        <w:tc>
          <w:tcPr>
            <w:tcW w:w="5361" w:type="dxa"/>
            <w:tcBorders>
              <w:top w:val="double" w:color="auto" w:sz="4" w:space="0"/>
              <w:right w:val="double" w:color="auto" w:sz="4" w:space="0"/>
            </w:tcBorders>
            <w:vAlign w:val="center"/>
          </w:tcPr>
          <w:p>
            <w:pPr>
              <w:adjustRightInd w:val="0"/>
              <w:snapToGrid w:val="0"/>
              <w:spacing w:line="300" w:lineRule="auto"/>
              <w:jc w:val="center"/>
              <w:rPr>
                <w:b/>
                <w:bCs/>
                <w:snapToGrid w:val="0"/>
                <w:kern w:val="0"/>
                <w:sz w:val="18"/>
              </w:rPr>
            </w:pPr>
            <w:r>
              <w:rPr>
                <w:rFonts w:hint="eastAsia"/>
                <w:b/>
                <w:bCs/>
                <w:snapToGrid w:val="0"/>
                <w:kern w:val="0"/>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1117" w:type="dxa"/>
            <w:vMerge w:val="restart"/>
            <w:tcBorders>
              <w:left w:val="double" w:color="auto" w:sz="4" w:space="0"/>
            </w:tcBorders>
            <w:vAlign w:val="center"/>
          </w:tcPr>
          <w:p>
            <w:pPr>
              <w:adjustRightInd w:val="0"/>
              <w:spacing w:line="300" w:lineRule="auto"/>
              <w:jc w:val="center"/>
              <w:rPr>
                <w:b/>
                <w:bCs/>
                <w:snapToGrid w:val="0"/>
                <w:kern w:val="0"/>
                <w:szCs w:val="21"/>
              </w:rPr>
            </w:pPr>
            <w:r>
              <w:rPr>
                <w:rFonts w:hint="eastAsia"/>
                <w:b/>
                <w:bCs/>
                <w:snapToGrid w:val="0"/>
                <w:kern w:val="0"/>
                <w:szCs w:val="21"/>
              </w:rPr>
              <w:t>技术标（J）</w:t>
            </w:r>
          </w:p>
          <w:p>
            <w:pPr>
              <w:adjustRightInd w:val="0"/>
              <w:spacing w:line="300" w:lineRule="auto"/>
              <w:jc w:val="center"/>
              <w:rPr>
                <w:b/>
                <w:bCs/>
                <w:snapToGrid w:val="0"/>
                <w:kern w:val="0"/>
                <w:szCs w:val="21"/>
              </w:rPr>
            </w:pPr>
            <w:r>
              <w:rPr>
                <w:rFonts w:hint="eastAsia"/>
                <w:b/>
                <w:bCs/>
                <w:snapToGrid w:val="0"/>
                <w:kern w:val="0"/>
                <w:szCs w:val="21"/>
              </w:rPr>
              <w:t>（总分</w:t>
            </w:r>
            <w:r>
              <w:rPr>
                <w:b/>
                <w:bCs/>
                <w:snapToGrid w:val="0"/>
                <w:kern w:val="0"/>
                <w:szCs w:val="21"/>
              </w:rPr>
              <w:t>48</w:t>
            </w:r>
            <w:r>
              <w:rPr>
                <w:rFonts w:hint="eastAsia"/>
                <w:b/>
                <w:bCs/>
                <w:snapToGrid w:val="0"/>
                <w:kern w:val="0"/>
                <w:szCs w:val="21"/>
              </w:rPr>
              <w:t>分）</w:t>
            </w: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技术保障措施</w:t>
            </w:r>
          </w:p>
        </w:tc>
        <w:tc>
          <w:tcPr>
            <w:tcW w:w="892"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3</w:t>
            </w:r>
          </w:p>
        </w:tc>
        <w:tc>
          <w:tcPr>
            <w:tcW w:w="5361" w:type="dxa"/>
            <w:tcBorders>
              <w:right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在投标文件中详细说明设备制造商的保障措施（包括技术团队和技术方案等），评审委员会根据对招标文件的响应情况进行打分：保障措施满足招标要求且详细可行为优得</w:t>
            </w:r>
            <w:r>
              <w:rPr>
                <w:rFonts w:ascii="宋体" w:hAnsi="宋体"/>
                <w:snapToGrid w:val="0"/>
                <w:kern w:val="0"/>
                <w:szCs w:val="21"/>
              </w:rPr>
              <w:t>3</w:t>
            </w:r>
            <w:r>
              <w:rPr>
                <w:rFonts w:hint="eastAsia" w:ascii="宋体" w:hAnsi="宋体"/>
                <w:snapToGrid w:val="0"/>
                <w:kern w:val="0"/>
                <w:szCs w:val="21"/>
              </w:rPr>
              <w:t>分，保障措施满足招标要求且比较完善为良得</w:t>
            </w:r>
            <w:r>
              <w:rPr>
                <w:rFonts w:ascii="宋体" w:hAnsi="宋体"/>
                <w:snapToGrid w:val="0"/>
                <w:kern w:val="0"/>
                <w:szCs w:val="21"/>
              </w:rPr>
              <w:t>2</w:t>
            </w:r>
            <w:r>
              <w:rPr>
                <w:rFonts w:hint="eastAsia" w:ascii="宋体" w:hAnsi="宋体"/>
                <w:snapToGrid w:val="0"/>
                <w:kern w:val="0"/>
                <w:szCs w:val="21"/>
              </w:rPr>
              <w:t>分，保障措施基本满足招标要求为中得</w:t>
            </w:r>
            <w:r>
              <w:rPr>
                <w:rFonts w:ascii="宋体" w:hAnsi="宋体"/>
                <w:snapToGrid w:val="0"/>
                <w:kern w:val="0"/>
                <w:szCs w:val="21"/>
              </w:rPr>
              <w:t>1</w:t>
            </w:r>
            <w:r>
              <w:rPr>
                <w:rFonts w:hint="eastAsia" w:ascii="宋体" w:hAnsi="宋体"/>
                <w:snapToGrid w:val="0"/>
                <w:kern w:val="0"/>
                <w:szCs w:val="21"/>
              </w:rPr>
              <w:t>分，不提供或不可行为差得</w:t>
            </w:r>
            <w:r>
              <w:rPr>
                <w:rFonts w:ascii="宋体" w:hAnsi="宋体"/>
                <w:snapToGrid w:val="0"/>
                <w:kern w:val="0"/>
                <w:szCs w:val="21"/>
              </w:rPr>
              <w:t>0</w:t>
            </w:r>
            <w:r>
              <w:rPr>
                <w:rFonts w:hint="eastAsia" w:ascii="宋体" w:hAnsi="宋体"/>
                <w:snapToGrid w:val="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1117" w:type="dxa"/>
            <w:vMerge w:val="continue"/>
            <w:tcBorders>
              <w:left w:val="double" w:color="auto" w:sz="4" w:space="0"/>
            </w:tcBorders>
            <w:vAlign w:val="center"/>
          </w:tcPr>
          <w:p>
            <w:pPr>
              <w:adjustRightInd w:val="0"/>
              <w:spacing w:line="300" w:lineRule="auto"/>
              <w:jc w:val="center"/>
              <w:rPr>
                <w:b/>
                <w:bCs/>
                <w:snapToGrid w:val="0"/>
                <w:kern w:val="0"/>
                <w:szCs w:val="21"/>
              </w:rPr>
            </w:pP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技术规格偏离情况</w:t>
            </w:r>
          </w:p>
        </w:tc>
        <w:tc>
          <w:tcPr>
            <w:tcW w:w="892" w:type="dxa"/>
            <w:vAlign w:val="center"/>
          </w:tcPr>
          <w:p>
            <w:pPr>
              <w:widowControl/>
              <w:spacing w:line="288" w:lineRule="auto"/>
              <w:rPr>
                <w:rFonts w:ascii="宋体" w:hAnsi="宋体"/>
                <w:snapToGrid w:val="0"/>
                <w:kern w:val="0"/>
                <w:szCs w:val="21"/>
              </w:rPr>
            </w:pPr>
            <w:r>
              <w:rPr>
                <w:rFonts w:ascii="宋体" w:hAnsi="宋体"/>
                <w:snapToGrid w:val="0"/>
                <w:kern w:val="0"/>
                <w:szCs w:val="21"/>
              </w:rPr>
              <w:t>33</w:t>
            </w:r>
          </w:p>
        </w:tc>
        <w:tc>
          <w:tcPr>
            <w:tcW w:w="5361" w:type="dxa"/>
            <w:tcBorders>
              <w:right w:val="double" w:color="auto" w:sz="4" w:space="0"/>
            </w:tcBorders>
            <w:vAlign w:val="center"/>
          </w:tcPr>
          <w:p>
            <w:pPr>
              <w:widowControl/>
              <w:snapToGrid w:val="0"/>
              <w:spacing w:line="288" w:lineRule="auto"/>
              <w:rPr>
                <w:rFonts w:ascii="宋体" w:hAnsi="宋体"/>
                <w:snapToGrid w:val="0"/>
                <w:kern w:val="0"/>
                <w:szCs w:val="21"/>
              </w:rPr>
            </w:pPr>
            <w:r>
              <w:rPr>
                <w:rFonts w:hint="eastAsia" w:ascii="宋体" w:hAnsi="宋体"/>
                <w:snapToGrid w:val="0"/>
                <w:kern w:val="0"/>
                <w:szCs w:val="21"/>
              </w:rPr>
              <w:t>投标人应如实填写《技术规格偏离表》，评审委员会根据技术参数响应情况进行打分，各项技术参数指标及要求全部满足的得满分5</w:t>
            </w:r>
            <w:r>
              <w:rPr>
                <w:rFonts w:ascii="宋体" w:hAnsi="宋体"/>
                <w:snapToGrid w:val="0"/>
                <w:kern w:val="0"/>
                <w:szCs w:val="21"/>
              </w:rPr>
              <w:t>0</w:t>
            </w:r>
            <w:r>
              <w:rPr>
                <w:rFonts w:hint="eastAsia" w:ascii="宋体" w:hAnsi="宋体"/>
                <w:snapToGrid w:val="0"/>
                <w:kern w:val="0"/>
                <w:szCs w:val="21"/>
              </w:rPr>
              <w:t>分，未响应的参数按负偏离扣分。带▲的重要参数每负偏离一项扣10分，其他一般参数每负偏离一项扣5分，正偏离不加分。扣完为止，最低得0分。</w:t>
            </w:r>
          </w:p>
          <w:p>
            <w:pPr>
              <w:widowControl/>
              <w:snapToGrid w:val="0"/>
              <w:spacing w:line="288" w:lineRule="auto"/>
              <w:rPr>
                <w:rFonts w:ascii="宋体" w:hAnsi="宋体"/>
                <w:snapToGrid w:val="0"/>
                <w:kern w:val="0"/>
                <w:szCs w:val="21"/>
              </w:rPr>
            </w:pPr>
            <w:r>
              <w:rPr>
                <w:rFonts w:hint="eastAsia" w:ascii="宋体" w:hAnsi="宋体"/>
                <w:snapToGrid w:val="0"/>
                <w:kern w:val="0"/>
                <w:szCs w:val="21"/>
              </w:rPr>
              <w:t>【对于《技术规格偏离表》中投标技术响应与偏离情况填写不一致的，评委会按负偏离处理。】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jc w:val="center"/>
        </w:trPr>
        <w:tc>
          <w:tcPr>
            <w:tcW w:w="1117" w:type="dxa"/>
            <w:vMerge w:val="continue"/>
            <w:tcBorders>
              <w:left w:val="double" w:color="auto" w:sz="4" w:space="0"/>
            </w:tcBorders>
            <w:vAlign w:val="center"/>
          </w:tcPr>
          <w:p>
            <w:pPr>
              <w:adjustRightInd w:val="0"/>
              <w:spacing w:line="300" w:lineRule="auto"/>
              <w:jc w:val="center"/>
              <w:rPr>
                <w:b/>
                <w:bCs/>
                <w:snapToGrid w:val="0"/>
                <w:kern w:val="0"/>
                <w:szCs w:val="21"/>
              </w:rPr>
            </w:pP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奖项</w:t>
            </w:r>
          </w:p>
          <w:p>
            <w:pPr>
              <w:widowControl/>
              <w:adjustRightInd w:val="0"/>
              <w:spacing w:line="288" w:lineRule="auto"/>
              <w:rPr>
                <w:rFonts w:ascii="宋体" w:hAnsi="宋体"/>
                <w:snapToGrid w:val="0"/>
                <w:kern w:val="0"/>
                <w:szCs w:val="21"/>
              </w:rPr>
            </w:pPr>
          </w:p>
        </w:tc>
        <w:tc>
          <w:tcPr>
            <w:tcW w:w="892"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2</w:t>
            </w:r>
          </w:p>
        </w:tc>
        <w:tc>
          <w:tcPr>
            <w:tcW w:w="5361" w:type="dxa"/>
            <w:tcBorders>
              <w:right w:val="double" w:color="auto" w:sz="4" w:space="0"/>
            </w:tcBorders>
            <w:vAlign w:val="center"/>
          </w:tcPr>
          <w:p>
            <w:pPr>
              <w:widowControl/>
              <w:adjustRightInd w:val="0"/>
              <w:snapToGrid w:val="0"/>
              <w:spacing w:line="288" w:lineRule="auto"/>
              <w:rPr>
                <w:rFonts w:ascii="宋体" w:hAnsi="宋体"/>
                <w:snapToGrid w:val="0"/>
                <w:kern w:val="0"/>
                <w:szCs w:val="21"/>
              </w:rPr>
            </w:pPr>
            <w:r>
              <w:rPr>
                <w:rFonts w:hint="eastAsia" w:ascii="宋体" w:hAnsi="宋体"/>
                <w:snapToGrid w:val="0"/>
                <w:kern w:val="0"/>
                <w:szCs w:val="21"/>
              </w:rPr>
              <w:t>所投产品机构岗位数字证书原厂商需具备“2</w:t>
            </w:r>
            <w:r>
              <w:rPr>
                <w:rFonts w:ascii="宋体" w:hAnsi="宋体"/>
                <w:snapToGrid w:val="0"/>
                <w:kern w:val="0"/>
                <w:szCs w:val="21"/>
              </w:rPr>
              <w:t>019</w:t>
            </w:r>
            <w:r>
              <w:rPr>
                <w:rFonts w:hint="eastAsia" w:ascii="宋体" w:hAnsi="宋体"/>
                <w:snapToGrid w:val="0"/>
                <w:kern w:val="0"/>
                <w:szCs w:val="21"/>
              </w:rPr>
              <w:t>年广东省医学信息”优秀合作企业荣誉证书。</w:t>
            </w:r>
          </w:p>
          <w:p>
            <w:pPr>
              <w:widowControl/>
              <w:adjustRightInd w:val="0"/>
              <w:snapToGrid w:val="0"/>
              <w:spacing w:line="288" w:lineRule="auto"/>
              <w:rPr>
                <w:rFonts w:ascii="宋体" w:hAnsi="宋体"/>
                <w:snapToGrid w:val="0"/>
                <w:kern w:val="0"/>
                <w:szCs w:val="21"/>
              </w:rPr>
            </w:pPr>
            <w:r>
              <w:rPr>
                <w:rFonts w:hint="eastAsia" w:ascii="宋体" w:hAnsi="宋体"/>
                <w:snapToGrid w:val="0"/>
                <w:kern w:val="0"/>
                <w:szCs w:val="21"/>
              </w:rPr>
              <w:t>所投产品服务器证书原厂商需具备“基于T</w:t>
            </w:r>
            <w:r>
              <w:rPr>
                <w:rFonts w:ascii="宋体" w:hAnsi="宋体"/>
                <w:snapToGrid w:val="0"/>
                <w:kern w:val="0"/>
                <w:szCs w:val="21"/>
              </w:rPr>
              <w:t>LS</w:t>
            </w:r>
            <w:r>
              <w:rPr>
                <w:rFonts w:hint="eastAsia" w:ascii="宋体" w:hAnsi="宋体"/>
                <w:snapToGrid w:val="0"/>
                <w:kern w:val="0"/>
                <w:szCs w:val="21"/>
              </w:rPr>
              <w:t>协议实用加密通信的方法及装置”发明专利证书。</w:t>
            </w:r>
          </w:p>
          <w:p>
            <w:pPr>
              <w:widowControl/>
              <w:adjustRightInd w:val="0"/>
              <w:snapToGrid w:val="0"/>
              <w:spacing w:line="288" w:lineRule="auto"/>
              <w:rPr>
                <w:rFonts w:ascii="宋体" w:hAnsi="宋体"/>
                <w:snapToGrid w:val="0"/>
                <w:kern w:val="0"/>
                <w:szCs w:val="21"/>
              </w:rPr>
            </w:pPr>
            <w:r>
              <w:rPr>
                <w:rFonts w:hint="eastAsia" w:ascii="宋体" w:hAnsi="宋体"/>
                <w:snapToGrid w:val="0"/>
                <w:kern w:val="0"/>
                <w:szCs w:val="21"/>
              </w:rPr>
              <w:t>提供优秀合作企业荣誉证书及发明专利证书扫描件。</w:t>
            </w:r>
          </w:p>
          <w:p>
            <w:pPr>
              <w:widowControl/>
              <w:adjustRightInd w:val="0"/>
              <w:snapToGrid w:val="0"/>
              <w:spacing w:line="288" w:lineRule="auto"/>
              <w:rPr>
                <w:rFonts w:ascii="宋体" w:hAnsi="宋体"/>
                <w:snapToGrid w:val="0"/>
                <w:kern w:val="0"/>
                <w:szCs w:val="21"/>
              </w:rPr>
            </w:pPr>
            <w:r>
              <w:rPr>
                <w:rFonts w:hint="eastAsia" w:ascii="宋体" w:hAnsi="宋体"/>
                <w:snapToGrid w:val="0"/>
                <w:kern w:val="0"/>
                <w:szCs w:val="21"/>
              </w:rPr>
              <w:t>有提供一项得</w:t>
            </w:r>
            <w:r>
              <w:rPr>
                <w:rFonts w:ascii="宋体" w:hAnsi="宋体"/>
                <w:snapToGrid w:val="0"/>
                <w:kern w:val="0"/>
                <w:szCs w:val="21"/>
              </w:rPr>
              <w:t>6</w:t>
            </w:r>
            <w:r>
              <w:rPr>
                <w:rFonts w:hint="eastAsia" w:ascii="宋体" w:hAnsi="宋体"/>
                <w:snapToGrid w:val="0"/>
                <w:kern w:val="0"/>
                <w:szCs w:val="21"/>
              </w:rPr>
              <w:t>分，提供两项的得满分，一项都未提供则不得分。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117" w:type="dxa"/>
            <w:tcBorders>
              <w:left w:val="double" w:color="auto" w:sz="4" w:space="0"/>
            </w:tcBorders>
            <w:vAlign w:val="center"/>
          </w:tcPr>
          <w:p>
            <w:pPr>
              <w:adjustRightInd w:val="0"/>
              <w:spacing w:line="300" w:lineRule="auto"/>
              <w:jc w:val="center"/>
              <w:rPr>
                <w:b/>
                <w:bCs/>
                <w:snapToGrid w:val="0"/>
                <w:kern w:val="0"/>
                <w:szCs w:val="21"/>
              </w:rPr>
            </w:pPr>
            <w:r>
              <w:rPr>
                <w:rFonts w:hint="eastAsia"/>
                <w:b/>
                <w:bCs/>
                <w:snapToGrid w:val="0"/>
                <w:kern w:val="0"/>
                <w:szCs w:val="21"/>
              </w:rPr>
              <w:t>价格标（G）</w:t>
            </w:r>
          </w:p>
          <w:p>
            <w:pPr>
              <w:adjustRightInd w:val="0"/>
              <w:spacing w:line="300" w:lineRule="auto"/>
              <w:jc w:val="center"/>
              <w:rPr>
                <w:b/>
                <w:bCs/>
                <w:snapToGrid w:val="0"/>
                <w:kern w:val="0"/>
                <w:szCs w:val="21"/>
              </w:rPr>
            </w:pPr>
            <w:r>
              <w:rPr>
                <w:rFonts w:hint="eastAsia"/>
                <w:b/>
                <w:bCs/>
                <w:snapToGrid w:val="0"/>
                <w:kern w:val="0"/>
                <w:szCs w:val="21"/>
              </w:rPr>
              <w:t>（总分30分）</w:t>
            </w: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投标总价</w:t>
            </w:r>
          </w:p>
        </w:tc>
        <w:tc>
          <w:tcPr>
            <w:tcW w:w="892" w:type="dxa"/>
            <w:tcBorders>
              <w:bottom w:val="single" w:color="auto" w:sz="4" w:space="0"/>
            </w:tcBorders>
            <w:vAlign w:val="center"/>
          </w:tcPr>
          <w:p>
            <w:pPr>
              <w:widowControl/>
              <w:spacing w:line="288" w:lineRule="auto"/>
              <w:rPr>
                <w:rFonts w:ascii="宋体" w:hAnsi="宋体"/>
                <w:snapToGrid w:val="0"/>
                <w:kern w:val="0"/>
                <w:szCs w:val="21"/>
              </w:rPr>
            </w:pPr>
            <w:r>
              <w:rPr>
                <w:rFonts w:ascii="宋体" w:hAnsi="宋体"/>
                <w:snapToGrid w:val="0"/>
                <w:kern w:val="0"/>
                <w:szCs w:val="21"/>
              </w:rPr>
              <w:t>30</w:t>
            </w:r>
          </w:p>
        </w:tc>
        <w:tc>
          <w:tcPr>
            <w:tcW w:w="5361" w:type="dxa"/>
            <w:tcBorders>
              <w:bottom w:val="single" w:color="auto" w:sz="4" w:space="0"/>
              <w:right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价格分按以下方案计算：</w:t>
            </w:r>
          </w:p>
          <w:p>
            <w:pPr>
              <w:widowControl/>
              <w:spacing w:line="288" w:lineRule="auto"/>
              <w:rPr>
                <w:rFonts w:ascii="宋体" w:hAnsi="宋体"/>
                <w:snapToGrid w:val="0"/>
                <w:kern w:val="0"/>
                <w:szCs w:val="21"/>
              </w:rPr>
            </w:pPr>
            <w:r>
              <w:rPr>
                <w:rFonts w:hint="eastAsia" w:ascii="宋体" w:hAnsi="宋体"/>
                <w:snapToGrid w:val="0"/>
                <w:kern w:val="0"/>
                <w:szCs w:val="21"/>
              </w:rPr>
              <w:t>投标报价得分= Z/Sn×30</w:t>
            </w:r>
          </w:p>
          <w:p>
            <w:pPr>
              <w:widowControl/>
              <w:spacing w:line="288" w:lineRule="auto"/>
              <w:rPr>
                <w:rFonts w:ascii="宋体" w:hAnsi="宋体"/>
                <w:snapToGrid w:val="0"/>
                <w:kern w:val="0"/>
                <w:szCs w:val="21"/>
              </w:rPr>
            </w:pPr>
            <w:r>
              <w:rPr>
                <w:rFonts w:hint="eastAsia" w:ascii="宋体" w:hAnsi="宋体"/>
                <w:snapToGrid w:val="0"/>
                <w:kern w:val="0"/>
                <w:szCs w:val="21"/>
              </w:rPr>
              <w:t>其中： Z --评标基准价，即通过资格性审查和符合性审查且投标价格最低的投标报价</w:t>
            </w:r>
          </w:p>
          <w:p>
            <w:pPr>
              <w:widowControl/>
              <w:spacing w:line="288" w:lineRule="auto"/>
              <w:rPr>
                <w:rFonts w:ascii="宋体" w:hAnsi="宋体"/>
                <w:snapToGrid w:val="0"/>
                <w:kern w:val="0"/>
                <w:szCs w:val="21"/>
              </w:rPr>
            </w:pPr>
            <w:r>
              <w:rPr>
                <w:rFonts w:hint="eastAsia" w:ascii="宋体" w:hAnsi="宋体"/>
                <w:snapToGrid w:val="0"/>
                <w:kern w:val="0"/>
                <w:szCs w:val="21"/>
              </w:rPr>
              <w:tab/>
            </w:r>
            <w:r>
              <w:rPr>
                <w:rFonts w:hint="eastAsia" w:ascii="宋体" w:hAnsi="宋体"/>
                <w:snapToGrid w:val="0"/>
                <w:kern w:val="0"/>
                <w:szCs w:val="21"/>
              </w:rPr>
              <w:t xml:space="preserve">  Sn ---投标报价，即通过资格性审查和符合性审查的投标报价。</w:t>
            </w:r>
          </w:p>
          <w:p>
            <w:pPr>
              <w:widowControl/>
              <w:spacing w:line="288" w:lineRule="auto"/>
              <w:rPr>
                <w:rFonts w:ascii="宋体" w:hAnsi="宋体"/>
                <w:snapToGrid w:val="0"/>
                <w:kern w:val="0"/>
                <w:szCs w:val="21"/>
              </w:rPr>
            </w:pPr>
            <w:r>
              <w:rPr>
                <w:rFonts w:hint="eastAsia" w:ascii="宋体" w:hAnsi="宋体"/>
                <w:snapToGrid w:val="0"/>
                <w:kern w:val="0"/>
                <w:szCs w:val="21"/>
              </w:rPr>
              <w:t>注：对于符合“26.4.3评标优惠政策”的投标，以调整后的价格计算评标基准价和投标报价。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dxa"/>
            <w:vMerge w:val="restart"/>
            <w:tcBorders>
              <w:left w:val="double" w:color="auto" w:sz="4" w:space="0"/>
            </w:tcBorders>
            <w:vAlign w:val="center"/>
          </w:tcPr>
          <w:p>
            <w:pPr>
              <w:adjustRightInd w:val="0"/>
              <w:spacing w:line="300" w:lineRule="auto"/>
              <w:jc w:val="center"/>
              <w:rPr>
                <w:b/>
                <w:bCs/>
                <w:snapToGrid w:val="0"/>
                <w:kern w:val="0"/>
                <w:szCs w:val="21"/>
              </w:rPr>
            </w:pPr>
            <w:r>
              <w:rPr>
                <w:rFonts w:hint="eastAsia"/>
                <w:b/>
                <w:bCs/>
                <w:snapToGrid w:val="0"/>
                <w:kern w:val="0"/>
                <w:szCs w:val="21"/>
              </w:rPr>
              <w:t>商务标（S）</w:t>
            </w:r>
          </w:p>
          <w:p>
            <w:pPr>
              <w:adjustRightInd w:val="0"/>
              <w:spacing w:line="300" w:lineRule="auto"/>
              <w:jc w:val="center"/>
              <w:rPr>
                <w:b/>
                <w:bCs/>
                <w:snapToGrid w:val="0"/>
                <w:kern w:val="0"/>
                <w:szCs w:val="21"/>
              </w:rPr>
            </w:pPr>
            <w:r>
              <w:rPr>
                <w:rFonts w:hint="eastAsia"/>
                <w:b/>
                <w:bCs/>
                <w:snapToGrid w:val="0"/>
                <w:kern w:val="0"/>
                <w:szCs w:val="21"/>
              </w:rPr>
              <w:t>（总分</w:t>
            </w:r>
            <w:r>
              <w:rPr>
                <w:b/>
                <w:bCs/>
                <w:snapToGrid w:val="0"/>
                <w:kern w:val="0"/>
                <w:szCs w:val="21"/>
              </w:rPr>
              <w:t>22</w:t>
            </w:r>
            <w:r>
              <w:rPr>
                <w:rFonts w:hint="eastAsia"/>
                <w:b/>
                <w:bCs/>
                <w:snapToGrid w:val="0"/>
                <w:kern w:val="0"/>
                <w:szCs w:val="21"/>
              </w:rPr>
              <w:t>分）</w:t>
            </w: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免费保修期内售后服务条款偏离情况</w:t>
            </w:r>
          </w:p>
        </w:tc>
        <w:tc>
          <w:tcPr>
            <w:tcW w:w="892" w:type="dxa"/>
            <w:tcBorders>
              <w:right w:val="single" w:color="auto" w:sz="4" w:space="0"/>
            </w:tcBorders>
            <w:vAlign w:val="center"/>
          </w:tcPr>
          <w:p>
            <w:pPr>
              <w:widowControl/>
              <w:adjustRightInd w:val="0"/>
              <w:spacing w:line="288" w:lineRule="auto"/>
              <w:rPr>
                <w:rFonts w:ascii="宋体" w:hAnsi="宋体"/>
                <w:snapToGrid w:val="0"/>
                <w:kern w:val="0"/>
                <w:szCs w:val="21"/>
              </w:rPr>
            </w:pPr>
            <w:r>
              <w:rPr>
                <w:rFonts w:ascii="宋体" w:hAnsi="宋体"/>
                <w:snapToGrid w:val="0"/>
                <w:kern w:val="0"/>
                <w:szCs w:val="21"/>
              </w:rPr>
              <w:t>3</w:t>
            </w:r>
          </w:p>
        </w:tc>
        <w:tc>
          <w:tcPr>
            <w:tcW w:w="5361" w:type="dxa"/>
            <w:tcBorders>
              <w:left w:val="single" w:color="auto" w:sz="4" w:space="0"/>
              <w:right w:val="double" w:color="auto" w:sz="4" w:space="0"/>
            </w:tcBorders>
            <w:vAlign w:val="center"/>
          </w:tcPr>
          <w:p>
            <w:pPr>
              <w:widowControl/>
              <w:spacing w:line="288" w:lineRule="auto"/>
              <w:textAlignment w:val="center"/>
              <w:rPr>
                <w:rFonts w:ascii="宋体" w:hAnsi="宋体"/>
                <w:snapToGrid w:val="0"/>
                <w:kern w:val="0"/>
                <w:szCs w:val="21"/>
              </w:rPr>
            </w:pPr>
            <w:r>
              <w:rPr>
                <w:rFonts w:ascii="宋体" w:hAnsi="宋体"/>
                <w:snapToGrid w:val="0"/>
                <w:kern w:val="0"/>
                <w:szCs w:val="21"/>
              </w:rPr>
              <w:t>投标人应如实填写《</w:t>
            </w:r>
            <w:r>
              <w:rPr>
                <w:rFonts w:hint="eastAsia" w:ascii="宋体" w:hAnsi="宋体"/>
                <w:snapToGrid w:val="0"/>
                <w:kern w:val="0"/>
                <w:szCs w:val="21"/>
              </w:rPr>
              <w:t>商务条款偏离表</w:t>
            </w:r>
            <w:r>
              <w:rPr>
                <w:rFonts w:ascii="宋体" w:hAnsi="宋体"/>
                <w:snapToGrid w:val="0"/>
                <w:kern w:val="0"/>
                <w:szCs w:val="21"/>
              </w:rPr>
              <w:t>》，评审委员会根据响应情况进行打分</w:t>
            </w:r>
            <w:r>
              <w:rPr>
                <w:rFonts w:hint="eastAsia" w:ascii="宋体" w:hAnsi="宋体"/>
                <w:snapToGrid w:val="0"/>
                <w:kern w:val="0"/>
                <w:szCs w:val="21"/>
              </w:rPr>
              <w:t>:</w:t>
            </w:r>
            <w:r>
              <w:rPr>
                <w:rFonts w:ascii="宋体" w:hAnsi="宋体"/>
                <w:snapToGrid w:val="0"/>
                <w:kern w:val="0"/>
                <w:szCs w:val="21"/>
              </w:rPr>
              <w:t>全部满足要求的得3分，每负偏离一项扣1分</w:t>
            </w:r>
            <w:r>
              <w:rPr>
                <w:rFonts w:hint="eastAsia" w:ascii="宋体" w:hAnsi="宋体"/>
                <w:snapToGrid w:val="0"/>
                <w:kern w:val="0"/>
                <w:szCs w:val="21"/>
              </w:rPr>
              <w:t>，扣完为止</w:t>
            </w:r>
            <w:r>
              <w:rPr>
                <w:rFonts w:ascii="宋体" w:hAnsi="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7" w:type="dxa"/>
            <w:vMerge w:val="continue"/>
            <w:tcBorders>
              <w:left w:val="double" w:color="auto" w:sz="4" w:space="0"/>
            </w:tcBorders>
            <w:vAlign w:val="center"/>
          </w:tcPr>
          <w:p>
            <w:pPr>
              <w:adjustRightInd w:val="0"/>
              <w:spacing w:line="300" w:lineRule="auto"/>
              <w:jc w:val="center"/>
              <w:rPr>
                <w:b/>
                <w:bCs/>
                <w:snapToGrid w:val="0"/>
                <w:kern w:val="0"/>
                <w:szCs w:val="21"/>
              </w:rPr>
            </w:pPr>
          </w:p>
        </w:tc>
        <w:tc>
          <w:tcPr>
            <w:tcW w:w="1148" w:type="dxa"/>
            <w:vAlign w:val="center"/>
          </w:tcPr>
          <w:p>
            <w:pPr>
              <w:widowControl/>
              <w:spacing w:line="288" w:lineRule="auto"/>
              <w:rPr>
                <w:rFonts w:ascii="宋体" w:hAnsi="宋体"/>
                <w:snapToGrid w:val="0"/>
                <w:kern w:val="0"/>
                <w:szCs w:val="21"/>
              </w:rPr>
            </w:pPr>
            <w:r>
              <w:rPr>
                <w:rFonts w:ascii="宋体" w:hAnsi="宋体"/>
                <w:snapToGrid w:val="0"/>
                <w:kern w:val="0"/>
                <w:szCs w:val="21"/>
              </w:rPr>
              <w:t>其他商务条款偏离情况</w:t>
            </w:r>
          </w:p>
        </w:tc>
        <w:tc>
          <w:tcPr>
            <w:tcW w:w="892" w:type="dxa"/>
            <w:tcBorders>
              <w:right w:val="single" w:color="auto" w:sz="4" w:space="0"/>
            </w:tcBorders>
            <w:vAlign w:val="center"/>
          </w:tcPr>
          <w:p>
            <w:pPr>
              <w:widowControl/>
              <w:spacing w:line="288" w:lineRule="auto"/>
              <w:rPr>
                <w:rFonts w:ascii="宋体" w:hAnsi="宋体"/>
                <w:snapToGrid w:val="0"/>
                <w:kern w:val="0"/>
                <w:szCs w:val="21"/>
              </w:rPr>
            </w:pPr>
            <w:r>
              <w:rPr>
                <w:rFonts w:ascii="宋体" w:hAnsi="宋体"/>
                <w:snapToGrid w:val="0"/>
                <w:kern w:val="0"/>
                <w:szCs w:val="21"/>
              </w:rPr>
              <w:t>2</w:t>
            </w:r>
          </w:p>
        </w:tc>
        <w:tc>
          <w:tcPr>
            <w:tcW w:w="5361" w:type="dxa"/>
            <w:tcBorders>
              <w:left w:val="single" w:color="auto" w:sz="4" w:space="0"/>
              <w:right w:val="double" w:color="auto" w:sz="4" w:space="0"/>
            </w:tcBorders>
            <w:vAlign w:val="center"/>
          </w:tcPr>
          <w:p>
            <w:pPr>
              <w:snapToGrid w:val="0"/>
              <w:spacing w:line="288" w:lineRule="auto"/>
              <w:rPr>
                <w:rFonts w:ascii="宋体" w:hAnsi="宋体"/>
                <w:snapToGrid w:val="0"/>
                <w:kern w:val="0"/>
                <w:szCs w:val="21"/>
              </w:rPr>
            </w:pPr>
            <w:r>
              <w:rPr>
                <w:rFonts w:ascii="宋体" w:hAnsi="宋体"/>
                <w:snapToGrid w:val="0"/>
                <w:kern w:val="0"/>
                <w:szCs w:val="21"/>
              </w:rPr>
              <w:t>投标人应如实填写《</w:t>
            </w:r>
            <w:r>
              <w:rPr>
                <w:rFonts w:hint="eastAsia" w:ascii="宋体" w:hAnsi="宋体"/>
                <w:snapToGrid w:val="0"/>
                <w:kern w:val="0"/>
                <w:szCs w:val="21"/>
              </w:rPr>
              <w:t>商务条款偏离表</w:t>
            </w:r>
            <w:r>
              <w:rPr>
                <w:rFonts w:ascii="宋体" w:hAnsi="宋体"/>
                <w:snapToGrid w:val="0"/>
                <w:kern w:val="0"/>
                <w:szCs w:val="21"/>
              </w:rPr>
              <w:t>》，评审委员会根据响应情况进行打分，全部满足要求的得2分，每负偏离一项扣1分</w:t>
            </w:r>
            <w:r>
              <w:rPr>
                <w:rFonts w:hint="eastAsia" w:ascii="宋体" w:hAnsi="宋体"/>
                <w:snapToGrid w:val="0"/>
                <w:kern w:val="0"/>
                <w:szCs w:val="21"/>
              </w:rPr>
              <w:t>，扣完为止</w:t>
            </w:r>
            <w:r>
              <w:rPr>
                <w:rFonts w:ascii="宋体" w:hAnsi="宋体"/>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1117" w:type="dxa"/>
            <w:vMerge w:val="continue"/>
            <w:tcBorders>
              <w:left w:val="double" w:color="auto" w:sz="4" w:space="0"/>
            </w:tcBorders>
            <w:vAlign w:val="center"/>
          </w:tcPr>
          <w:p>
            <w:pPr>
              <w:adjustRightInd w:val="0"/>
              <w:spacing w:line="300" w:lineRule="auto"/>
              <w:jc w:val="center"/>
              <w:rPr>
                <w:b/>
                <w:bCs/>
                <w:snapToGrid w:val="0"/>
                <w:kern w:val="0"/>
                <w:sz w:val="18"/>
              </w:rPr>
            </w:pP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诚信</w:t>
            </w:r>
          </w:p>
        </w:tc>
        <w:tc>
          <w:tcPr>
            <w:tcW w:w="892" w:type="dxa"/>
            <w:tcBorders>
              <w:right w:val="sing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5</w:t>
            </w:r>
          </w:p>
        </w:tc>
        <w:tc>
          <w:tcPr>
            <w:tcW w:w="5361" w:type="dxa"/>
            <w:tcBorders>
              <w:left w:val="single" w:color="auto" w:sz="4" w:space="0"/>
              <w:right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根据《深圳市财政委员会关于印发〈深圳市政府采购供应商诚信管理暂行办法操作细则〉的通知》（深财购[2017]42号）的要求，投标人参与政府采购活动在诚信管理中受过主管部门通报处理且仍在实施期限内的本项不得分，否则得满分。</w:t>
            </w:r>
          </w:p>
          <w:p>
            <w:pPr>
              <w:adjustRightInd w:val="0"/>
              <w:spacing w:line="288" w:lineRule="auto"/>
              <w:rPr>
                <w:rFonts w:ascii="宋体" w:hAnsi="宋体"/>
                <w:snapToGrid w:val="0"/>
                <w:kern w:val="0"/>
                <w:szCs w:val="21"/>
              </w:rPr>
            </w:pPr>
            <w:r>
              <w:rPr>
                <w:rFonts w:hint="eastAsia" w:ascii="宋体" w:hAnsi="宋体"/>
                <w:snapToGrid w:val="0"/>
                <w:kern w:val="0"/>
                <w:szCs w:val="21"/>
              </w:rPr>
              <w:t>【须提供《诚信承诺函》，按招标文件格式要求提供，否则不得分。存在不诚信情况的应不提供该承诺函并如实说明情况，如被认定提供的陈述与事实不符的，依法追究其责任】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117" w:type="dxa"/>
            <w:vMerge w:val="continue"/>
            <w:tcBorders>
              <w:left w:val="double" w:color="auto" w:sz="4" w:space="0"/>
            </w:tcBorders>
            <w:vAlign w:val="center"/>
          </w:tcPr>
          <w:p>
            <w:pPr>
              <w:adjustRightInd w:val="0"/>
              <w:spacing w:line="300" w:lineRule="auto"/>
              <w:jc w:val="center"/>
              <w:rPr>
                <w:b/>
                <w:bCs/>
                <w:snapToGrid w:val="0"/>
                <w:kern w:val="0"/>
                <w:sz w:val="18"/>
              </w:rPr>
            </w:pP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履约</w:t>
            </w:r>
          </w:p>
        </w:tc>
        <w:tc>
          <w:tcPr>
            <w:tcW w:w="892" w:type="dxa"/>
            <w:tcBorders>
              <w:right w:val="sing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2</w:t>
            </w:r>
          </w:p>
        </w:tc>
        <w:tc>
          <w:tcPr>
            <w:tcW w:w="5361" w:type="dxa"/>
            <w:tcBorders>
              <w:left w:val="single" w:color="auto" w:sz="4" w:space="0"/>
              <w:right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近三年（以投标截止日期为准）投标人在参与深圳市政府采购活动中存在履约评价为差的记录，本项不得分，未出现相关履约问题的得满分。</w:t>
            </w:r>
          </w:p>
          <w:p>
            <w:pPr>
              <w:adjustRightInd w:val="0"/>
              <w:spacing w:line="288" w:lineRule="auto"/>
              <w:rPr>
                <w:rFonts w:ascii="宋体" w:hAnsi="宋体"/>
                <w:snapToGrid w:val="0"/>
                <w:kern w:val="0"/>
                <w:szCs w:val="21"/>
              </w:rPr>
            </w:pPr>
            <w:r>
              <w:rPr>
                <w:rFonts w:hint="eastAsia" w:ascii="宋体" w:hAnsi="宋体"/>
                <w:snapToGrid w:val="0"/>
                <w:kern w:val="0"/>
                <w:szCs w:val="21"/>
              </w:rPr>
              <w:t>【投标人须按招标文件格式提供《履约评价情况承诺函》原件加盖投标人公章进行说明，否则不得分。如若投标人承诺与实际情况不相符，将按照虚假投标的情况报相关主管部门处理。】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117" w:type="dxa"/>
            <w:vMerge w:val="continue"/>
            <w:tcBorders>
              <w:left w:val="double" w:color="auto" w:sz="4" w:space="0"/>
            </w:tcBorders>
            <w:vAlign w:val="center"/>
          </w:tcPr>
          <w:p>
            <w:pPr>
              <w:adjustRightInd w:val="0"/>
              <w:spacing w:line="300" w:lineRule="auto"/>
              <w:jc w:val="center"/>
              <w:rPr>
                <w:b/>
                <w:bCs/>
                <w:snapToGrid w:val="0"/>
                <w:kern w:val="0"/>
                <w:sz w:val="18"/>
              </w:rPr>
            </w:pPr>
          </w:p>
        </w:tc>
        <w:tc>
          <w:tcPr>
            <w:tcW w:w="1148" w:type="dxa"/>
            <w:vAlign w:val="center"/>
          </w:tcPr>
          <w:p>
            <w:pPr>
              <w:widowControl/>
              <w:spacing w:line="288" w:lineRule="auto"/>
              <w:rPr>
                <w:rFonts w:ascii="宋体" w:hAnsi="宋体"/>
                <w:snapToGrid w:val="0"/>
                <w:kern w:val="0"/>
                <w:szCs w:val="21"/>
              </w:rPr>
            </w:pPr>
            <w:r>
              <w:rPr>
                <w:rFonts w:hint="eastAsia" w:ascii="宋体" w:hAnsi="宋体"/>
                <w:snapToGrid w:val="0"/>
                <w:kern w:val="0"/>
                <w:szCs w:val="21"/>
              </w:rPr>
              <w:t>综合实力</w:t>
            </w:r>
          </w:p>
        </w:tc>
        <w:tc>
          <w:tcPr>
            <w:tcW w:w="892" w:type="dxa"/>
            <w:tcBorders>
              <w:right w:val="single" w:color="auto" w:sz="4" w:space="0"/>
            </w:tcBorders>
            <w:vAlign w:val="center"/>
          </w:tcPr>
          <w:p>
            <w:pPr>
              <w:widowControl/>
              <w:spacing w:line="288" w:lineRule="auto"/>
              <w:rPr>
                <w:rFonts w:ascii="宋体" w:hAnsi="宋体"/>
                <w:snapToGrid w:val="0"/>
                <w:kern w:val="0"/>
                <w:szCs w:val="21"/>
              </w:rPr>
            </w:pPr>
            <w:r>
              <w:rPr>
                <w:rFonts w:ascii="宋体" w:hAnsi="宋体"/>
                <w:snapToGrid w:val="0"/>
                <w:kern w:val="0"/>
                <w:szCs w:val="21"/>
              </w:rPr>
              <w:t>10</w:t>
            </w:r>
          </w:p>
        </w:tc>
        <w:tc>
          <w:tcPr>
            <w:tcW w:w="5361" w:type="dxa"/>
            <w:tcBorders>
              <w:left w:val="single" w:color="auto" w:sz="4" w:space="0"/>
              <w:right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投标人近三年同类业绩（以合同时间为准，截止日为本项目公告发布之日）提供4个深圳区域三甲医院云</w:t>
            </w:r>
            <w:r>
              <w:rPr>
                <w:rFonts w:ascii="宋体" w:hAnsi="宋体"/>
                <w:snapToGrid w:val="0"/>
                <w:kern w:val="0"/>
                <w:szCs w:val="21"/>
              </w:rPr>
              <w:t>签署</w:t>
            </w:r>
            <w:r>
              <w:rPr>
                <w:rFonts w:hint="eastAsia" w:ascii="宋体" w:hAnsi="宋体"/>
                <w:snapToGrid w:val="0"/>
                <w:kern w:val="0"/>
                <w:szCs w:val="21"/>
              </w:rPr>
              <w:t>业绩即得满分，提供1个得2.5分，未提供或提供的合同非三甲医院的不得分。投标人必须在投标文件中提供每一个完工项目的合同关键页，否则不得分。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1117" w:type="dxa"/>
            <w:tcBorders>
              <w:left w:val="double" w:color="auto" w:sz="4" w:space="0"/>
              <w:bottom w:val="double" w:color="auto" w:sz="4" w:space="0"/>
            </w:tcBorders>
            <w:vAlign w:val="center"/>
          </w:tcPr>
          <w:p>
            <w:pPr>
              <w:jc w:val="center"/>
              <w:rPr>
                <w:rFonts w:ascii="宋体" w:hAnsi="宋体"/>
                <w:b/>
                <w:snapToGrid w:val="0"/>
                <w:kern w:val="0"/>
                <w:szCs w:val="21"/>
              </w:rPr>
            </w:pPr>
            <w:r>
              <w:rPr>
                <w:rFonts w:hint="eastAsia" w:ascii="宋体" w:hAnsi="宋体"/>
                <w:b/>
                <w:snapToGrid w:val="0"/>
                <w:kern w:val="0"/>
                <w:szCs w:val="21"/>
              </w:rPr>
              <w:t>总得分（N）</w:t>
            </w:r>
          </w:p>
          <w:p>
            <w:pPr>
              <w:adjustRightInd w:val="0"/>
              <w:snapToGrid w:val="0"/>
              <w:spacing w:line="300" w:lineRule="auto"/>
              <w:jc w:val="center"/>
              <w:rPr>
                <w:rFonts w:ascii="宋体" w:hAnsi="宋体"/>
                <w:b/>
                <w:snapToGrid w:val="0"/>
                <w:kern w:val="0"/>
                <w:szCs w:val="21"/>
              </w:rPr>
            </w:pPr>
            <w:r>
              <w:rPr>
                <w:rFonts w:hint="eastAsia" w:ascii="宋体" w:hAnsi="宋体"/>
                <w:b/>
                <w:snapToGrid w:val="0"/>
                <w:kern w:val="0"/>
                <w:szCs w:val="21"/>
              </w:rPr>
              <w:t>总分100分</w:t>
            </w:r>
          </w:p>
        </w:tc>
        <w:tc>
          <w:tcPr>
            <w:tcW w:w="1148" w:type="dxa"/>
            <w:tcBorders>
              <w:bottom w:val="double" w:color="auto" w:sz="4" w:space="0"/>
            </w:tcBorders>
            <w:vAlign w:val="center"/>
          </w:tcPr>
          <w:p>
            <w:pPr>
              <w:widowControl/>
              <w:spacing w:line="288" w:lineRule="auto"/>
              <w:rPr>
                <w:rFonts w:ascii="宋体" w:hAnsi="宋体"/>
                <w:snapToGrid w:val="0"/>
                <w:kern w:val="0"/>
                <w:szCs w:val="21"/>
              </w:rPr>
            </w:pPr>
          </w:p>
        </w:tc>
        <w:tc>
          <w:tcPr>
            <w:tcW w:w="892" w:type="dxa"/>
            <w:tcBorders>
              <w:bottom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100</w:t>
            </w:r>
          </w:p>
        </w:tc>
        <w:tc>
          <w:tcPr>
            <w:tcW w:w="5361" w:type="dxa"/>
            <w:tcBorders>
              <w:bottom w:val="double" w:color="auto" w:sz="4" w:space="0"/>
              <w:right w:val="double" w:color="auto" w:sz="4" w:space="0"/>
            </w:tcBorders>
            <w:vAlign w:val="center"/>
          </w:tcPr>
          <w:p>
            <w:pPr>
              <w:widowControl/>
              <w:spacing w:line="288" w:lineRule="auto"/>
              <w:rPr>
                <w:rFonts w:ascii="宋体" w:hAnsi="宋体"/>
                <w:snapToGrid w:val="0"/>
                <w:kern w:val="0"/>
                <w:szCs w:val="21"/>
              </w:rPr>
            </w:pPr>
            <w:r>
              <w:rPr>
                <w:rFonts w:hint="eastAsia" w:ascii="宋体" w:hAnsi="宋体"/>
                <w:snapToGrid w:val="0"/>
                <w:kern w:val="0"/>
                <w:szCs w:val="21"/>
              </w:rPr>
              <w:t>N=J+G+S</w:t>
            </w:r>
          </w:p>
        </w:tc>
      </w:tr>
    </w:tbl>
    <w:p>
      <w:pPr>
        <w:spacing w:line="360" w:lineRule="auto"/>
        <w:ind w:firstLine="482" w:firstLineChars="200"/>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u w:val="single"/>
        </w:rPr>
      </w:pPr>
    </w:p>
    <w:p>
      <w:pPr>
        <w:pStyle w:val="2"/>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34"/>
        <w:gridCol w:w="893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34"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项目背景</w:t>
            </w:r>
            <w:r>
              <w:rPr>
                <w:rFonts w:cs="宋体" w:asciiTheme="minorEastAsia" w:hAnsiTheme="minorEastAsia" w:eastAsiaTheme="minorEastAsia"/>
                <w:kern w:val="0"/>
                <w:sz w:val="24"/>
                <w:szCs w:val="24"/>
              </w:rPr>
              <w:t xml:space="preserve"> </w:t>
            </w:r>
          </w:p>
        </w:tc>
        <w:tc>
          <w:tcPr>
            <w:tcW w:w="8931" w:type="dxa"/>
            <w:tcBorders>
              <w:top w:val="single" w:color="auto" w:sz="6" w:space="0"/>
              <w:left w:val="single" w:color="auto" w:sz="6" w:space="0"/>
              <w:bottom w:val="nil"/>
              <w:right w:val="nil"/>
            </w:tcBorders>
            <w:vAlign w:val="center"/>
          </w:tcPr>
          <w:p>
            <w:pPr>
              <w:ind w:firstLine="420" w:firstLineChars="200"/>
              <w:rPr>
                <w:rFonts w:eastAsiaTheme="minorHAnsi"/>
                <w:kern w:val="0"/>
                <w:szCs w:val="21"/>
              </w:rPr>
            </w:pPr>
            <w:r>
              <w:rPr>
                <w:rFonts w:hint="eastAsia" w:eastAsiaTheme="minorHAnsi"/>
                <w:kern w:val="0"/>
                <w:szCs w:val="21"/>
              </w:rPr>
              <w:t>深圳市儿童医院是一家综合型专科医院，承担着深圳及周边几个城市的医疗健康保障，随着全院医疗信息化系统应用业务的不断扩展，需要有效提高医院诊断质量和时效能力，更好地为科研和临床服务，为实现智慧医院完成无纸化建设。</w:t>
            </w:r>
          </w:p>
          <w:p>
            <w:pPr>
              <w:ind w:firstLine="420" w:firstLineChars="200"/>
              <w:rPr>
                <w:rFonts w:eastAsiaTheme="minorHAnsi"/>
                <w:kern w:val="0"/>
                <w:szCs w:val="21"/>
                <w:highlight w:val="green"/>
              </w:rPr>
            </w:pPr>
            <w:r>
              <w:rPr>
                <w:rFonts w:hint="eastAsia" w:eastAsiaTheme="minorHAnsi"/>
                <w:kern w:val="0"/>
                <w:szCs w:val="21"/>
              </w:rPr>
              <w:t>随着无纸化建设的推进，CA认证在医院业务的全面推广应用，近期临床业务出现了一些极需解决的问题：：</w:t>
            </w:r>
          </w:p>
          <w:p>
            <w:pPr>
              <w:rPr>
                <w:rFonts w:eastAsiaTheme="minorEastAsia"/>
                <w:szCs w:val="21"/>
              </w:rPr>
            </w:pPr>
            <w:r>
              <w:rPr>
                <w:szCs w:val="21"/>
              </w:rPr>
              <w:t>1</w:t>
            </w:r>
            <w:r>
              <w:rPr>
                <w:rFonts w:hint="eastAsia"/>
                <w:szCs w:val="21"/>
              </w:rPr>
              <w:t>、</w:t>
            </w:r>
            <w:r>
              <w:rPr>
                <w:szCs w:val="21"/>
              </w:rPr>
              <w:t>CA</w:t>
            </w:r>
            <w:r>
              <w:rPr>
                <w:rFonts w:hint="eastAsia"/>
                <w:szCs w:val="21"/>
              </w:rPr>
              <w:t>认证使用量增加后，</w:t>
            </w:r>
            <w:r>
              <w:rPr>
                <w:szCs w:val="21"/>
              </w:rPr>
              <w:t>CA</w:t>
            </w:r>
            <w:r>
              <w:rPr>
                <w:rFonts w:hint="eastAsia"/>
                <w:szCs w:val="21"/>
              </w:rPr>
              <w:t>认证服务多次出现自动宕机</w:t>
            </w:r>
          </w:p>
          <w:p>
            <w:pPr>
              <w:numPr>
                <w:ilvl w:val="0"/>
                <w:numId w:val="1"/>
              </w:numPr>
              <w:rPr>
                <w:szCs w:val="21"/>
              </w:rPr>
            </w:pPr>
            <w:r>
              <w:rPr>
                <w:rFonts w:hint="eastAsia"/>
                <w:szCs w:val="21"/>
              </w:rPr>
              <w:t>业务使用量增加前，日登录数</w:t>
            </w:r>
            <w:r>
              <w:rPr>
                <w:szCs w:val="21"/>
              </w:rPr>
              <w:t>1000</w:t>
            </w:r>
            <w:r>
              <w:rPr>
                <w:rFonts w:hint="eastAsia"/>
                <w:szCs w:val="21"/>
              </w:rPr>
              <w:t>左右，业务使用量增加后，日登录数</w:t>
            </w:r>
            <w:r>
              <w:rPr>
                <w:szCs w:val="21"/>
              </w:rPr>
              <w:t>3000~5000</w:t>
            </w:r>
          </w:p>
          <w:p>
            <w:pPr>
              <w:numPr>
                <w:ilvl w:val="0"/>
                <w:numId w:val="1"/>
              </w:numPr>
              <w:rPr>
                <w:szCs w:val="21"/>
              </w:rPr>
            </w:pPr>
            <w:r>
              <w:rPr>
                <w:rFonts w:hint="eastAsia"/>
                <w:szCs w:val="21"/>
              </w:rPr>
              <w:t>业务使用量增加前，日签名数</w:t>
            </w:r>
            <w:r>
              <w:rPr>
                <w:szCs w:val="21"/>
              </w:rPr>
              <w:t>20000</w:t>
            </w:r>
            <w:r>
              <w:rPr>
                <w:rFonts w:hint="eastAsia"/>
                <w:szCs w:val="21"/>
              </w:rPr>
              <w:t>左右，业务使用量增加后，日签名数</w:t>
            </w:r>
            <w:r>
              <w:rPr>
                <w:szCs w:val="21"/>
              </w:rPr>
              <w:t>60000~70000</w:t>
            </w:r>
          </w:p>
          <w:p>
            <w:pPr>
              <w:rPr>
                <w:szCs w:val="21"/>
              </w:rPr>
            </w:pPr>
            <w:r>
              <w:rPr>
                <w:szCs w:val="21"/>
              </w:rPr>
              <w:t>2</w:t>
            </w:r>
            <w:r>
              <w:rPr>
                <w:rFonts w:hint="eastAsia"/>
                <w:szCs w:val="21"/>
              </w:rPr>
              <w:t>、</w:t>
            </w:r>
            <w:r>
              <w:rPr>
                <w:szCs w:val="21"/>
              </w:rPr>
              <w:t>CA</w:t>
            </w:r>
            <w:r>
              <w:rPr>
                <w:rFonts w:hint="eastAsia"/>
                <w:szCs w:val="21"/>
              </w:rPr>
              <w:t>认证使用量增加后，</w:t>
            </w:r>
            <w:r>
              <w:rPr>
                <w:szCs w:val="21"/>
              </w:rPr>
              <w:t>CA</w:t>
            </w:r>
            <w:r>
              <w:rPr>
                <w:rFonts w:hint="eastAsia"/>
                <w:szCs w:val="21"/>
              </w:rPr>
              <w:t>认证服务响应速度变慢；</w:t>
            </w:r>
          </w:p>
          <w:p>
            <w:pPr>
              <w:rPr>
                <w:szCs w:val="21"/>
              </w:rPr>
            </w:pPr>
            <w:r>
              <w:rPr>
                <w:szCs w:val="21"/>
              </w:rPr>
              <w:t>3</w:t>
            </w:r>
            <w:r>
              <w:rPr>
                <w:rFonts w:hint="eastAsia"/>
                <w:szCs w:val="21"/>
              </w:rPr>
              <w:t>、原来</w:t>
            </w:r>
            <w:r>
              <w:rPr>
                <w:szCs w:val="21"/>
              </w:rPr>
              <w:t>CA</w:t>
            </w:r>
            <w:r>
              <w:rPr>
                <w:rFonts w:hint="eastAsia"/>
                <w:szCs w:val="21"/>
              </w:rPr>
              <w:t>认证形态是云签署方式，采用的是云托管服务，这期间，被委托方机房曾多次出现故障，导致医院所有系统都无法登陆而影响了正常业务。</w:t>
            </w:r>
          </w:p>
          <w:p>
            <w:pPr>
              <w:ind w:firstLine="420" w:firstLineChars="200"/>
              <w:rPr>
                <w:szCs w:val="21"/>
              </w:rPr>
            </w:pPr>
            <w:r>
              <w:rPr>
                <w:rFonts w:hint="eastAsia"/>
                <w:szCs w:val="21"/>
              </w:rPr>
              <w:t>因此，</w:t>
            </w:r>
            <w:r>
              <w:rPr>
                <w:szCs w:val="21"/>
              </w:rPr>
              <w:t>CA</w:t>
            </w:r>
            <w:r>
              <w:rPr>
                <w:rFonts w:hint="eastAsia"/>
                <w:szCs w:val="21"/>
              </w:rPr>
              <w:t>认证服务变得至关重要，亟需可靠的高可用方案来解决目前面临的问题，同时，对全院</w:t>
            </w:r>
            <w:r>
              <w:rPr>
                <w:szCs w:val="21"/>
              </w:rPr>
              <w:t>CA</w:t>
            </w:r>
            <w:r>
              <w:rPr>
                <w:rFonts w:hint="eastAsia"/>
                <w:szCs w:val="21"/>
              </w:rPr>
              <w:t>认证服务进行全面升级已刻不容缓。</w:t>
            </w:r>
          </w:p>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kern w:val="0"/>
                <w:szCs w:val="21"/>
              </w:rPr>
              <w:t>另一方面，随着国家颁布《密码法》、深圳市颁发《深圳市电子政务领域基于</w:t>
            </w:r>
            <w:r>
              <w:rPr>
                <w:kern w:val="0"/>
                <w:szCs w:val="21"/>
              </w:rPr>
              <w:t>SM</w:t>
            </w:r>
            <w:r>
              <w:rPr>
                <w:rFonts w:hint="eastAsia"/>
                <w:kern w:val="0"/>
                <w:szCs w:val="21"/>
              </w:rPr>
              <w:t>系列密码算法的数字证书应用升级改造指南》以及电子病历系统功能应用水平六级评价签名规范标准要求，</w:t>
            </w:r>
            <w:r>
              <w:rPr>
                <w:kern w:val="0"/>
                <w:szCs w:val="21"/>
              </w:rPr>
              <w:t>CA</w:t>
            </w:r>
            <w:r>
              <w:rPr>
                <w:rFonts w:hint="eastAsia"/>
                <w:kern w:val="0"/>
                <w:szCs w:val="21"/>
              </w:rPr>
              <w:t>认证设备和软件系统国产密码算法更新也需要逐步加速改造进程。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34" w:type="dxa"/>
            <w:tcBorders>
              <w:top w:val="single" w:color="auto" w:sz="6" w:space="0"/>
              <w:left w:val="single" w:color="auto" w:sz="6" w:space="0"/>
              <w:bottom w:val="nil"/>
              <w:right w:val="nil"/>
            </w:tcBorders>
            <w:vAlign w:val="center"/>
          </w:tcPr>
          <w:p>
            <w:pPr>
              <w:pStyle w:val="41"/>
              <w:outlineLvl w:val="1"/>
              <w:rPr>
                <w:sz w:val="24"/>
              </w:rPr>
            </w:pPr>
            <w:r>
              <w:rPr>
                <w:rFonts w:hint="eastAsia"/>
                <w:sz w:val="24"/>
              </w:rPr>
              <w:t>采购清单</w:t>
            </w:r>
          </w:p>
        </w:tc>
        <w:tc>
          <w:tcPr>
            <w:tcW w:w="8931" w:type="dxa"/>
            <w:tcBorders>
              <w:top w:val="single" w:color="auto" w:sz="6" w:space="0"/>
              <w:left w:val="single" w:color="auto" w:sz="6" w:space="0"/>
              <w:bottom w:val="nil"/>
              <w:right w:val="nil"/>
            </w:tcBorders>
            <w:vAlign w:val="center"/>
          </w:tcPr>
          <w:tbl>
            <w:tblPr>
              <w:tblStyle w:val="12"/>
              <w:tblW w:w="8689"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585"/>
              <w:gridCol w:w="1323"/>
              <w:gridCol w:w="1290"/>
              <w:gridCol w:w="1742"/>
              <w:gridCol w:w="174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9" w:hRule="atLeast"/>
                <w:tblHeader/>
                <w:tblCellSpacing w:w="0" w:type="dxa"/>
              </w:trPr>
              <w:tc>
                <w:tcPr>
                  <w:tcW w:w="258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设备</w:t>
                  </w:r>
                  <w:r>
                    <w:rPr>
                      <w:rFonts w:cs="宋体" w:asciiTheme="minorEastAsia" w:hAnsiTheme="minorEastAsia" w:eastAsiaTheme="minorEastAsia"/>
                      <w:b/>
                      <w:bCs/>
                      <w:color w:val="FF0000"/>
                      <w:kern w:val="0"/>
                      <w:sz w:val="24"/>
                      <w:szCs w:val="24"/>
                    </w:rPr>
                    <w:t xml:space="preserve">名称 </w:t>
                  </w:r>
                </w:p>
              </w:tc>
              <w:tc>
                <w:tcPr>
                  <w:tcW w:w="1323"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color w:val="FF0000"/>
                      <w:kern w:val="0"/>
                      <w:sz w:val="24"/>
                      <w:szCs w:val="24"/>
                    </w:rPr>
                    <w:t>数量</w:t>
                  </w:r>
                </w:p>
              </w:tc>
              <w:tc>
                <w:tcPr>
                  <w:tcW w:w="129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单位</w:t>
                  </w:r>
                </w:p>
              </w:tc>
              <w:tc>
                <w:tcPr>
                  <w:tcW w:w="1742"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color w:val="FF0000"/>
                      <w:kern w:val="0"/>
                      <w:sz w:val="24"/>
                      <w:szCs w:val="24"/>
                    </w:rPr>
                    <w:t>总</w:t>
                  </w:r>
                  <w:r>
                    <w:rPr>
                      <w:rFonts w:cs="宋体" w:asciiTheme="minorEastAsia" w:hAnsiTheme="minorEastAsia" w:eastAsiaTheme="minorEastAsia"/>
                      <w:b/>
                      <w:bCs/>
                      <w:color w:val="FF0000"/>
                      <w:kern w:val="0"/>
                      <w:sz w:val="24"/>
                      <w:szCs w:val="24"/>
                    </w:rPr>
                    <w:t>预算</w:t>
                  </w:r>
                  <w:r>
                    <w:rPr>
                      <w:rFonts w:hint="eastAsia" w:cs="宋体" w:asciiTheme="minorEastAsia" w:hAnsiTheme="minorEastAsia" w:eastAsiaTheme="minorEastAsia"/>
                      <w:b/>
                      <w:bCs/>
                      <w:color w:val="FF0000"/>
                      <w:kern w:val="0"/>
                      <w:sz w:val="24"/>
                      <w:szCs w:val="24"/>
                    </w:rPr>
                    <w:t>金</w:t>
                  </w:r>
                  <w:r>
                    <w:rPr>
                      <w:rFonts w:cs="宋体" w:asciiTheme="minorEastAsia" w:hAnsiTheme="minorEastAsia" w:eastAsiaTheme="minorEastAsia"/>
                      <w:b/>
                      <w:bCs/>
                      <w:color w:val="FF0000"/>
                      <w:kern w:val="0"/>
                      <w:sz w:val="24"/>
                      <w:szCs w:val="24"/>
                    </w:rPr>
                    <w:t>额(元)</w:t>
                  </w:r>
                </w:p>
              </w:tc>
              <w:tc>
                <w:tcPr>
                  <w:tcW w:w="1747"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49" w:hRule="atLeast"/>
                <w:tblCellSpacing w:w="0" w:type="dxa"/>
              </w:trPr>
              <w:tc>
                <w:tcPr>
                  <w:tcW w:w="2585"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sz w:val="24"/>
                      <w:szCs w:val="24"/>
                    </w:rPr>
                    <w:t>深圳市儿童医院CA认证服务高可用升级</w:t>
                  </w:r>
                </w:p>
              </w:tc>
              <w:tc>
                <w:tcPr>
                  <w:tcW w:w="1323"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290"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c>
                <w:tcPr>
                  <w:tcW w:w="1742"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ascii="宋体" w:hAnsi="宋体"/>
                    </w:rPr>
                    <w:t>400,000.00</w:t>
                  </w:r>
                </w:p>
              </w:tc>
              <w:tc>
                <w:tcPr>
                  <w:tcW w:w="1747"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ascii="宋体" w:hAnsi="宋体"/>
                      <w:color w:val="000000"/>
                      <w:kern w:val="0"/>
                      <w:szCs w:val="21"/>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8" w:hRule="atLeast"/>
                <w:tblCellSpacing w:w="0" w:type="dxa"/>
              </w:trPr>
              <w:tc>
                <w:tcPr>
                  <w:tcW w:w="8689"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color w:val="FF0000"/>
                      <w:kern w:val="0"/>
                      <w:sz w:val="24"/>
                      <w:szCs w:val="24"/>
                    </w:rPr>
                  </w:pPr>
                </w:p>
              </w:tc>
            </w:tr>
          </w:tbl>
          <w:p>
            <w:pPr>
              <w:widowControl/>
              <w:jc w:val="left"/>
              <w:rPr>
                <w:rFonts w:cs="宋体" w:asciiTheme="minorEastAsia" w:hAnsiTheme="minorEastAsia" w:eastAsiaTheme="minorEastAsia"/>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34" w:type="dxa"/>
            <w:tcBorders>
              <w:top w:val="single" w:color="auto" w:sz="6" w:space="0"/>
              <w:left w:val="single" w:color="auto" w:sz="6" w:space="0"/>
              <w:bottom w:val="nil"/>
              <w:right w:val="nil"/>
            </w:tcBorders>
            <w:vAlign w:val="center"/>
          </w:tcPr>
          <w:p>
            <w:pPr>
              <w:pStyle w:val="41"/>
              <w:jc w:val="center"/>
              <w:outlineLvl w:val="1"/>
              <w:rPr>
                <w:sz w:val="24"/>
              </w:rPr>
            </w:pPr>
            <w:r>
              <w:rPr>
                <w:rFonts w:hint="eastAsia"/>
                <w:sz w:val="24"/>
              </w:rPr>
              <w:t>详细采购清单</w:t>
            </w:r>
          </w:p>
        </w:tc>
        <w:tc>
          <w:tcPr>
            <w:tcW w:w="8931" w:type="dxa"/>
            <w:tcBorders>
              <w:top w:val="single" w:color="auto" w:sz="6" w:space="0"/>
              <w:left w:val="single" w:color="auto" w:sz="6" w:space="0"/>
              <w:bottom w:val="nil"/>
              <w:right w:val="nil"/>
            </w:tcBorders>
            <w:vAlign w:val="center"/>
          </w:tcPr>
          <w:tbl>
            <w:tblPr>
              <w:tblStyle w:val="12"/>
              <w:tblpPr w:leftFromText="180" w:rightFromText="180" w:vertAnchor="page" w:horzAnchor="margin" w:tblpY="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42"/>
              <w:gridCol w:w="2044"/>
              <w:gridCol w:w="953"/>
              <w:gridCol w:w="12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blHeader/>
              </w:trPr>
              <w:tc>
                <w:tcPr>
                  <w:tcW w:w="795" w:type="dxa"/>
                  <w:shd w:val="clear" w:color="auto" w:fill="C0C0C0"/>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序号</w:t>
                  </w:r>
                </w:p>
              </w:tc>
              <w:tc>
                <w:tcPr>
                  <w:tcW w:w="2742" w:type="dxa"/>
                  <w:shd w:val="clear" w:color="auto" w:fill="C0C0C0"/>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产品名称</w:t>
                  </w:r>
                </w:p>
              </w:tc>
              <w:tc>
                <w:tcPr>
                  <w:tcW w:w="2044" w:type="dxa"/>
                  <w:shd w:val="clear" w:color="auto" w:fill="C0C0C0"/>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数量</w:t>
                  </w:r>
                </w:p>
              </w:tc>
              <w:tc>
                <w:tcPr>
                  <w:tcW w:w="953" w:type="dxa"/>
                  <w:shd w:val="clear" w:color="auto" w:fill="C0C0C0"/>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单位</w:t>
                  </w:r>
                </w:p>
              </w:tc>
              <w:tc>
                <w:tcPr>
                  <w:tcW w:w="1205" w:type="dxa"/>
                  <w:shd w:val="clear" w:color="auto" w:fill="C0C0C0"/>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备注</w:t>
                  </w:r>
                </w:p>
              </w:tc>
              <w:tc>
                <w:tcPr>
                  <w:tcW w:w="1095" w:type="dxa"/>
                  <w:shd w:val="clear" w:color="auto" w:fill="C0C0C0"/>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95"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1</w:t>
                  </w:r>
                </w:p>
              </w:tc>
              <w:tc>
                <w:tcPr>
                  <w:tcW w:w="2742" w:type="dxa"/>
                  <w:vAlign w:val="center"/>
                </w:tcPr>
                <w:p>
                  <w:pPr>
                    <w:widowControl/>
                    <w:spacing w:before="120" w:line="360" w:lineRule="auto"/>
                    <w:jc w:val="center"/>
                    <w:rPr>
                      <w:rFonts w:ascii="宋体" w:hAnsi="宋体"/>
                      <w:color w:val="000000"/>
                      <w:kern w:val="0"/>
                      <w:szCs w:val="21"/>
                    </w:rPr>
                  </w:pPr>
                  <w:r>
                    <w:rPr>
                      <w:rFonts w:hint="eastAsia"/>
                    </w:rPr>
                    <w:t>数字签名服务器</w:t>
                  </w:r>
                </w:p>
              </w:tc>
              <w:tc>
                <w:tcPr>
                  <w:tcW w:w="2044"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1</w:t>
                  </w:r>
                </w:p>
              </w:tc>
              <w:tc>
                <w:tcPr>
                  <w:tcW w:w="953"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台</w:t>
                  </w:r>
                </w:p>
              </w:tc>
              <w:tc>
                <w:tcPr>
                  <w:tcW w:w="1205" w:type="dxa"/>
                </w:tcPr>
                <w:p>
                  <w:pPr>
                    <w:widowControl/>
                    <w:spacing w:after="120"/>
                    <w:jc w:val="center"/>
                    <w:rPr>
                      <w:rFonts w:ascii="宋体" w:hAnsi="宋体"/>
                      <w:color w:val="000000"/>
                      <w:kern w:val="0"/>
                      <w:szCs w:val="21"/>
                    </w:rPr>
                  </w:pPr>
                  <w:r>
                    <w:rPr>
                      <w:rFonts w:hint="eastAsia" w:ascii="宋体" w:hAnsi="宋体"/>
                      <w:color w:val="000000"/>
                      <w:kern w:val="0"/>
                      <w:szCs w:val="21"/>
                    </w:rPr>
                    <w:t>/</w:t>
                  </w:r>
                </w:p>
              </w:tc>
              <w:tc>
                <w:tcPr>
                  <w:tcW w:w="1095" w:type="dxa"/>
                  <w:vMerge w:val="restart"/>
                  <w:vAlign w:val="center"/>
                </w:tcPr>
                <w:p>
                  <w:pPr>
                    <w:widowControl/>
                    <w:spacing w:after="120" w:line="360" w:lineRule="auto"/>
                    <w:jc w:val="center"/>
                    <w:rPr>
                      <w:rFonts w:ascii="宋体" w:hAnsi="宋体"/>
                      <w:color w:val="000000"/>
                      <w:kern w:val="0"/>
                      <w:szCs w:val="21"/>
                    </w:rPr>
                  </w:pPr>
                  <w:r>
                    <w:rPr>
                      <w:rFonts w:ascii="宋体" w:hAnsi="宋体"/>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5"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2</w:t>
                  </w:r>
                </w:p>
              </w:tc>
              <w:tc>
                <w:tcPr>
                  <w:tcW w:w="2742" w:type="dxa"/>
                  <w:vAlign w:val="center"/>
                </w:tcPr>
                <w:p>
                  <w:pPr>
                    <w:widowControl/>
                    <w:spacing w:before="120" w:line="360" w:lineRule="auto"/>
                    <w:jc w:val="center"/>
                    <w:rPr>
                      <w:rFonts w:ascii="宋体" w:hAnsi="宋体"/>
                      <w:color w:val="000000"/>
                      <w:kern w:val="0"/>
                      <w:szCs w:val="21"/>
                    </w:rPr>
                  </w:pPr>
                  <w:r>
                    <w:rPr>
                      <w:rFonts w:hint="eastAsia"/>
                    </w:rPr>
                    <w:t>时间戳服务器</w:t>
                  </w:r>
                </w:p>
              </w:tc>
              <w:tc>
                <w:tcPr>
                  <w:tcW w:w="2044"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1</w:t>
                  </w:r>
                </w:p>
              </w:tc>
              <w:tc>
                <w:tcPr>
                  <w:tcW w:w="953"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台</w:t>
                  </w:r>
                </w:p>
              </w:tc>
              <w:tc>
                <w:tcPr>
                  <w:tcW w:w="1205" w:type="dxa"/>
                </w:tcPr>
                <w:p>
                  <w:pPr>
                    <w:widowControl/>
                    <w:spacing w:after="120"/>
                    <w:jc w:val="center"/>
                    <w:rPr>
                      <w:rFonts w:ascii="宋体" w:hAnsi="宋体"/>
                      <w:color w:val="000000"/>
                      <w:kern w:val="0"/>
                      <w:szCs w:val="21"/>
                    </w:rPr>
                  </w:pPr>
                  <w:r>
                    <w:rPr>
                      <w:rFonts w:hint="eastAsia" w:ascii="宋体" w:hAnsi="宋体"/>
                      <w:color w:val="000000"/>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5"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3</w:t>
                  </w:r>
                </w:p>
              </w:tc>
              <w:tc>
                <w:tcPr>
                  <w:tcW w:w="2742" w:type="dxa"/>
                  <w:vAlign w:val="center"/>
                </w:tcPr>
                <w:p>
                  <w:pPr>
                    <w:widowControl/>
                    <w:spacing w:before="120" w:line="360" w:lineRule="auto"/>
                    <w:jc w:val="center"/>
                  </w:pPr>
                  <w:r>
                    <w:rPr>
                      <w:rFonts w:hint="eastAsia" w:ascii="宋体" w:hAnsi="宋体"/>
                      <w:color w:val="000000"/>
                      <w:kern w:val="0"/>
                      <w:szCs w:val="21"/>
                    </w:rPr>
                    <w:t>服务器证书</w:t>
                  </w:r>
                </w:p>
              </w:tc>
              <w:tc>
                <w:tcPr>
                  <w:tcW w:w="2044"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1</w:t>
                  </w:r>
                </w:p>
              </w:tc>
              <w:tc>
                <w:tcPr>
                  <w:tcW w:w="953"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张</w:t>
                  </w:r>
                </w:p>
              </w:tc>
              <w:tc>
                <w:tcPr>
                  <w:tcW w:w="1205" w:type="dxa"/>
                </w:tcPr>
                <w:p>
                  <w:pPr>
                    <w:widowControl/>
                    <w:spacing w:after="120"/>
                    <w:jc w:val="center"/>
                    <w:rPr>
                      <w:rFonts w:ascii="宋体" w:hAnsi="宋体"/>
                      <w:color w:val="000000"/>
                      <w:kern w:val="0"/>
                      <w:szCs w:val="21"/>
                    </w:rPr>
                  </w:pPr>
                  <w:r>
                    <w:rPr>
                      <w:rFonts w:hint="eastAsia" w:ascii="宋体" w:hAnsi="宋体"/>
                      <w:color w:val="000000"/>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5"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4</w:t>
                  </w:r>
                </w:p>
              </w:tc>
              <w:tc>
                <w:tcPr>
                  <w:tcW w:w="2742" w:type="dxa"/>
                  <w:vAlign w:val="center"/>
                </w:tcPr>
                <w:p>
                  <w:pPr>
                    <w:widowControl/>
                    <w:spacing w:before="120" w:line="360" w:lineRule="auto"/>
                    <w:jc w:val="center"/>
                    <w:rPr>
                      <w:rFonts w:ascii="宋体" w:hAnsi="宋体"/>
                      <w:color w:val="000000"/>
                      <w:kern w:val="0"/>
                      <w:szCs w:val="21"/>
                    </w:rPr>
                  </w:pPr>
                  <w:r>
                    <w:rPr>
                      <w:rFonts w:hint="eastAsia"/>
                      <w:kern w:val="0"/>
                    </w:rPr>
                    <w:t>中间件控件升级</w:t>
                  </w:r>
                </w:p>
              </w:tc>
              <w:tc>
                <w:tcPr>
                  <w:tcW w:w="2044"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1</w:t>
                  </w:r>
                </w:p>
              </w:tc>
              <w:tc>
                <w:tcPr>
                  <w:tcW w:w="953"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项</w:t>
                  </w:r>
                </w:p>
              </w:tc>
              <w:tc>
                <w:tcPr>
                  <w:tcW w:w="1205" w:type="dxa"/>
                </w:tcPr>
                <w:p>
                  <w:pPr>
                    <w:widowControl/>
                    <w:spacing w:after="120"/>
                    <w:jc w:val="center"/>
                    <w:rPr>
                      <w:rFonts w:ascii="宋体" w:hAnsi="宋体"/>
                      <w:color w:val="000000"/>
                      <w:kern w:val="0"/>
                      <w:szCs w:val="21"/>
                    </w:rPr>
                  </w:pPr>
                  <w:r>
                    <w:rPr>
                      <w:rFonts w:hint="eastAsia" w:ascii="宋体" w:hAnsi="宋体"/>
                      <w:color w:val="000000"/>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5"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5</w:t>
                  </w:r>
                </w:p>
              </w:tc>
              <w:tc>
                <w:tcPr>
                  <w:tcW w:w="2742" w:type="dxa"/>
                  <w:vAlign w:val="center"/>
                </w:tcPr>
                <w:p>
                  <w:pPr>
                    <w:widowControl/>
                    <w:spacing w:before="120" w:line="360" w:lineRule="auto"/>
                    <w:jc w:val="center"/>
                    <w:rPr>
                      <w:rFonts w:ascii="宋体" w:hAnsi="宋体"/>
                      <w:color w:val="000000"/>
                      <w:kern w:val="0"/>
                      <w:szCs w:val="21"/>
                    </w:rPr>
                  </w:pPr>
                  <w:r>
                    <w:t>CA</w:t>
                  </w:r>
                  <w:r>
                    <w:rPr>
                      <w:rFonts w:hint="eastAsia"/>
                    </w:rPr>
                    <w:t>认证服务增加非即时签名功能</w:t>
                  </w:r>
                </w:p>
              </w:tc>
              <w:tc>
                <w:tcPr>
                  <w:tcW w:w="2044"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1</w:t>
                  </w:r>
                </w:p>
              </w:tc>
              <w:tc>
                <w:tcPr>
                  <w:tcW w:w="953"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项</w:t>
                  </w:r>
                </w:p>
              </w:tc>
              <w:tc>
                <w:tcPr>
                  <w:tcW w:w="1205" w:type="dxa"/>
                </w:tcPr>
                <w:p>
                  <w:pPr>
                    <w:widowControl/>
                    <w:spacing w:after="120"/>
                    <w:jc w:val="center"/>
                    <w:rPr>
                      <w:rFonts w:ascii="宋体" w:hAnsi="宋体"/>
                      <w:color w:val="000000"/>
                      <w:kern w:val="0"/>
                      <w:szCs w:val="21"/>
                    </w:rPr>
                  </w:pPr>
                  <w:r>
                    <w:rPr>
                      <w:rFonts w:hint="eastAsia" w:ascii="宋体" w:hAnsi="宋体"/>
                      <w:color w:val="000000"/>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5"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6</w:t>
                  </w:r>
                </w:p>
              </w:tc>
              <w:tc>
                <w:tcPr>
                  <w:tcW w:w="2742" w:type="dxa"/>
                  <w:vAlign w:val="center"/>
                </w:tcPr>
                <w:p>
                  <w:pPr>
                    <w:widowControl/>
                    <w:spacing w:before="120" w:line="360" w:lineRule="auto"/>
                    <w:jc w:val="center"/>
                  </w:pPr>
                  <w:r>
                    <w:rPr>
                      <w:rFonts w:hint="eastAsia"/>
                    </w:rPr>
                    <w:t>CA认证服务增加协同、授权签名功能</w:t>
                  </w:r>
                </w:p>
              </w:tc>
              <w:tc>
                <w:tcPr>
                  <w:tcW w:w="2044" w:type="dxa"/>
                  <w:vAlign w:val="center"/>
                </w:tcPr>
                <w:p>
                  <w:pPr>
                    <w:widowControl/>
                    <w:spacing w:before="120" w:line="360" w:lineRule="auto"/>
                    <w:jc w:val="center"/>
                    <w:rPr>
                      <w:rFonts w:ascii="宋体" w:hAnsi="宋体"/>
                      <w:color w:val="000000"/>
                      <w:kern w:val="0"/>
                      <w:szCs w:val="21"/>
                    </w:rPr>
                  </w:pPr>
                  <w:r>
                    <w:rPr>
                      <w:rFonts w:hint="eastAsia" w:ascii="宋体" w:hAnsi="宋体"/>
                      <w:color w:val="000000"/>
                      <w:kern w:val="0"/>
                      <w:szCs w:val="21"/>
                    </w:rPr>
                    <w:t>1</w:t>
                  </w:r>
                </w:p>
              </w:tc>
              <w:tc>
                <w:tcPr>
                  <w:tcW w:w="953" w:type="dxa"/>
                  <w:vAlign w:val="center"/>
                </w:tcPr>
                <w:p>
                  <w:pPr>
                    <w:widowControl/>
                    <w:spacing w:before="120" w:line="360" w:lineRule="auto"/>
                    <w:jc w:val="center"/>
                    <w:rPr>
                      <w:rFonts w:ascii="宋体" w:hAnsi="宋体"/>
                      <w:color w:val="000000"/>
                      <w:kern w:val="0"/>
                      <w:szCs w:val="21"/>
                    </w:rPr>
                  </w:pPr>
                  <w:r>
                    <w:rPr>
                      <w:rFonts w:ascii="宋体" w:hAnsi="宋体"/>
                      <w:color w:val="000000"/>
                      <w:kern w:val="0"/>
                      <w:szCs w:val="21"/>
                    </w:rPr>
                    <w:t>项</w:t>
                  </w:r>
                </w:p>
              </w:tc>
              <w:tc>
                <w:tcPr>
                  <w:tcW w:w="1205" w:type="dxa"/>
                </w:tcPr>
                <w:p>
                  <w:pPr>
                    <w:widowControl/>
                    <w:spacing w:after="120"/>
                    <w:jc w:val="center"/>
                    <w:rPr>
                      <w:rFonts w:ascii="宋体" w:hAnsi="宋体"/>
                      <w:color w:val="000000"/>
                      <w:kern w:val="0"/>
                      <w:szCs w:val="21"/>
                    </w:rPr>
                  </w:pPr>
                  <w:r>
                    <w:rPr>
                      <w:rFonts w:hint="eastAsia" w:ascii="宋体" w:hAnsi="宋体"/>
                      <w:color w:val="000000"/>
                      <w:kern w:val="0"/>
                      <w:szCs w:val="21"/>
                    </w:rPr>
                    <w:t>/</w:t>
                  </w:r>
                </w:p>
              </w:tc>
              <w:tc>
                <w:tcPr>
                  <w:tcW w:w="1095" w:type="dxa"/>
                  <w:vMerge w:val="continue"/>
                  <w:vAlign w:val="center"/>
                </w:tcPr>
                <w:p>
                  <w:pPr>
                    <w:spacing w:line="420" w:lineRule="auto"/>
                    <w:jc w:val="center"/>
                    <w:rPr>
                      <w:rFonts w:ascii="宋体" w:hAnsi="宋体"/>
                      <w:szCs w:val="21"/>
                      <w:highlight w:val="yellow"/>
                    </w:rPr>
                  </w:pPr>
                </w:p>
              </w:tc>
            </w:tr>
          </w:tbl>
          <w:p>
            <w:pPr>
              <w:widowControl/>
              <w:spacing w:before="100" w:beforeAutospacing="1" w:after="100" w:afterAutospacing="1"/>
              <w:jc w:val="left"/>
              <w:rPr>
                <w:rFonts w:cs="宋体" w:asciiTheme="minorEastAsia" w:hAnsiTheme="minorEastAsia" w:eastAsiaTheme="minorEastAsia"/>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34" w:type="dxa"/>
            <w:tcBorders>
              <w:top w:val="single" w:color="auto" w:sz="6" w:space="0"/>
              <w:left w:val="single" w:color="auto" w:sz="6" w:space="0"/>
              <w:bottom w:val="nil"/>
              <w:right w:val="nil"/>
            </w:tcBorders>
            <w:vAlign w:val="center"/>
          </w:tcPr>
          <w:p>
            <w:pPr>
              <w:rPr>
                <w:rFonts w:ascii="宋体" w:hAnsi="宋体" w:cs="仿宋_GB2312"/>
                <w:szCs w:val="21"/>
              </w:rPr>
            </w:pPr>
            <w:r>
              <w:rPr>
                <w:rFonts w:ascii="宋体" w:hAnsi="宋体" w:cs="仿宋_GB2312"/>
                <w:szCs w:val="21"/>
              </w:rPr>
              <w:t xml:space="preserve">商务需求 </w:t>
            </w:r>
          </w:p>
        </w:tc>
        <w:tc>
          <w:tcPr>
            <w:tcW w:w="8931" w:type="dxa"/>
            <w:tcBorders>
              <w:top w:val="single" w:color="auto" w:sz="6" w:space="0"/>
              <w:left w:val="single" w:color="auto" w:sz="6" w:space="0"/>
              <w:bottom w:val="nil"/>
              <w:right w:val="nil"/>
            </w:tcBorders>
            <w:vAlign w:val="center"/>
          </w:tcPr>
          <w:p>
            <w:pPr>
              <w:rPr>
                <w:rFonts w:ascii="宋体" w:hAnsi="宋体" w:cs="仿宋_GB2312"/>
                <w:szCs w:val="21"/>
              </w:rPr>
            </w:pPr>
            <w:r>
              <w:rPr>
                <w:rFonts w:ascii="宋体" w:hAnsi="宋体" w:cs="仿宋_GB2312"/>
                <w:szCs w:val="21"/>
              </w:rPr>
              <w:t xml:space="preserve">  </w:t>
            </w:r>
          </w:p>
          <w:tbl>
            <w:tblPr>
              <w:tblStyle w:val="12"/>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533"/>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92" w:type="dxa"/>
                  <w:vAlign w:val="center"/>
                </w:tcPr>
                <w:p>
                  <w:pPr>
                    <w:rPr>
                      <w:rFonts w:ascii="宋体" w:hAnsi="宋体" w:cs="仿宋_GB2312"/>
                      <w:szCs w:val="21"/>
                    </w:rPr>
                  </w:pPr>
                  <w:r>
                    <w:rPr>
                      <w:rFonts w:hint="eastAsia" w:ascii="宋体" w:hAnsi="宋体" w:cs="仿宋_GB2312"/>
                      <w:szCs w:val="21"/>
                    </w:rPr>
                    <w:t>序号</w:t>
                  </w:r>
                </w:p>
              </w:tc>
              <w:tc>
                <w:tcPr>
                  <w:tcW w:w="1533" w:type="dxa"/>
                  <w:vAlign w:val="center"/>
                </w:tcPr>
                <w:p>
                  <w:pPr>
                    <w:rPr>
                      <w:rFonts w:ascii="宋体" w:hAnsi="宋体" w:cs="仿宋_GB2312"/>
                      <w:szCs w:val="21"/>
                    </w:rPr>
                  </w:pPr>
                  <w:r>
                    <w:rPr>
                      <w:rFonts w:hint="eastAsia" w:ascii="宋体" w:hAnsi="宋体" w:cs="仿宋_GB2312"/>
                      <w:szCs w:val="21"/>
                    </w:rPr>
                    <w:t>目录</w:t>
                  </w:r>
                </w:p>
              </w:tc>
              <w:tc>
                <w:tcPr>
                  <w:tcW w:w="5887" w:type="dxa"/>
                  <w:vAlign w:val="center"/>
                </w:tcPr>
                <w:p>
                  <w:pPr>
                    <w:rPr>
                      <w:rFonts w:ascii="宋体" w:hAnsi="宋体" w:cs="仿宋_GB2312"/>
                      <w:szCs w:val="21"/>
                    </w:rPr>
                  </w:pPr>
                  <w:r>
                    <w:rPr>
                      <w:rFonts w:hint="eastAsia" w:ascii="宋体" w:hAnsi="宋体" w:cs="仿宋_GB2312"/>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612" w:type="dxa"/>
                  <w:gridSpan w:val="3"/>
                </w:tcPr>
                <w:p>
                  <w:pPr>
                    <w:rPr>
                      <w:rFonts w:ascii="宋体" w:hAnsi="宋体" w:cs="仿宋_GB2312"/>
                      <w:szCs w:val="21"/>
                    </w:rPr>
                  </w:pPr>
                  <w:r>
                    <w:rPr>
                      <w:rFonts w:hint="eastAsia" w:ascii="宋体" w:hAnsi="宋体" w:cs="仿宋_GB2312"/>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92" w:type="dxa"/>
                  <w:vAlign w:val="center"/>
                </w:tcPr>
                <w:p>
                  <w:pPr>
                    <w:rPr>
                      <w:rFonts w:ascii="宋体" w:hAnsi="宋体" w:cs="仿宋_GB2312"/>
                      <w:szCs w:val="21"/>
                    </w:rPr>
                  </w:pPr>
                  <w:r>
                    <w:rPr>
                      <w:rFonts w:hint="eastAsia" w:ascii="宋体" w:hAnsi="宋体" w:cs="仿宋_GB2312"/>
                      <w:szCs w:val="21"/>
                    </w:rPr>
                    <w:t>1</w:t>
                  </w:r>
                </w:p>
              </w:tc>
              <w:tc>
                <w:tcPr>
                  <w:tcW w:w="1533" w:type="dxa"/>
                </w:tcPr>
                <w:p>
                  <w:pPr>
                    <w:rPr>
                      <w:rFonts w:ascii="宋体" w:hAnsi="宋体" w:cs="仿宋_GB2312"/>
                      <w:szCs w:val="21"/>
                    </w:rPr>
                  </w:pPr>
                  <w:r>
                    <w:rPr>
                      <w:rFonts w:hint="eastAsia" w:ascii="宋体" w:hAnsi="宋体" w:cs="仿宋_GB2312"/>
                      <w:szCs w:val="21"/>
                    </w:rPr>
                    <w:t>维修响应及故障解决时间</w:t>
                  </w:r>
                </w:p>
              </w:tc>
              <w:tc>
                <w:tcPr>
                  <w:tcW w:w="5887" w:type="dxa"/>
                </w:tcPr>
                <w:p>
                  <w:pPr>
                    <w:rPr>
                      <w:rFonts w:ascii="宋体" w:hAnsi="宋体" w:cs="仿宋_GB2312"/>
                      <w:szCs w:val="21"/>
                    </w:rPr>
                  </w:pPr>
                  <w:r>
                    <w:rPr>
                      <w:rFonts w:hint="eastAsia" w:ascii="宋体" w:hAnsi="宋体" w:cs="仿宋_GB2312"/>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92" w:type="dxa"/>
                  <w:vMerge w:val="restart"/>
                  <w:vAlign w:val="center"/>
                </w:tcPr>
                <w:p>
                  <w:pPr>
                    <w:rPr>
                      <w:rFonts w:ascii="宋体" w:hAnsi="宋体" w:cs="仿宋_GB2312"/>
                      <w:szCs w:val="21"/>
                    </w:rPr>
                  </w:pPr>
                  <w:r>
                    <w:rPr>
                      <w:rFonts w:hint="eastAsia" w:ascii="宋体" w:hAnsi="宋体" w:cs="仿宋_GB2312"/>
                      <w:szCs w:val="21"/>
                    </w:rPr>
                    <w:t>2</w:t>
                  </w:r>
                </w:p>
              </w:tc>
              <w:tc>
                <w:tcPr>
                  <w:tcW w:w="1533" w:type="dxa"/>
                  <w:vMerge w:val="restart"/>
                  <w:vAlign w:val="center"/>
                </w:tcPr>
                <w:p>
                  <w:pPr>
                    <w:rPr>
                      <w:rFonts w:ascii="宋体" w:hAnsi="宋体" w:cs="仿宋_GB2312"/>
                      <w:szCs w:val="21"/>
                    </w:rPr>
                  </w:pPr>
                  <w:r>
                    <w:rPr>
                      <w:rFonts w:hint="eastAsia" w:ascii="宋体" w:hAnsi="宋体" w:cs="仿宋_GB2312"/>
                      <w:szCs w:val="21"/>
                    </w:rPr>
                    <w:t>关于免费保修期</w:t>
                  </w:r>
                </w:p>
              </w:tc>
              <w:tc>
                <w:tcPr>
                  <w:tcW w:w="5887" w:type="dxa"/>
                </w:tcPr>
                <w:p>
                  <w:pPr>
                    <w:rPr>
                      <w:rFonts w:ascii="宋体" w:hAnsi="宋体" w:cs="仿宋_GB2312"/>
                      <w:szCs w:val="21"/>
                    </w:rPr>
                  </w:pPr>
                  <w:r>
                    <w:rPr>
                      <w:rFonts w:ascii="宋体" w:hAnsi="宋体" w:cs="仿宋_GB2312"/>
                      <w:szCs w:val="21"/>
                    </w:rPr>
                    <w:t>1.1</w:t>
                  </w:r>
                  <w:r>
                    <w:rPr>
                      <w:rFonts w:hint="eastAsia" w:ascii="宋体" w:hAnsi="宋体" w:cs="仿宋_GB2312"/>
                      <w:szCs w:val="21"/>
                    </w:rPr>
                    <w:t>项目自验收之日起，中标人为采购人提供至少一年的软件免费维护服务，三年硬件免费维护服务，免费维护包括系统维护性能提升、故障检测，并保证供应商所提供的系统正常运行。所有售后服务由中标人负责。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2</w:t>
                  </w:r>
                  <w:r>
                    <w:rPr>
                      <w:rFonts w:hint="eastAsia" w:ascii="宋体" w:hAnsi="宋体" w:cs="仿宋_GB2312"/>
                      <w:szCs w:val="21"/>
                    </w:rPr>
                    <w:t>保修服务方式为中标人上门保修和远程保修相结合。中标人派技术人员到采购人使用现场维护，由此产生的一切费用均由中标人承担。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3</w:t>
                  </w:r>
                  <w:r>
                    <w:rPr>
                      <w:rFonts w:hint="eastAsia" w:ascii="宋体" w:hAnsi="宋体" w:cs="仿宋_GB2312"/>
                      <w:szCs w:val="21"/>
                    </w:rPr>
                    <w:t>项目自投入正式运行和在免费服务期内，系统出现故障时，供应商7×24小时服务响应，维护工程师应在接到报障后4个小时内到现场处理应用系统出现的故障；及时做出故障原因报告并提出有效措施加以解决。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4</w:t>
                  </w:r>
                  <w:r>
                    <w:rPr>
                      <w:rFonts w:hint="eastAsia" w:ascii="宋体" w:hAnsi="宋体" w:cs="仿宋_GB2312"/>
                      <w:szCs w:val="21"/>
                    </w:rPr>
                    <w:t>中标人须提出保修期内的维护内容和范围（产品、技术、模块）。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5</w:t>
                  </w:r>
                  <w:r>
                    <w:rPr>
                      <w:rFonts w:hint="eastAsia" w:ascii="宋体" w:hAnsi="宋体" w:cs="仿宋_GB2312"/>
                      <w:szCs w:val="21"/>
                    </w:rPr>
                    <w:t>在项目验收后的免费服务期内，如因需要增加系统功能而产生的费用，双方另议；如果是软件设计漏洞或偏差，供应商须免费修正。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6</w:t>
                  </w:r>
                  <w:r>
                    <w:rPr>
                      <w:rFonts w:hint="eastAsia" w:ascii="宋体" w:hAnsi="宋体" w:cs="仿宋_GB2312"/>
                      <w:szCs w:val="21"/>
                    </w:rPr>
                    <w:t>项目免费服务期满后，供应商须承诺在法定工作时间内，可以提供免费的技术指导和咨询，如需其他技术支持服务，则费用由双方另议（提供有效的承诺函加盖公章）。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612" w:type="dxa"/>
                  <w:gridSpan w:val="3"/>
                </w:tcPr>
                <w:p>
                  <w:pPr>
                    <w:rPr>
                      <w:rFonts w:ascii="宋体" w:hAnsi="宋体" w:cs="仿宋_GB2312"/>
                      <w:szCs w:val="21"/>
                    </w:rPr>
                  </w:pPr>
                  <w:r>
                    <w:rPr>
                      <w:rFonts w:hint="eastAsia" w:ascii="宋体" w:hAnsi="宋体" w:cs="仿宋_GB2312"/>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92" w:type="dxa"/>
                  <w:vMerge w:val="restart"/>
                  <w:vAlign w:val="center"/>
                </w:tcPr>
                <w:p>
                  <w:pPr>
                    <w:rPr>
                      <w:rFonts w:ascii="宋体" w:hAnsi="宋体" w:cs="仿宋_GB2312"/>
                      <w:szCs w:val="21"/>
                    </w:rPr>
                  </w:pPr>
                  <w:r>
                    <w:rPr>
                      <w:rFonts w:hint="eastAsia" w:ascii="宋体" w:hAnsi="宋体" w:cs="仿宋_GB2312"/>
                      <w:szCs w:val="21"/>
                    </w:rPr>
                    <w:t>1</w:t>
                  </w:r>
                </w:p>
              </w:tc>
              <w:tc>
                <w:tcPr>
                  <w:tcW w:w="1533" w:type="dxa"/>
                  <w:vMerge w:val="restart"/>
                  <w:vAlign w:val="center"/>
                </w:tcPr>
                <w:p>
                  <w:pPr>
                    <w:rPr>
                      <w:rFonts w:ascii="宋体" w:hAnsi="宋体" w:cs="仿宋_GB2312"/>
                      <w:szCs w:val="21"/>
                    </w:rPr>
                  </w:pPr>
                  <w:r>
                    <w:rPr>
                      <w:rFonts w:hint="eastAsia" w:ascii="宋体" w:hAnsi="宋体" w:cs="仿宋_GB2312"/>
                      <w:szCs w:val="21"/>
                    </w:rPr>
                    <w:t>关于交货</w:t>
                  </w:r>
                </w:p>
              </w:tc>
              <w:tc>
                <w:tcPr>
                  <w:tcW w:w="5887" w:type="dxa"/>
                </w:tcPr>
                <w:p>
                  <w:pPr>
                    <w:rPr>
                      <w:rFonts w:ascii="宋体" w:hAnsi="宋体" w:cs="仿宋_GB2312"/>
                      <w:szCs w:val="21"/>
                    </w:rPr>
                  </w:pPr>
                  <w:r>
                    <w:rPr>
                      <w:rFonts w:hint="eastAsia" w:ascii="宋体" w:hAnsi="宋体" w:cs="仿宋_GB2312"/>
                      <w:szCs w:val="21"/>
                    </w:rPr>
                    <w:t>1.1交货地点：采购人指定交货地点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tcPr>
                <w:p>
                  <w:pPr>
                    <w:rPr>
                      <w:rFonts w:ascii="宋体" w:hAnsi="宋体" w:cs="仿宋_GB2312"/>
                      <w:szCs w:val="21"/>
                    </w:rPr>
                  </w:pPr>
                  <w:r>
                    <w:rPr>
                      <w:rFonts w:hint="eastAsia" w:ascii="宋体" w:hAnsi="宋体" w:cs="仿宋_GB2312"/>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92" w:type="dxa"/>
                  <w:vMerge w:val="continue"/>
                  <w:vAlign w:val="center"/>
                </w:tcPr>
                <w:p>
                  <w:pPr>
                    <w:rPr>
                      <w:rFonts w:ascii="宋体" w:hAnsi="宋体" w:cs="仿宋_GB2312"/>
                      <w:szCs w:val="21"/>
                    </w:rPr>
                  </w:pPr>
                </w:p>
              </w:tc>
              <w:tc>
                <w:tcPr>
                  <w:tcW w:w="1533" w:type="dxa"/>
                  <w:vMerge w:val="continue"/>
                  <w:vAlign w:val="center"/>
                </w:tcPr>
                <w:p>
                  <w:pPr>
                    <w:rPr>
                      <w:rFonts w:ascii="宋体" w:hAnsi="宋体" w:cs="仿宋_GB2312"/>
                      <w:szCs w:val="21"/>
                    </w:rPr>
                  </w:pPr>
                </w:p>
              </w:tc>
              <w:tc>
                <w:tcPr>
                  <w:tcW w:w="5887" w:type="dxa"/>
                </w:tcPr>
                <w:p>
                  <w:pPr>
                    <w:rPr>
                      <w:rFonts w:ascii="宋体" w:hAnsi="宋体" w:cs="仿宋_GB2312"/>
                      <w:szCs w:val="21"/>
                    </w:rPr>
                  </w:pPr>
                  <w:r>
                    <w:rPr>
                      <w:rFonts w:hint="eastAsia" w:ascii="宋体" w:hAnsi="宋体" w:cs="仿宋_GB2312"/>
                      <w:szCs w:val="21"/>
                    </w:rPr>
                    <w:t xml:space="preserve">1.3签订合同后 </w:t>
                  </w:r>
                  <w:r>
                    <w:rPr>
                      <w:rFonts w:ascii="宋体" w:hAnsi="宋体" w:cs="仿宋_GB2312"/>
                      <w:szCs w:val="21"/>
                    </w:rPr>
                    <w:t>60</w:t>
                  </w:r>
                  <w:r>
                    <w:rPr>
                      <w:rFonts w:hint="eastAsia" w:ascii="宋体" w:hAnsi="宋体" w:cs="仿宋_GB2312"/>
                      <w:szCs w:val="21"/>
                    </w:rPr>
                    <w:t xml:space="preserve"> 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92" w:type="dxa"/>
                  <w:vMerge w:val="restart"/>
                  <w:vAlign w:val="center"/>
                </w:tcPr>
                <w:p>
                  <w:pPr>
                    <w:rPr>
                      <w:rFonts w:ascii="宋体" w:hAnsi="宋体" w:cs="仿宋_GB2312"/>
                      <w:szCs w:val="21"/>
                    </w:rPr>
                  </w:pPr>
                  <w:r>
                    <w:rPr>
                      <w:rFonts w:hint="eastAsia" w:ascii="宋体" w:hAnsi="宋体" w:cs="仿宋_GB2312"/>
                      <w:szCs w:val="21"/>
                    </w:rPr>
                    <w:t>2</w:t>
                  </w:r>
                </w:p>
              </w:tc>
              <w:tc>
                <w:tcPr>
                  <w:tcW w:w="1533" w:type="dxa"/>
                  <w:vMerge w:val="restart"/>
                  <w:vAlign w:val="center"/>
                </w:tcPr>
                <w:p>
                  <w:pPr>
                    <w:rPr>
                      <w:rFonts w:ascii="宋体" w:hAnsi="宋体" w:cs="仿宋_GB2312"/>
                      <w:szCs w:val="21"/>
                    </w:rPr>
                  </w:pPr>
                  <w:r>
                    <w:rPr>
                      <w:rFonts w:hint="eastAsia" w:ascii="宋体" w:hAnsi="宋体" w:cs="仿宋_GB2312"/>
                      <w:szCs w:val="21"/>
                    </w:rPr>
                    <w:t>关于验收</w:t>
                  </w:r>
                </w:p>
              </w:tc>
              <w:tc>
                <w:tcPr>
                  <w:tcW w:w="5887" w:type="dxa"/>
                </w:tcPr>
                <w:p>
                  <w:pPr>
                    <w:rPr>
                      <w:rFonts w:ascii="宋体" w:hAnsi="宋体" w:cs="仿宋_GB2312"/>
                      <w:szCs w:val="21"/>
                    </w:rPr>
                  </w:pPr>
                  <w:r>
                    <w:rPr>
                      <w:rFonts w:hint="eastAsia" w:ascii="宋体" w:hAnsi="宋体" w:cs="仿宋_GB2312"/>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92" w:type="dxa"/>
                  <w:vMerge w:val="continue"/>
                  <w:vAlign w:val="center"/>
                </w:tcPr>
                <w:p>
                  <w:pPr>
                    <w:rPr>
                      <w:rFonts w:ascii="宋体" w:hAnsi="宋体" w:cs="仿宋_GB2312"/>
                      <w:szCs w:val="21"/>
                    </w:rPr>
                  </w:pPr>
                </w:p>
              </w:tc>
              <w:tc>
                <w:tcPr>
                  <w:tcW w:w="1533" w:type="dxa"/>
                  <w:vMerge w:val="continue"/>
                </w:tcPr>
                <w:p>
                  <w:pPr>
                    <w:rPr>
                      <w:rFonts w:ascii="宋体" w:hAnsi="宋体" w:cs="仿宋_GB2312"/>
                      <w:szCs w:val="21"/>
                    </w:rPr>
                  </w:pPr>
                </w:p>
              </w:tc>
              <w:tc>
                <w:tcPr>
                  <w:tcW w:w="5887" w:type="dxa"/>
                </w:tcPr>
                <w:p>
                  <w:pPr>
                    <w:rPr>
                      <w:rFonts w:ascii="宋体" w:hAnsi="宋体" w:cs="仿宋_GB2312"/>
                      <w:szCs w:val="21"/>
                    </w:rPr>
                  </w:pPr>
                  <w:r>
                    <w:rPr>
                      <w:rFonts w:hint="eastAsia" w:ascii="宋体" w:hAnsi="宋体" w:cs="仿宋_GB2312"/>
                      <w:szCs w:val="21"/>
                    </w:rPr>
                    <w:t>2.2当满足以下条件时，采购人才向中标人签发货物验收报告：</w:t>
                  </w:r>
                </w:p>
                <w:p>
                  <w:pPr>
                    <w:rPr>
                      <w:rFonts w:ascii="宋体" w:hAnsi="宋体" w:cs="仿宋_GB2312"/>
                      <w:szCs w:val="21"/>
                    </w:rPr>
                  </w:pPr>
                  <w:r>
                    <w:rPr>
                      <w:rFonts w:ascii="宋体" w:hAnsi="宋体" w:cs="仿宋_GB2312"/>
                      <w:szCs w:val="21"/>
                    </w:rPr>
                    <w:t>a</w:t>
                  </w:r>
                  <w:r>
                    <w:rPr>
                      <w:rFonts w:hint="eastAsia" w:ascii="宋体" w:hAnsi="宋体" w:cs="仿宋_GB2312"/>
                      <w:szCs w:val="21"/>
                    </w:rPr>
                    <w:t>、中标人已按照合同规定提供了全部产品及完整的技术资料。</w:t>
                  </w:r>
                </w:p>
                <w:p>
                  <w:pPr>
                    <w:rPr>
                      <w:rFonts w:ascii="宋体" w:hAnsi="宋体" w:cs="仿宋_GB2312"/>
                      <w:szCs w:val="21"/>
                    </w:rPr>
                  </w:pPr>
                  <w:r>
                    <w:rPr>
                      <w:rFonts w:ascii="宋体" w:hAnsi="宋体" w:cs="仿宋_GB2312"/>
                      <w:szCs w:val="21"/>
                    </w:rPr>
                    <w:t>b</w:t>
                  </w:r>
                  <w:r>
                    <w:rPr>
                      <w:rFonts w:hint="eastAsia" w:ascii="宋体" w:hAnsi="宋体" w:cs="仿宋_GB2312"/>
                      <w:szCs w:val="21"/>
                    </w:rPr>
                    <w:t>、货物符合招标文件技术规格书的要求，性能满足要求。</w:t>
                  </w:r>
                </w:p>
                <w:p>
                  <w:pPr>
                    <w:rPr>
                      <w:rFonts w:ascii="宋体" w:hAnsi="宋体" w:cs="仿宋_GB2312"/>
                      <w:szCs w:val="21"/>
                    </w:rPr>
                  </w:pPr>
                  <w:r>
                    <w:rPr>
                      <w:rFonts w:ascii="宋体" w:hAnsi="宋体" w:cs="仿宋_GB2312"/>
                      <w:szCs w:val="21"/>
                    </w:rPr>
                    <w:t>c</w:t>
                  </w:r>
                  <w:r>
                    <w:rPr>
                      <w:rFonts w:hint="eastAsia" w:ascii="宋体" w:hAnsi="宋体" w:cs="仿宋_GB2312"/>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192" w:type="dxa"/>
                  <w:vAlign w:val="center"/>
                </w:tcPr>
                <w:p>
                  <w:pPr>
                    <w:rPr>
                      <w:rFonts w:ascii="宋体" w:hAnsi="宋体" w:cs="仿宋_GB2312"/>
                      <w:szCs w:val="21"/>
                    </w:rPr>
                  </w:pPr>
                  <w:r>
                    <w:rPr>
                      <w:rFonts w:ascii="宋体" w:hAnsi="宋体" w:cs="仿宋_GB2312"/>
                      <w:szCs w:val="21"/>
                    </w:rPr>
                    <w:t>3</w:t>
                  </w:r>
                </w:p>
              </w:tc>
              <w:tc>
                <w:tcPr>
                  <w:tcW w:w="1533" w:type="dxa"/>
                  <w:vAlign w:val="center"/>
                </w:tcPr>
                <w:p>
                  <w:pPr>
                    <w:rPr>
                      <w:rFonts w:ascii="宋体" w:hAnsi="宋体" w:cs="仿宋_GB2312"/>
                      <w:szCs w:val="21"/>
                    </w:rPr>
                  </w:pPr>
                  <w:r>
                    <w:rPr>
                      <w:rFonts w:hint="eastAsia" w:ascii="宋体" w:hAnsi="宋体" w:cs="仿宋_GB2312"/>
                      <w:szCs w:val="21"/>
                    </w:rPr>
                    <w:t>关于付款</w:t>
                  </w:r>
                </w:p>
              </w:tc>
              <w:tc>
                <w:tcPr>
                  <w:tcW w:w="5887" w:type="dxa"/>
                </w:tcPr>
                <w:p>
                  <w:pPr>
                    <w:rPr>
                      <w:rFonts w:ascii="宋体" w:hAnsi="宋体" w:cs="仿宋_GB2312"/>
                      <w:szCs w:val="21"/>
                    </w:rPr>
                  </w:pPr>
                  <w:r>
                    <w:rPr>
                      <w:rFonts w:hint="eastAsia" w:ascii="宋体" w:hAnsi="宋体" w:cs="仿宋_GB2312"/>
                      <w:szCs w:val="21"/>
                    </w:rPr>
                    <w:t>a、合同签订后，10个工作日内，支付项目50%预付款；</w:t>
                  </w:r>
                </w:p>
                <w:p>
                  <w:pPr>
                    <w:rPr>
                      <w:rFonts w:ascii="宋体" w:hAnsi="宋体" w:cs="仿宋_GB2312"/>
                      <w:szCs w:val="21"/>
                    </w:rPr>
                  </w:pPr>
                  <w:r>
                    <w:rPr>
                      <w:rFonts w:hint="eastAsia" w:ascii="宋体" w:hAnsi="宋体" w:cs="仿宋_GB2312"/>
                      <w:szCs w:val="21"/>
                    </w:rPr>
                    <w:t>b、本项目所有设备完成调试并通过建设单位组织初验后，1</w:t>
                  </w:r>
                  <w:r>
                    <w:rPr>
                      <w:rFonts w:ascii="宋体" w:hAnsi="宋体" w:cs="仿宋_GB2312"/>
                      <w:szCs w:val="21"/>
                    </w:rPr>
                    <w:t>0</w:t>
                  </w:r>
                  <w:r>
                    <w:rPr>
                      <w:rFonts w:hint="eastAsia" w:ascii="宋体" w:hAnsi="宋体" w:cs="仿宋_GB2312"/>
                      <w:szCs w:val="21"/>
                    </w:rPr>
                    <w:t>个工作日内支付5</w:t>
                  </w:r>
                  <w:r>
                    <w:rPr>
                      <w:rFonts w:ascii="宋体" w:hAnsi="宋体" w:cs="仿宋_GB2312"/>
                      <w:szCs w:val="21"/>
                    </w:rPr>
                    <w:t>0</w:t>
                  </w:r>
                  <w:r>
                    <w:rPr>
                      <w:rFonts w:hint="eastAsia" w:ascii="宋体" w:hAnsi="宋体" w:cs="仿宋_GB2312"/>
                      <w:szCs w:val="21"/>
                    </w:rPr>
                    <w:t>%项目合同款；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92" w:type="dxa"/>
                  <w:vAlign w:val="center"/>
                </w:tcPr>
                <w:p>
                  <w:pPr>
                    <w:rPr>
                      <w:rFonts w:ascii="宋体" w:hAnsi="宋体" w:cs="仿宋_GB2312"/>
                      <w:szCs w:val="21"/>
                    </w:rPr>
                  </w:pPr>
                  <w:r>
                    <w:rPr>
                      <w:rFonts w:ascii="宋体" w:hAnsi="宋体" w:cs="仿宋_GB2312"/>
                      <w:szCs w:val="21"/>
                    </w:rPr>
                    <w:t>4</w:t>
                  </w:r>
                </w:p>
              </w:tc>
              <w:tc>
                <w:tcPr>
                  <w:tcW w:w="1533" w:type="dxa"/>
                  <w:vAlign w:val="center"/>
                </w:tcPr>
                <w:p>
                  <w:pPr>
                    <w:rPr>
                      <w:rFonts w:ascii="宋体" w:hAnsi="宋体" w:cs="仿宋_GB2312"/>
                      <w:szCs w:val="21"/>
                    </w:rPr>
                  </w:pPr>
                  <w:r>
                    <w:rPr>
                      <w:rFonts w:hint="eastAsia" w:ascii="宋体" w:hAnsi="宋体" w:cs="仿宋_GB2312"/>
                      <w:szCs w:val="21"/>
                    </w:rPr>
                    <w:t>关于技术部分的各种证明材料</w:t>
                  </w:r>
                </w:p>
              </w:tc>
              <w:tc>
                <w:tcPr>
                  <w:tcW w:w="5887" w:type="dxa"/>
                </w:tcPr>
                <w:p>
                  <w:pPr>
                    <w:rPr>
                      <w:rFonts w:ascii="宋体" w:hAnsi="宋体" w:cs="仿宋_GB2312"/>
                      <w:szCs w:val="21"/>
                    </w:rPr>
                  </w:pPr>
                  <w:r>
                    <w:rPr>
                      <w:rFonts w:hint="eastAsia" w:ascii="宋体" w:hAnsi="宋体" w:cs="仿宋_GB2312"/>
                      <w:szCs w:val="21"/>
                    </w:rPr>
                    <w:t>技术偏离表中所涉及的各种证明材料（包含截图），投标人投标时必须提供，且中标人在发中标公告后的五个工作日内，提供原件给采购人审核。中标人应当如实填写“偏离情况”，如果中标人在需要提供各种证明材料的技术偏离情况填写了“无偏离”或者“正偏离”，而提供给采购人审核的各种证明材料原件有缺漏或不符合招标技术要求或各种证明材料涉嫌造假的或者拒绝提供各种证明材料的，由采购人报采购主管部门进行处罚。</w:t>
                  </w:r>
                </w:p>
              </w:tc>
            </w:tr>
          </w:tbl>
          <w:p>
            <w:pPr>
              <w:rPr>
                <w:rFonts w:ascii="宋体" w:hAnsi="宋体" w:cs="仿宋_GB2312"/>
                <w:szCs w:val="21"/>
              </w:rPr>
            </w:pPr>
          </w:p>
        </w:tc>
      </w:tr>
    </w:tbl>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rPr>
          <w:rFonts w:ascii="宋体" w:hAnsi="宋体" w:cs="仿宋_GB2312"/>
          <w:szCs w:val="21"/>
        </w:rPr>
      </w:pPr>
    </w:p>
    <w:p>
      <w:pPr>
        <w:widowControl/>
        <w:jc w:val="left"/>
        <w:rPr>
          <w:rFonts w:asciiTheme="minorEastAsia" w:hAnsiTheme="minorEastAsia" w:eastAsiaTheme="minorEastAsia"/>
          <w:b/>
          <w:bCs/>
          <w:color w:val="FF0000"/>
          <w:sz w:val="24"/>
          <w:szCs w:val="24"/>
        </w:rPr>
      </w:pPr>
      <w:r>
        <w:rPr>
          <w:rFonts w:asciiTheme="minorEastAsia" w:hAnsiTheme="minorEastAsia" w:eastAsiaTheme="minorEastAsia"/>
          <w:b/>
          <w:bCs/>
          <w:color w:val="FF0000"/>
          <w:sz w:val="24"/>
          <w:szCs w:val="24"/>
        </w:rPr>
        <w:br w:type="page"/>
      </w: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SEYXX-XXK- 2020023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743"/>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2"/>
          </w:tcPr>
          <w:p>
            <w:pPr>
              <w:jc w:val="center"/>
              <w:rPr>
                <w:szCs w:val="21"/>
              </w:rPr>
            </w:pPr>
            <w:r>
              <w:rPr>
                <w:rFonts w:hint="eastAsia"/>
                <w:szCs w:val="21"/>
              </w:rPr>
              <w:t>供应商名称</w:t>
            </w:r>
          </w:p>
        </w:tc>
        <w:tc>
          <w:tcPr>
            <w:tcW w:w="2687" w:type="dxa"/>
          </w:tcPr>
          <w:p>
            <w:pPr>
              <w:jc w:val="center"/>
              <w:rPr>
                <w:szCs w:val="21"/>
              </w:rPr>
            </w:pPr>
            <w:r>
              <w:rPr>
                <w:rFonts w:hint="eastAsia"/>
                <w:szCs w:val="21"/>
              </w:rPr>
              <w:t>软件名称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rPr>
              <w:t>品牌</w:t>
            </w:r>
          </w:p>
        </w:tc>
        <w:tc>
          <w:tcPr>
            <w:tcW w:w="1819" w:type="dxa"/>
          </w:tcPr>
          <w:p>
            <w:pPr>
              <w:jc w:val="center"/>
              <w:rPr>
                <w:szCs w:val="21"/>
              </w:rPr>
            </w:pPr>
            <w:r>
              <w:rPr>
                <w:rFonts w:hint="eastAsia"/>
                <w:szCs w:val="21"/>
              </w:rPr>
              <w:t>型号及规格</w:t>
            </w:r>
          </w:p>
        </w:tc>
        <w:tc>
          <w:tcPr>
            <w:tcW w:w="1682" w:type="dxa"/>
          </w:tcPr>
          <w:p>
            <w:pPr>
              <w:jc w:val="center"/>
              <w:rPr>
                <w:szCs w:val="21"/>
              </w:rPr>
            </w:pPr>
            <w:r>
              <w:rPr>
                <w:rFonts w:hint="eastAsia"/>
                <w:szCs w:val="21"/>
              </w:rPr>
              <w:t>产地</w:t>
            </w:r>
          </w:p>
        </w:tc>
        <w:tc>
          <w:tcPr>
            <w:tcW w:w="1743" w:type="dxa"/>
          </w:tcPr>
          <w:p>
            <w:pPr>
              <w:jc w:val="center"/>
              <w:rPr>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2"/>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2"/>
          </w:tcPr>
          <w:p>
            <w:pPr>
              <w:jc w:val="center"/>
              <w:rPr>
                <w:sz w:val="32"/>
                <w:szCs w:val="32"/>
              </w:rPr>
            </w:pPr>
          </w:p>
        </w:tc>
        <w:tc>
          <w:tcPr>
            <w:tcW w:w="2687" w:type="dxa"/>
          </w:tcPr>
          <w:p>
            <w:pPr>
              <w:jc w:val="center"/>
              <w:rPr>
                <w:sz w:val="32"/>
                <w:szCs w:val="32"/>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997946"/>
      <w:bookmarkStart w:id="4" w:name="_Toc201719118"/>
      <w:bookmarkStart w:id="5" w:name="_Toc201742861"/>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6"/>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（被授权人的姓名、职务）为本公司的合法代理人，以本公司名义负责处理在深圳市儿童医院软件采购活动中相关谈判采购事务。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6"/>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6"/>
              <w:rPr>
                <w:rFonts w:asciiTheme="minorEastAsia" w:hAnsiTheme="minorEastAsia" w:eastAsiaTheme="minorEastAsia"/>
                <w:sz w:val="24"/>
                <w:szCs w:val="24"/>
              </w:rPr>
            </w:pPr>
          </w:p>
        </w:tc>
        <w:tc>
          <w:tcPr>
            <w:tcW w:w="3290" w:type="dxa"/>
            <w:vAlign w:val="center"/>
          </w:tcPr>
          <w:p>
            <w:pPr>
              <w:pStyle w:val="6"/>
              <w:rPr>
                <w:rFonts w:asciiTheme="minorEastAsia" w:hAnsiTheme="minorEastAsia" w:eastAsiaTheme="minorEastAsia"/>
                <w:sz w:val="24"/>
                <w:szCs w:val="24"/>
              </w:rPr>
            </w:pPr>
          </w:p>
        </w:tc>
        <w:tc>
          <w:tcPr>
            <w:tcW w:w="1376" w:type="dxa"/>
            <w:vAlign w:val="center"/>
          </w:tcPr>
          <w:p>
            <w:pPr>
              <w:pStyle w:val="6"/>
              <w:rPr>
                <w:rFonts w:asciiTheme="minorEastAsia" w:hAnsiTheme="minorEastAsia" w:eastAsiaTheme="minorEastAsia"/>
                <w:sz w:val="24"/>
                <w:szCs w:val="24"/>
              </w:rPr>
            </w:pPr>
          </w:p>
        </w:tc>
        <w:tc>
          <w:tcPr>
            <w:tcW w:w="698" w:type="dxa"/>
            <w:vAlign w:val="center"/>
          </w:tcPr>
          <w:p>
            <w:pPr>
              <w:pStyle w:val="6"/>
              <w:jc w:val="left"/>
              <w:rPr>
                <w:rFonts w:asciiTheme="minorEastAsia" w:hAnsiTheme="minorEastAsia" w:eastAsiaTheme="minorEastAsia"/>
                <w:sz w:val="24"/>
                <w:szCs w:val="24"/>
              </w:rPr>
            </w:pPr>
          </w:p>
        </w:tc>
        <w:tc>
          <w:tcPr>
            <w:tcW w:w="1994" w:type="dxa"/>
            <w:vAlign w:val="center"/>
          </w:tcPr>
          <w:p>
            <w:pPr>
              <w:pStyle w:val="6"/>
              <w:jc w:val="left"/>
              <w:rPr>
                <w:rFonts w:asciiTheme="minorEastAsia" w:hAnsiTheme="minorEastAsia" w:eastAsiaTheme="minorEastAsia"/>
                <w:sz w:val="24"/>
                <w:szCs w:val="24"/>
              </w:rPr>
            </w:pPr>
          </w:p>
        </w:tc>
      </w:tr>
    </w:tbl>
    <w:p>
      <w:pPr>
        <w:pStyle w:val="6"/>
        <w:jc w:val="left"/>
        <w:rPr>
          <w:rFonts w:asciiTheme="minorEastAsia" w:hAnsiTheme="minorEastAsia" w:eastAsiaTheme="minorEastAsia"/>
          <w:sz w:val="24"/>
          <w:szCs w:val="24"/>
        </w:rPr>
      </w:pPr>
    </w:p>
    <w:p>
      <w:pPr>
        <w:pStyle w:val="6"/>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p>
    <w:p>
      <w:pPr>
        <w:pStyle w:val="2"/>
        <w:spacing w:line="36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8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highlight w:val="green"/>
              </w:rPr>
            </w:pPr>
            <w:r>
              <w:rPr>
                <w:rFonts w:cs="宋体" w:asciiTheme="minorEastAsia" w:hAnsiTheme="minorEastAsia" w:eastAsiaTheme="minorEastAsia"/>
                <w:b/>
                <w:bCs/>
                <w:kern w:val="0"/>
                <w:sz w:val="24"/>
                <w:szCs w:val="24"/>
              </w:rPr>
              <w:t>项目背景</w:t>
            </w:r>
          </w:p>
        </w:tc>
        <w:tc>
          <w:tcPr>
            <w:tcW w:w="8880" w:type="dxa"/>
            <w:tcBorders>
              <w:top w:val="single" w:color="auto" w:sz="6" w:space="0"/>
              <w:left w:val="single" w:color="auto" w:sz="6" w:space="0"/>
              <w:bottom w:val="nil"/>
              <w:right w:val="nil"/>
            </w:tcBorders>
            <w:vAlign w:val="center"/>
          </w:tcPr>
          <w:p>
            <w:pPr>
              <w:ind w:firstLine="420" w:firstLineChars="200"/>
              <w:rPr>
                <w:rFonts w:eastAsiaTheme="minorHAnsi"/>
                <w:kern w:val="0"/>
                <w:szCs w:val="21"/>
              </w:rPr>
            </w:pPr>
            <w:r>
              <w:rPr>
                <w:rFonts w:hint="eastAsia" w:eastAsiaTheme="minorHAnsi"/>
                <w:kern w:val="0"/>
                <w:szCs w:val="21"/>
              </w:rPr>
              <w:t>深圳市儿童医院是一家综合型专科医院，承担着深圳及周边几个城市的医疗健康保障，随着全院医疗信息化系统应用业务的不断扩展，需要有效提高医院诊断质量和时效能力，更好地为科研和临床服务，为实现智慧医院完成无纸化建设。</w:t>
            </w:r>
          </w:p>
          <w:p>
            <w:pPr>
              <w:ind w:firstLine="420" w:firstLineChars="200"/>
              <w:rPr>
                <w:rFonts w:eastAsiaTheme="minorHAnsi"/>
                <w:kern w:val="0"/>
                <w:szCs w:val="21"/>
                <w:highlight w:val="green"/>
              </w:rPr>
            </w:pPr>
            <w:r>
              <w:rPr>
                <w:rFonts w:hint="eastAsia" w:eastAsiaTheme="minorHAnsi"/>
                <w:kern w:val="0"/>
                <w:szCs w:val="21"/>
              </w:rPr>
              <w:t>随着无纸化建设的推进，CA认证在医院业务的全面推广应用，近期临床业务出现了一些极需解决的问题：：</w:t>
            </w:r>
          </w:p>
          <w:p>
            <w:pPr>
              <w:rPr>
                <w:rFonts w:eastAsiaTheme="minorEastAsia"/>
                <w:szCs w:val="21"/>
              </w:rPr>
            </w:pPr>
            <w:r>
              <w:rPr>
                <w:szCs w:val="21"/>
              </w:rPr>
              <w:t>1</w:t>
            </w:r>
            <w:r>
              <w:rPr>
                <w:rFonts w:hint="eastAsia"/>
                <w:szCs w:val="21"/>
              </w:rPr>
              <w:t>、</w:t>
            </w:r>
            <w:r>
              <w:rPr>
                <w:szCs w:val="21"/>
              </w:rPr>
              <w:t>CA</w:t>
            </w:r>
            <w:r>
              <w:rPr>
                <w:rFonts w:hint="eastAsia"/>
                <w:szCs w:val="21"/>
              </w:rPr>
              <w:t>认证使用量增加后，</w:t>
            </w:r>
            <w:r>
              <w:rPr>
                <w:szCs w:val="21"/>
              </w:rPr>
              <w:t>CA</w:t>
            </w:r>
            <w:r>
              <w:rPr>
                <w:rFonts w:hint="eastAsia"/>
                <w:szCs w:val="21"/>
              </w:rPr>
              <w:t>认证服务多次出现自动宕机</w:t>
            </w:r>
          </w:p>
          <w:p>
            <w:pPr>
              <w:numPr>
                <w:ilvl w:val="0"/>
                <w:numId w:val="1"/>
              </w:numPr>
              <w:rPr>
                <w:szCs w:val="21"/>
              </w:rPr>
            </w:pPr>
            <w:r>
              <w:rPr>
                <w:rFonts w:hint="eastAsia"/>
                <w:szCs w:val="21"/>
              </w:rPr>
              <w:t>业务使用量增加前，日登录数</w:t>
            </w:r>
            <w:r>
              <w:rPr>
                <w:szCs w:val="21"/>
              </w:rPr>
              <w:t>1000</w:t>
            </w:r>
            <w:r>
              <w:rPr>
                <w:rFonts w:hint="eastAsia"/>
                <w:szCs w:val="21"/>
              </w:rPr>
              <w:t>左右，业务使用量增加后，日登录数</w:t>
            </w:r>
            <w:r>
              <w:rPr>
                <w:szCs w:val="21"/>
              </w:rPr>
              <w:t>3000~5000</w:t>
            </w:r>
          </w:p>
          <w:p>
            <w:pPr>
              <w:numPr>
                <w:ilvl w:val="0"/>
                <w:numId w:val="1"/>
              </w:numPr>
              <w:rPr>
                <w:szCs w:val="21"/>
              </w:rPr>
            </w:pPr>
            <w:r>
              <w:rPr>
                <w:rFonts w:hint="eastAsia"/>
                <w:szCs w:val="21"/>
              </w:rPr>
              <w:t>业务使用量增加前，日签名数</w:t>
            </w:r>
            <w:r>
              <w:rPr>
                <w:szCs w:val="21"/>
              </w:rPr>
              <w:t>20000</w:t>
            </w:r>
            <w:r>
              <w:rPr>
                <w:rFonts w:hint="eastAsia"/>
                <w:szCs w:val="21"/>
              </w:rPr>
              <w:t>左右，业务使用量增加后，日签名数</w:t>
            </w:r>
            <w:r>
              <w:rPr>
                <w:szCs w:val="21"/>
              </w:rPr>
              <w:t>60000~70000</w:t>
            </w:r>
          </w:p>
          <w:p>
            <w:pPr>
              <w:rPr>
                <w:szCs w:val="21"/>
              </w:rPr>
            </w:pPr>
            <w:r>
              <w:rPr>
                <w:szCs w:val="21"/>
              </w:rPr>
              <w:t>2</w:t>
            </w:r>
            <w:r>
              <w:rPr>
                <w:rFonts w:hint="eastAsia"/>
                <w:szCs w:val="21"/>
              </w:rPr>
              <w:t>、</w:t>
            </w:r>
            <w:r>
              <w:rPr>
                <w:szCs w:val="21"/>
              </w:rPr>
              <w:t>CA</w:t>
            </w:r>
            <w:r>
              <w:rPr>
                <w:rFonts w:hint="eastAsia"/>
                <w:szCs w:val="21"/>
              </w:rPr>
              <w:t>认证使用量增加后，</w:t>
            </w:r>
            <w:r>
              <w:rPr>
                <w:szCs w:val="21"/>
              </w:rPr>
              <w:t>CA</w:t>
            </w:r>
            <w:r>
              <w:rPr>
                <w:rFonts w:hint="eastAsia"/>
                <w:szCs w:val="21"/>
              </w:rPr>
              <w:t>认证服务响应速度变慢；</w:t>
            </w:r>
          </w:p>
          <w:p>
            <w:pPr>
              <w:rPr>
                <w:szCs w:val="21"/>
              </w:rPr>
            </w:pPr>
            <w:r>
              <w:rPr>
                <w:szCs w:val="21"/>
              </w:rPr>
              <w:t>3</w:t>
            </w:r>
            <w:r>
              <w:rPr>
                <w:rFonts w:hint="eastAsia"/>
                <w:szCs w:val="21"/>
              </w:rPr>
              <w:t>、原来</w:t>
            </w:r>
            <w:r>
              <w:rPr>
                <w:szCs w:val="21"/>
              </w:rPr>
              <w:t>CA</w:t>
            </w:r>
            <w:r>
              <w:rPr>
                <w:rFonts w:hint="eastAsia"/>
                <w:szCs w:val="21"/>
              </w:rPr>
              <w:t>认证形态是云签署方式，采用的是云托管服务，这期间，被委托方机房曾多次出现故障，导致医院所有系统都无法登陆而影响了正常业务。</w:t>
            </w:r>
          </w:p>
          <w:p>
            <w:pPr>
              <w:ind w:firstLine="420" w:firstLineChars="200"/>
              <w:rPr>
                <w:szCs w:val="21"/>
              </w:rPr>
            </w:pPr>
            <w:r>
              <w:rPr>
                <w:rFonts w:hint="eastAsia"/>
                <w:szCs w:val="21"/>
              </w:rPr>
              <w:t>因此，</w:t>
            </w:r>
            <w:r>
              <w:rPr>
                <w:szCs w:val="21"/>
              </w:rPr>
              <w:t>CA</w:t>
            </w:r>
            <w:r>
              <w:rPr>
                <w:rFonts w:hint="eastAsia"/>
                <w:szCs w:val="21"/>
              </w:rPr>
              <w:t>认证服务变得至关重要，亟需可靠的高可用方案来解决目前面临的问题，同时，对全院</w:t>
            </w:r>
            <w:r>
              <w:rPr>
                <w:szCs w:val="21"/>
              </w:rPr>
              <w:t>CA</w:t>
            </w:r>
            <w:r>
              <w:rPr>
                <w:rFonts w:hint="eastAsia"/>
                <w:szCs w:val="21"/>
              </w:rPr>
              <w:t>认证服务进行全面升级已刻不容缓。</w:t>
            </w:r>
          </w:p>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kern w:val="0"/>
                <w:szCs w:val="21"/>
              </w:rPr>
              <w:t>另一方面，随着国家颁布《密码法》、深圳市颁发《深圳市电子政务领域基于</w:t>
            </w:r>
            <w:r>
              <w:rPr>
                <w:kern w:val="0"/>
                <w:szCs w:val="21"/>
              </w:rPr>
              <w:t>SM</w:t>
            </w:r>
            <w:r>
              <w:rPr>
                <w:rFonts w:hint="eastAsia"/>
                <w:kern w:val="0"/>
                <w:szCs w:val="21"/>
              </w:rPr>
              <w:t>系列密码算法的数字证书应用升级改造指南》以及电子病历系统功能应用水平六级评价签名规范标准要求，</w:t>
            </w:r>
            <w:r>
              <w:rPr>
                <w:kern w:val="0"/>
                <w:szCs w:val="21"/>
              </w:rPr>
              <w:t>CA</w:t>
            </w:r>
            <w:r>
              <w:rPr>
                <w:rFonts w:hint="eastAsia"/>
                <w:kern w:val="0"/>
                <w:szCs w:val="21"/>
              </w:rPr>
              <w:t>认证设备和软件系统国产密码算法更新也需要逐步加速改造进程。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hint="eastAsia"/>
                <w:sz w:val="24"/>
              </w:rPr>
              <w:t>采购清单</w:t>
            </w:r>
          </w:p>
        </w:tc>
        <w:tc>
          <w:tcPr>
            <w:tcW w:w="8880" w:type="dxa"/>
            <w:tcBorders>
              <w:top w:val="single" w:color="auto" w:sz="6" w:space="0"/>
              <w:left w:val="single" w:color="auto" w:sz="6" w:space="0"/>
              <w:bottom w:val="nil"/>
              <w:right w:val="nil"/>
            </w:tcBorders>
            <w:vAlign w:val="center"/>
          </w:tcPr>
          <w:tbl>
            <w:tblPr>
              <w:tblStyle w:val="12"/>
              <w:tblW w:w="8689" w:type="dxa"/>
              <w:tblCellSpacing w:w="0"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585"/>
              <w:gridCol w:w="1323"/>
              <w:gridCol w:w="1290"/>
              <w:gridCol w:w="1742"/>
              <w:gridCol w:w="174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9" w:hRule="atLeast"/>
                <w:tblHeader/>
                <w:tblCellSpacing w:w="0" w:type="dxa"/>
              </w:trPr>
              <w:tc>
                <w:tcPr>
                  <w:tcW w:w="2585"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设备</w:t>
                  </w:r>
                  <w:r>
                    <w:rPr>
                      <w:rFonts w:cs="宋体" w:asciiTheme="minorEastAsia" w:hAnsiTheme="minorEastAsia" w:eastAsiaTheme="minorEastAsia"/>
                      <w:b/>
                      <w:bCs/>
                      <w:kern w:val="0"/>
                      <w:sz w:val="24"/>
                      <w:szCs w:val="24"/>
                    </w:rPr>
                    <w:t xml:space="preserve">名称 </w:t>
                  </w:r>
                </w:p>
              </w:tc>
              <w:tc>
                <w:tcPr>
                  <w:tcW w:w="1323"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数量</w:t>
                  </w:r>
                </w:p>
              </w:tc>
              <w:tc>
                <w:tcPr>
                  <w:tcW w:w="1290"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单位</w:t>
                  </w:r>
                </w:p>
              </w:tc>
              <w:tc>
                <w:tcPr>
                  <w:tcW w:w="1742"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总</w:t>
                  </w:r>
                  <w:r>
                    <w:rPr>
                      <w:rFonts w:cs="宋体" w:asciiTheme="minorEastAsia" w:hAnsiTheme="minorEastAsia" w:eastAsiaTheme="minorEastAsia"/>
                      <w:b/>
                      <w:bCs/>
                      <w:kern w:val="0"/>
                      <w:sz w:val="24"/>
                      <w:szCs w:val="24"/>
                    </w:rPr>
                    <w:t>预算</w:t>
                  </w:r>
                  <w:r>
                    <w:rPr>
                      <w:rFonts w:hint="eastAsia" w:cs="宋体" w:asciiTheme="minorEastAsia" w:hAnsiTheme="minorEastAsia" w:eastAsiaTheme="minorEastAsia"/>
                      <w:b/>
                      <w:bCs/>
                      <w:kern w:val="0"/>
                      <w:sz w:val="24"/>
                      <w:szCs w:val="24"/>
                    </w:rPr>
                    <w:t>金</w:t>
                  </w:r>
                  <w:r>
                    <w:rPr>
                      <w:rFonts w:cs="宋体" w:asciiTheme="minorEastAsia" w:hAnsiTheme="minorEastAsia" w:eastAsiaTheme="minorEastAsia"/>
                      <w:b/>
                      <w:bCs/>
                      <w:kern w:val="0"/>
                      <w:sz w:val="24"/>
                      <w:szCs w:val="24"/>
                    </w:rPr>
                    <w:t>额(元)</w:t>
                  </w:r>
                </w:p>
              </w:tc>
              <w:tc>
                <w:tcPr>
                  <w:tcW w:w="1747" w:type="dxa"/>
                  <w:tcBorders>
                    <w:top w:val="nil"/>
                    <w:left w:val="single" w:color="auto" w:sz="6" w:space="0"/>
                    <w:bottom w:val="nil"/>
                    <w:right w:val="nil"/>
                  </w:tcBorders>
                  <w:vAlign w:val="center"/>
                </w:tcPr>
                <w:p>
                  <w:pPr>
                    <w:widowControl/>
                    <w:jc w:val="center"/>
                    <w:rPr>
                      <w:rFonts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49" w:hRule="atLeast"/>
                <w:tblCellSpacing w:w="0" w:type="dxa"/>
              </w:trPr>
              <w:tc>
                <w:tcPr>
                  <w:tcW w:w="2585"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sz w:val="24"/>
                      <w:szCs w:val="24"/>
                    </w:rPr>
                    <w:t>深圳市儿童医院CA认证服务高可用升级</w:t>
                  </w:r>
                </w:p>
              </w:tc>
              <w:tc>
                <w:tcPr>
                  <w:tcW w:w="1323"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1290"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套</w:t>
                  </w:r>
                </w:p>
              </w:tc>
              <w:tc>
                <w:tcPr>
                  <w:tcW w:w="1742"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ascii="宋体" w:hAnsi="宋体"/>
                    </w:rPr>
                    <w:t>400,000.00</w:t>
                  </w:r>
                </w:p>
              </w:tc>
              <w:tc>
                <w:tcPr>
                  <w:tcW w:w="1747" w:type="dxa"/>
                  <w:tcBorders>
                    <w:top w:val="single" w:color="auto" w:sz="6" w:space="0"/>
                    <w:left w:val="single" w:color="auto" w:sz="6" w:space="0"/>
                    <w:bottom w:val="nil"/>
                    <w:right w:val="nil"/>
                  </w:tcBorders>
                  <w:vAlign w:val="center"/>
                </w:tcPr>
                <w:p>
                  <w:pPr>
                    <w:widowControl/>
                    <w:jc w:val="center"/>
                    <w:rPr>
                      <w:rFonts w:cs="宋体" w:asciiTheme="minorEastAsia" w:hAnsiTheme="minorEastAsia" w:eastAsiaTheme="minorEastAsia"/>
                      <w:kern w:val="0"/>
                      <w:sz w:val="24"/>
                      <w:szCs w:val="24"/>
                    </w:rPr>
                  </w:pPr>
                  <w:r>
                    <w:rPr>
                      <w:rFonts w:hint="eastAsia" w:ascii="宋体" w:hAnsi="宋体"/>
                      <w:kern w:val="0"/>
                      <w:szCs w:val="21"/>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8" w:hRule="atLeast"/>
                <w:tblCellSpacing w:w="0" w:type="dxa"/>
              </w:trPr>
              <w:tc>
                <w:tcPr>
                  <w:tcW w:w="8689" w:type="dxa"/>
                  <w:gridSpan w:val="5"/>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kern w:val="0"/>
                      <w:sz w:val="24"/>
                      <w:szCs w:val="24"/>
                    </w:rPr>
                  </w:pPr>
                </w:p>
              </w:tc>
            </w:tr>
          </w:tbl>
          <w:p>
            <w:pPr>
              <w:widowControl/>
              <w:jc w:val="left"/>
              <w:rPr>
                <w:rFonts w:cs="宋体" w:asciiTheme="minorEastAsia" w:hAnsiTheme="minorEastAsia" w:eastAsia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b/>
                <w:bCs/>
                <w:kern w:val="0"/>
                <w:sz w:val="24"/>
                <w:szCs w:val="24"/>
              </w:rPr>
            </w:pPr>
            <w:r>
              <w:rPr>
                <w:rFonts w:hint="eastAsia"/>
                <w:sz w:val="24"/>
              </w:rPr>
              <w:t>详细采购清单</w:t>
            </w:r>
          </w:p>
        </w:tc>
        <w:tc>
          <w:tcPr>
            <w:tcW w:w="8880" w:type="dxa"/>
            <w:tcBorders>
              <w:top w:val="single" w:color="auto" w:sz="6" w:space="0"/>
              <w:left w:val="single" w:color="auto" w:sz="6" w:space="0"/>
              <w:bottom w:val="nil"/>
              <w:right w:val="nil"/>
            </w:tcBorders>
            <w:vAlign w:val="center"/>
          </w:tcPr>
          <w:tbl>
            <w:tblPr>
              <w:tblStyle w:val="12"/>
              <w:tblpPr w:leftFromText="180" w:rightFromText="180" w:vertAnchor="page" w:horzAnchor="margin" w:tblpY="1"/>
              <w:tblOverlap w:val="never"/>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42"/>
              <w:gridCol w:w="2044"/>
              <w:gridCol w:w="953"/>
              <w:gridCol w:w="120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trPr>
              <w:tc>
                <w:tcPr>
                  <w:tcW w:w="795" w:type="dxa"/>
                  <w:shd w:val="clear" w:color="auto" w:fill="C0C0C0"/>
                  <w:vAlign w:val="center"/>
                </w:tcPr>
                <w:p>
                  <w:pPr>
                    <w:widowControl/>
                    <w:spacing w:before="120" w:line="360" w:lineRule="auto"/>
                    <w:jc w:val="center"/>
                    <w:rPr>
                      <w:rFonts w:ascii="宋体" w:hAnsi="宋体"/>
                      <w:kern w:val="0"/>
                      <w:szCs w:val="21"/>
                    </w:rPr>
                  </w:pPr>
                  <w:r>
                    <w:rPr>
                      <w:rFonts w:hint="eastAsia" w:ascii="宋体" w:hAnsi="宋体"/>
                      <w:kern w:val="0"/>
                      <w:szCs w:val="21"/>
                    </w:rPr>
                    <w:t>序号</w:t>
                  </w:r>
                </w:p>
              </w:tc>
              <w:tc>
                <w:tcPr>
                  <w:tcW w:w="2742" w:type="dxa"/>
                  <w:shd w:val="clear" w:color="auto" w:fill="C0C0C0"/>
                  <w:vAlign w:val="center"/>
                </w:tcPr>
                <w:p>
                  <w:pPr>
                    <w:widowControl/>
                    <w:spacing w:before="120" w:line="360" w:lineRule="auto"/>
                    <w:jc w:val="center"/>
                    <w:rPr>
                      <w:rFonts w:ascii="宋体" w:hAnsi="宋体"/>
                      <w:kern w:val="0"/>
                      <w:szCs w:val="21"/>
                    </w:rPr>
                  </w:pPr>
                  <w:r>
                    <w:rPr>
                      <w:rFonts w:hint="eastAsia" w:ascii="宋体" w:hAnsi="宋体"/>
                      <w:kern w:val="0"/>
                      <w:szCs w:val="21"/>
                    </w:rPr>
                    <w:t>产品名称</w:t>
                  </w:r>
                </w:p>
              </w:tc>
              <w:tc>
                <w:tcPr>
                  <w:tcW w:w="2044" w:type="dxa"/>
                  <w:shd w:val="clear" w:color="auto" w:fill="C0C0C0"/>
                  <w:vAlign w:val="center"/>
                </w:tcPr>
                <w:p>
                  <w:pPr>
                    <w:widowControl/>
                    <w:spacing w:before="120" w:line="360" w:lineRule="auto"/>
                    <w:jc w:val="center"/>
                    <w:rPr>
                      <w:rFonts w:ascii="宋体" w:hAnsi="宋体"/>
                      <w:kern w:val="0"/>
                      <w:szCs w:val="21"/>
                    </w:rPr>
                  </w:pPr>
                  <w:r>
                    <w:rPr>
                      <w:rFonts w:hint="eastAsia" w:ascii="宋体" w:hAnsi="宋体"/>
                      <w:kern w:val="0"/>
                      <w:szCs w:val="21"/>
                    </w:rPr>
                    <w:t>数量</w:t>
                  </w:r>
                </w:p>
              </w:tc>
              <w:tc>
                <w:tcPr>
                  <w:tcW w:w="953" w:type="dxa"/>
                  <w:shd w:val="clear" w:color="auto" w:fill="C0C0C0"/>
                  <w:vAlign w:val="center"/>
                </w:tcPr>
                <w:p>
                  <w:pPr>
                    <w:widowControl/>
                    <w:spacing w:before="120" w:line="360" w:lineRule="auto"/>
                    <w:jc w:val="center"/>
                    <w:rPr>
                      <w:rFonts w:ascii="宋体" w:hAnsi="宋体"/>
                      <w:kern w:val="0"/>
                      <w:szCs w:val="21"/>
                    </w:rPr>
                  </w:pPr>
                  <w:r>
                    <w:rPr>
                      <w:rFonts w:hint="eastAsia" w:ascii="宋体" w:hAnsi="宋体"/>
                      <w:kern w:val="0"/>
                      <w:szCs w:val="21"/>
                    </w:rPr>
                    <w:t>单位</w:t>
                  </w:r>
                </w:p>
              </w:tc>
              <w:tc>
                <w:tcPr>
                  <w:tcW w:w="1205" w:type="dxa"/>
                  <w:shd w:val="clear" w:color="auto" w:fill="C0C0C0"/>
                </w:tcPr>
                <w:p>
                  <w:pPr>
                    <w:widowControl/>
                    <w:spacing w:before="120" w:line="360" w:lineRule="auto"/>
                    <w:jc w:val="center"/>
                    <w:rPr>
                      <w:rFonts w:ascii="宋体" w:hAnsi="宋体"/>
                      <w:kern w:val="0"/>
                      <w:szCs w:val="21"/>
                    </w:rPr>
                  </w:pPr>
                  <w:r>
                    <w:rPr>
                      <w:rFonts w:hint="eastAsia" w:ascii="宋体" w:hAnsi="宋体"/>
                      <w:kern w:val="0"/>
                      <w:szCs w:val="21"/>
                    </w:rPr>
                    <w:t>备注</w:t>
                  </w:r>
                </w:p>
              </w:tc>
              <w:tc>
                <w:tcPr>
                  <w:tcW w:w="1095" w:type="dxa"/>
                  <w:shd w:val="clear" w:color="auto" w:fill="C0C0C0"/>
                  <w:vAlign w:val="center"/>
                </w:tcPr>
                <w:p>
                  <w:pPr>
                    <w:widowControl/>
                    <w:spacing w:before="120" w:line="360" w:lineRule="auto"/>
                    <w:jc w:val="center"/>
                    <w:rPr>
                      <w:rFonts w:ascii="宋体" w:hAnsi="宋体"/>
                      <w:kern w:val="0"/>
                      <w:szCs w:val="21"/>
                    </w:rPr>
                  </w:pPr>
                  <w:r>
                    <w:rPr>
                      <w:rFonts w:hint="eastAsia" w:ascii="宋体" w:hAnsi="宋体"/>
                      <w:kern w:val="0"/>
                      <w:szCs w:val="21"/>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95" w:type="dxa"/>
                  <w:vAlign w:val="center"/>
                </w:tcPr>
                <w:p>
                  <w:pPr>
                    <w:widowControl/>
                    <w:spacing w:before="120" w:line="360" w:lineRule="auto"/>
                    <w:jc w:val="center"/>
                    <w:rPr>
                      <w:rFonts w:ascii="宋体" w:hAnsi="宋体"/>
                      <w:kern w:val="0"/>
                      <w:szCs w:val="21"/>
                    </w:rPr>
                  </w:pPr>
                  <w:r>
                    <w:rPr>
                      <w:rFonts w:ascii="宋体" w:hAnsi="宋体"/>
                      <w:kern w:val="0"/>
                      <w:szCs w:val="21"/>
                    </w:rPr>
                    <w:t>1</w:t>
                  </w:r>
                </w:p>
              </w:tc>
              <w:tc>
                <w:tcPr>
                  <w:tcW w:w="2742" w:type="dxa"/>
                  <w:vAlign w:val="center"/>
                </w:tcPr>
                <w:p>
                  <w:pPr>
                    <w:widowControl/>
                    <w:spacing w:before="120" w:line="360" w:lineRule="auto"/>
                    <w:jc w:val="center"/>
                    <w:rPr>
                      <w:rFonts w:ascii="宋体" w:hAnsi="宋体"/>
                      <w:kern w:val="0"/>
                      <w:szCs w:val="21"/>
                    </w:rPr>
                  </w:pPr>
                  <w:r>
                    <w:rPr>
                      <w:rFonts w:hint="eastAsia"/>
                    </w:rPr>
                    <w:t>数字签名服务器</w:t>
                  </w:r>
                </w:p>
              </w:tc>
              <w:tc>
                <w:tcPr>
                  <w:tcW w:w="2044" w:type="dxa"/>
                  <w:vAlign w:val="center"/>
                </w:tcPr>
                <w:p>
                  <w:pPr>
                    <w:widowControl/>
                    <w:spacing w:before="120" w:line="360" w:lineRule="auto"/>
                    <w:jc w:val="center"/>
                    <w:rPr>
                      <w:rFonts w:ascii="宋体" w:hAnsi="宋体"/>
                      <w:kern w:val="0"/>
                      <w:szCs w:val="21"/>
                    </w:rPr>
                  </w:pPr>
                  <w:r>
                    <w:rPr>
                      <w:rFonts w:hint="eastAsia" w:ascii="宋体" w:hAnsi="宋体"/>
                      <w:kern w:val="0"/>
                      <w:szCs w:val="21"/>
                    </w:rPr>
                    <w:t>1</w:t>
                  </w:r>
                </w:p>
              </w:tc>
              <w:tc>
                <w:tcPr>
                  <w:tcW w:w="953" w:type="dxa"/>
                  <w:vAlign w:val="center"/>
                </w:tcPr>
                <w:p>
                  <w:pPr>
                    <w:widowControl/>
                    <w:spacing w:before="120" w:line="360" w:lineRule="auto"/>
                    <w:jc w:val="center"/>
                    <w:rPr>
                      <w:rFonts w:ascii="宋体" w:hAnsi="宋体"/>
                      <w:kern w:val="0"/>
                      <w:szCs w:val="21"/>
                    </w:rPr>
                  </w:pPr>
                  <w:r>
                    <w:rPr>
                      <w:rFonts w:hint="eastAsia" w:ascii="宋体" w:hAnsi="宋体"/>
                      <w:kern w:val="0"/>
                      <w:szCs w:val="21"/>
                    </w:rPr>
                    <w:t>台</w:t>
                  </w:r>
                </w:p>
              </w:tc>
              <w:tc>
                <w:tcPr>
                  <w:tcW w:w="1205" w:type="dxa"/>
                </w:tcPr>
                <w:p>
                  <w:pPr>
                    <w:widowControl/>
                    <w:spacing w:after="120"/>
                    <w:jc w:val="center"/>
                    <w:rPr>
                      <w:rFonts w:ascii="宋体" w:hAnsi="宋体"/>
                      <w:kern w:val="0"/>
                      <w:szCs w:val="21"/>
                    </w:rPr>
                  </w:pPr>
                  <w:r>
                    <w:rPr>
                      <w:rFonts w:hint="eastAsia" w:ascii="宋体" w:hAnsi="宋体"/>
                      <w:kern w:val="0"/>
                      <w:szCs w:val="21"/>
                    </w:rPr>
                    <w:t>/</w:t>
                  </w:r>
                </w:p>
              </w:tc>
              <w:tc>
                <w:tcPr>
                  <w:tcW w:w="1095" w:type="dxa"/>
                  <w:vMerge w:val="restart"/>
                  <w:vAlign w:val="center"/>
                </w:tcPr>
                <w:p>
                  <w:pPr>
                    <w:widowControl/>
                    <w:spacing w:after="120" w:line="360" w:lineRule="auto"/>
                    <w:jc w:val="center"/>
                    <w:rPr>
                      <w:rFonts w:ascii="宋体" w:hAnsi="宋体"/>
                      <w:kern w:val="0"/>
                      <w:szCs w:val="21"/>
                    </w:rPr>
                  </w:pPr>
                  <w:r>
                    <w:rPr>
                      <w:rFonts w:ascii="宋体" w:hAnsi="宋体"/>
                    </w:rPr>
                    <w:t>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5" w:type="dxa"/>
                  <w:vAlign w:val="center"/>
                </w:tcPr>
                <w:p>
                  <w:pPr>
                    <w:widowControl/>
                    <w:spacing w:before="120" w:line="360" w:lineRule="auto"/>
                    <w:jc w:val="center"/>
                    <w:rPr>
                      <w:rFonts w:ascii="宋体" w:hAnsi="宋体"/>
                      <w:kern w:val="0"/>
                      <w:szCs w:val="21"/>
                    </w:rPr>
                  </w:pPr>
                  <w:r>
                    <w:rPr>
                      <w:rFonts w:ascii="宋体" w:hAnsi="宋体"/>
                      <w:kern w:val="0"/>
                      <w:szCs w:val="21"/>
                    </w:rPr>
                    <w:t>2</w:t>
                  </w:r>
                </w:p>
              </w:tc>
              <w:tc>
                <w:tcPr>
                  <w:tcW w:w="2742" w:type="dxa"/>
                  <w:vAlign w:val="center"/>
                </w:tcPr>
                <w:p>
                  <w:pPr>
                    <w:widowControl/>
                    <w:spacing w:before="120" w:line="360" w:lineRule="auto"/>
                    <w:jc w:val="center"/>
                    <w:rPr>
                      <w:rFonts w:ascii="宋体" w:hAnsi="宋体"/>
                      <w:kern w:val="0"/>
                      <w:szCs w:val="21"/>
                    </w:rPr>
                  </w:pPr>
                  <w:r>
                    <w:rPr>
                      <w:rFonts w:hint="eastAsia"/>
                    </w:rPr>
                    <w:t>时间戳服务器</w:t>
                  </w:r>
                </w:p>
              </w:tc>
              <w:tc>
                <w:tcPr>
                  <w:tcW w:w="2044" w:type="dxa"/>
                  <w:vAlign w:val="center"/>
                </w:tcPr>
                <w:p>
                  <w:pPr>
                    <w:widowControl/>
                    <w:spacing w:before="120" w:line="360" w:lineRule="auto"/>
                    <w:jc w:val="center"/>
                    <w:rPr>
                      <w:rFonts w:ascii="宋体" w:hAnsi="宋体"/>
                      <w:kern w:val="0"/>
                      <w:szCs w:val="21"/>
                    </w:rPr>
                  </w:pPr>
                  <w:r>
                    <w:rPr>
                      <w:rFonts w:ascii="宋体" w:hAnsi="宋体"/>
                      <w:kern w:val="0"/>
                      <w:szCs w:val="21"/>
                    </w:rPr>
                    <w:t>1</w:t>
                  </w:r>
                </w:p>
              </w:tc>
              <w:tc>
                <w:tcPr>
                  <w:tcW w:w="953" w:type="dxa"/>
                  <w:vAlign w:val="center"/>
                </w:tcPr>
                <w:p>
                  <w:pPr>
                    <w:widowControl/>
                    <w:spacing w:before="120" w:line="360" w:lineRule="auto"/>
                    <w:jc w:val="center"/>
                    <w:rPr>
                      <w:rFonts w:ascii="宋体" w:hAnsi="宋体"/>
                      <w:kern w:val="0"/>
                      <w:szCs w:val="21"/>
                    </w:rPr>
                  </w:pPr>
                  <w:r>
                    <w:rPr>
                      <w:rFonts w:hint="eastAsia" w:ascii="宋体" w:hAnsi="宋体"/>
                      <w:kern w:val="0"/>
                      <w:szCs w:val="21"/>
                    </w:rPr>
                    <w:t>台</w:t>
                  </w:r>
                </w:p>
              </w:tc>
              <w:tc>
                <w:tcPr>
                  <w:tcW w:w="1205" w:type="dxa"/>
                </w:tcPr>
                <w:p>
                  <w:pPr>
                    <w:widowControl/>
                    <w:spacing w:after="120"/>
                    <w:jc w:val="center"/>
                    <w:rPr>
                      <w:rFonts w:ascii="宋体" w:hAnsi="宋体"/>
                      <w:kern w:val="0"/>
                      <w:szCs w:val="21"/>
                    </w:rPr>
                  </w:pPr>
                  <w:r>
                    <w:rPr>
                      <w:rFonts w:hint="eastAsia" w:ascii="宋体" w:hAnsi="宋体"/>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5" w:type="dxa"/>
                  <w:vAlign w:val="center"/>
                </w:tcPr>
                <w:p>
                  <w:pPr>
                    <w:widowControl/>
                    <w:spacing w:before="120" w:line="360" w:lineRule="auto"/>
                    <w:jc w:val="center"/>
                    <w:rPr>
                      <w:rFonts w:ascii="宋体" w:hAnsi="宋体"/>
                      <w:kern w:val="0"/>
                      <w:szCs w:val="21"/>
                    </w:rPr>
                  </w:pPr>
                  <w:r>
                    <w:rPr>
                      <w:rFonts w:hint="eastAsia" w:ascii="宋体" w:hAnsi="宋体"/>
                      <w:kern w:val="0"/>
                      <w:szCs w:val="21"/>
                    </w:rPr>
                    <w:t>3</w:t>
                  </w:r>
                </w:p>
              </w:tc>
              <w:tc>
                <w:tcPr>
                  <w:tcW w:w="2742" w:type="dxa"/>
                  <w:vAlign w:val="center"/>
                </w:tcPr>
                <w:p>
                  <w:pPr>
                    <w:widowControl/>
                    <w:spacing w:before="120" w:line="360" w:lineRule="auto"/>
                    <w:jc w:val="center"/>
                  </w:pPr>
                  <w:r>
                    <w:rPr>
                      <w:rFonts w:hint="eastAsia" w:ascii="宋体" w:hAnsi="宋体"/>
                      <w:kern w:val="0"/>
                      <w:szCs w:val="21"/>
                    </w:rPr>
                    <w:t>服务器证书</w:t>
                  </w:r>
                </w:p>
              </w:tc>
              <w:tc>
                <w:tcPr>
                  <w:tcW w:w="2044" w:type="dxa"/>
                  <w:vAlign w:val="center"/>
                </w:tcPr>
                <w:p>
                  <w:pPr>
                    <w:widowControl/>
                    <w:spacing w:before="120" w:line="360" w:lineRule="auto"/>
                    <w:jc w:val="center"/>
                    <w:rPr>
                      <w:rFonts w:ascii="宋体" w:hAnsi="宋体"/>
                      <w:kern w:val="0"/>
                      <w:szCs w:val="21"/>
                    </w:rPr>
                  </w:pPr>
                  <w:r>
                    <w:rPr>
                      <w:rFonts w:hint="eastAsia" w:ascii="宋体" w:hAnsi="宋体"/>
                      <w:kern w:val="0"/>
                      <w:szCs w:val="21"/>
                    </w:rPr>
                    <w:t>1</w:t>
                  </w:r>
                </w:p>
              </w:tc>
              <w:tc>
                <w:tcPr>
                  <w:tcW w:w="953" w:type="dxa"/>
                  <w:vAlign w:val="center"/>
                </w:tcPr>
                <w:p>
                  <w:pPr>
                    <w:widowControl/>
                    <w:spacing w:before="120" w:line="360" w:lineRule="auto"/>
                    <w:jc w:val="center"/>
                    <w:rPr>
                      <w:rFonts w:ascii="宋体" w:hAnsi="宋体"/>
                      <w:kern w:val="0"/>
                      <w:szCs w:val="21"/>
                    </w:rPr>
                  </w:pPr>
                  <w:r>
                    <w:rPr>
                      <w:rFonts w:hint="eastAsia" w:ascii="宋体" w:hAnsi="宋体"/>
                      <w:kern w:val="0"/>
                      <w:szCs w:val="21"/>
                    </w:rPr>
                    <w:t>张</w:t>
                  </w:r>
                </w:p>
              </w:tc>
              <w:tc>
                <w:tcPr>
                  <w:tcW w:w="1205" w:type="dxa"/>
                </w:tcPr>
                <w:p>
                  <w:pPr>
                    <w:widowControl/>
                    <w:spacing w:after="120"/>
                    <w:jc w:val="center"/>
                    <w:rPr>
                      <w:rFonts w:ascii="宋体" w:hAnsi="宋体"/>
                      <w:kern w:val="0"/>
                      <w:szCs w:val="21"/>
                    </w:rPr>
                  </w:pPr>
                  <w:r>
                    <w:rPr>
                      <w:rFonts w:hint="eastAsia" w:ascii="宋体" w:hAnsi="宋体"/>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5" w:type="dxa"/>
                  <w:vAlign w:val="center"/>
                </w:tcPr>
                <w:p>
                  <w:pPr>
                    <w:widowControl/>
                    <w:spacing w:before="120" w:line="360" w:lineRule="auto"/>
                    <w:jc w:val="center"/>
                    <w:rPr>
                      <w:rFonts w:ascii="宋体" w:hAnsi="宋体"/>
                      <w:kern w:val="0"/>
                      <w:szCs w:val="21"/>
                    </w:rPr>
                  </w:pPr>
                  <w:r>
                    <w:rPr>
                      <w:rFonts w:ascii="宋体" w:hAnsi="宋体"/>
                      <w:kern w:val="0"/>
                      <w:szCs w:val="21"/>
                    </w:rPr>
                    <w:t>4</w:t>
                  </w:r>
                </w:p>
              </w:tc>
              <w:tc>
                <w:tcPr>
                  <w:tcW w:w="2742" w:type="dxa"/>
                  <w:vAlign w:val="center"/>
                </w:tcPr>
                <w:p>
                  <w:pPr>
                    <w:widowControl/>
                    <w:spacing w:before="120" w:line="360" w:lineRule="auto"/>
                    <w:jc w:val="center"/>
                    <w:rPr>
                      <w:rFonts w:ascii="宋体" w:hAnsi="宋体"/>
                      <w:kern w:val="0"/>
                      <w:szCs w:val="21"/>
                    </w:rPr>
                  </w:pPr>
                  <w:r>
                    <w:rPr>
                      <w:rFonts w:hint="eastAsia"/>
                      <w:kern w:val="0"/>
                    </w:rPr>
                    <w:t>中间件控件升级</w:t>
                  </w:r>
                </w:p>
              </w:tc>
              <w:tc>
                <w:tcPr>
                  <w:tcW w:w="2044" w:type="dxa"/>
                  <w:vAlign w:val="center"/>
                </w:tcPr>
                <w:p>
                  <w:pPr>
                    <w:widowControl/>
                    <w:spacing w:before="120" w:line="360" w:lineRule="auto"/>
                    <w:jc w:val="center"/>
                    <w:rPr>
                      <w:rFonts w:ascii="宋体" w:hAnsi="宋体"/>
                      <w:kern w:val="0"/>
                      <w:szCs w:val="21"/>
                    </w:rPr>
                  </w:pPr>
                  <w:r>
                    <w:rPr>
                      <w:rFonts w:ascii="宋体" w:hAnsi="宋体"/>
                      <w:kern w:val="0"/>
                      <w:szCs w:val="21"/>
                    </w:rPr>
                    <w:t>1</w:t>
                  </w:r>
                </w:p>
              </w:tc>
              <w:tc>
                <w:tcPr>
                  <w:tcW w:w="953" w:type="dxa"/>
                  <w:vAlign w:val="center"/>
                </w:tcPr>
                <w:p>
                  <w:pPr>
                    <w:widowControl/>
                    <w:spacing w:before="120" w:line="360" w:lineRule="auto"/>
                    <w:jc w:val="center"/>
                    <w:rPr>
                      <w:rFonts w:ascii="宋体" w:hAnsi="宋体"/>
                      <w:kern w:val="0"/>
                      <w:szCs w:val="21"/>
                    </w:rPr>
                  </w:pPr>
                  <w:r>
                    <w:rPr>
                      <w:rFonts w:ascii="宋体" w:hAnsi="宋体"/>
                      <w:kern w:val="0"/>
                      <w:szCs w:val="21"/>
                    </w:rPr>
                    <w:t>项</w:t>
                  </w:r>
                </w:p>
              </w:tc>
              <w:tc>
                <w:tcPr>
                  <w:tcW w:w="1205" w:type="dxa"/>
                </w:tcPr>
                <w:p>
                  <w:pPr>
                    <w:widowControl/>
                    <w:spacing w:after="120"/>
                    <w:jc w:val="center"/>
                    <w:rPr>
                      <w:rFonts w:ascii="宋体" w:hAnsi="宋体"/>
                      <w:kern w:val="0"/>
                      <w:szCs w:val="21"/>
                    </w:rPr>
                  </w:pPr>
                  <w:r>
                    <w:rPr>
                      <w:rFonts w:hint="eastAsia" w:ascii="宋体" w:hAnsi="宋体"/>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5" w:type="dxa"/>
                  <w:vAlign w:val="center"/>
                </w:tcPr>
                <w:p>
                  <w:pPr>
                    <w:widowControl/>
                    <w:spacing w:before="120" w:line="360" w:lineRule="auto"/>
                    <w:jc w:val="center"/>
                    <w:rPr>
                      <w:rFonts w:ascii="宋体" w:hAnsi="宋体"/>
                      <w:kern w:val="0"/>
                      <w:szCs w:val="21"/>
                    </w:rPr>
                  </w:pPr>
                  <w:r>
                    <w:rPr>
                      <w:rFonts w:ascii="宋体" w:hAnsi="宋体"/>
                      <w:kern w:val="0"/>
                      <w:szCs w:val="21"/>
                    </w:rPr>
                    <w:t>5</w:t>
                  </w:r>
                </w:p>
              </w:tc>
              <w:tc>
                <w:tcPr>
                  <w:tcW w:w="2742" w:type="dxa"/>
                  <w:vAlign w:val="center"/>
                </w:tcPr>
                <w:p>
                  <w:pPr>
                    <w:widowControl/>
                    <w:spacing w:before="120" w:line="360" w:lineRule="auto"/>
                    <w:jc w:val="center"/>
                    <w:rPr>
                      <w:rFonts w:ascii="宋体" w:hAnsi="宋体"/>
                      <w:kern w:val="0"/>
                      <w:szCs w:val="21"/>
                    </w:rPr>
                  </w:pPr>
                  <w:r>
                    <w:t>CA</w:t>
                  </w:r>
                  <w:r>
                    <w:rPr>
                      <w:rFonts w:hint="eastAsia"/>
                    </w:rPr>
                    <w:t>认证服务增加非即时签名功能</w:t>
                  </w:r>
                </w:p>
              </w:tc>
              <w:tc>
                <w:tcPr>
                  <w:tcW w:w="2044" w:type="dxa"/>
                  <w:vAlign w:val="center"/>
                </w:tcPr>
                <w:p>
                  <w:pPr>
                    <w:widowControl/>
                    <w:spacing w:before="120" w:line="360" w:lineRule="auto"/>
                    <w:jc w:val="center"/>
                    <w:rPr>
                      <w:rFonts w:ascii="宋体" w:hAnsi="宋体"/>
                      <w:kern w:val="0"/>
                      <w:szCs w:val="21"/>
                    </w:rPr>
                  </w:pPr>
                  <w:r>
                    <w:rPr>
                      <w:rFonts w:hint="eastAsia" w:ascii="宋体" w:hAnsi="宋体"/>
                      <w:kern w:val="0"/>
                      <w:szCs w:val="21"/>
                    </w:rPr>
                    <w:t>1</w:t>
                  </w:r>
                </w:p>
              </w:tc>
              <w:tc>
                <w:tcPr>
                  <w:tcW w:w="953" w:type="dxa"/>
                  <w:vAlign w:val="center"/>
                </w:tcPr>
                <w:p>
                  <w:pPr>
                    <w:widowControl/>
                    <w:spacing w:before="120" w:line="360" w:lineRule="auto"/>
                    <w:jc w:val="center"/>
                    <w:rPr>
                      <w:rFonts w:ascii="宋体" w:hAnsi="宋体"/>
                      <w:kern w:val="0"/>
                      <w:szCs w:val="21"/>
                    </w:rPr>
                  </w:pPr>
                  <w:r>
                    <w:rPr>
                      <w:rFonts w:ascii="宋体" w:hAnsi="宋体"/>
                      <w:kern w:val="0"/>
                      <w:szCs w:val="21"/>
                    </w:rPr>
                    <w:t>项</w:t>
                  </w:r>
                </w:p>
              </w:tc>
              <w:tc>
                <w:tcPr>
                  <w:tcW w:w="1205" w:type="dxa"/>
                </w:tcPr>
                <w:p>
                  <w:pPr>
                    <w:widowControl/>
                    <w:spacing w:after="120"/>
                    <w:jc w:val="center"/>
                    <w:rPr>
                      <w:rFonts w:ascii="宋体" w:hAnsi="宋体"/>
                      <w:kern w:val="0"/>
                      <w:szCs w:val="21"/>
                    </w:rPr>
                  </w:pPr>
                  <w:r>
                    <w:rPr>
                      <w:rFonts w:hint="eastAsia" w:ascii="宋体" w:hAnsi="宋体"/>
                      <w:kern w:val="0"/>
                      <w:szCs w:val="21"/>
                    </w:rPr>
                    <w:t>/</w:t>
                  </w:r>
                </w:p>
              </w:tc>
              <w:tc>
                <w:tcPr>
                  <w:tcW w:w="1095" w:type="dxa"/>
                  <w:vMerge w:val="continue"/>
                  <w:vAlign w:val="center"/>
                </w:tcPr>
                <w:p>
                  <w:pPr>
                    <w:spacing w:line="420" w:lineRule="auto"/>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5" w:type="dxa"/>
                  <w:vAlign w:val="center"/>
                </w:tcPr>
                <w:p>
                  <w:pPr>
                    <w:widowControl/>
                    <w:spacing w:before="120" w:line="360" w:lineRule="auto"/>
                    <w:jc w:val="center"/>
                    <w:rPr>
                      <w:rFonts w:ascii="宋体" w:hAnsi="宋体"/>
                      <w:kern w:val="0"/>
                      <w:szCs w:val="21"/>
                    </w:rPr>
                  </w:pPr>
                  <w:r>
                    <w:rPr>
                      <w:rFonts w:ascii="宋体" w:hAnsi="宋体"/>
                      <w:kern w:val="0"/>
                      <w:szCs w:val="21"/>
                    </w:rPr>
                    <w:t>6</w:t>
                  </w:r>
                </w:p>
              </w:tc>
              <w:tc>
                <w:tcPr>
                  <w:tcW w:w="2742" w:type="dxa"/>
                  <w:vAlign w:val="center"/>
                </w:tcPr>
                <w:p>
                  <w:pPr>
                    <w:widowControl/>
                    <w:spacing w:before="120" w:line="360" w:lineRule="auto"/>
                    <w:jc w:val="center"/>
                  </w:pPr>
                  <w:r>
                    <w:rPr>
                      <w:rFonts w:hint="eastAsia"/>
                    </w:rPr>
                    <w:t>CA认证服务增加协同、授权签名功能</w:t>
                  </w:r>
                </w:p>
              </w:tc>
              <w:tc>
                <w:tcPr>
                  <w:tcW w:w="2044" w:type="dxa"/>
                  <w:vAlign w:val="center"/>
                </w:tcPr>
                <w:p>
                  <w:pPr>
                    <w:widowControl/>
                    <w:spacing w:before="120" w:line="360" w:lineRule="auto"/>
                    <w:jc w:val="center"/>
                    <w:rPr>
                      <w:rFonts w:ascii="宋体" w:hAnsi="宋体"/>
                      <w:kern w:val="0"/>
                      <w:szCs w:val="21"/>
                    </w:rPr>
                  </w:pPr>
                  <w:r>
                    <w:rPr>
                      <w:rFonts w:hint="eastAsia" w:ascii="宋体" w:hAnsi="宋体"/>
                      <w:kern w:val="0"/>
                      <w:szCs w:val="21"/>
                    </w:rPr>
                    <w:t>1</w:t>
                  </w:r>
                </w:p>
              </w:tc>
              <w:tc>
                <w:tcPr>
                  <w:tcW w:w="953" w:type="dxa"/>
                  <w:vAlign w:val="center"/>
                </w:tcPr>
                <w:p>
                  <w:pPr>
                    <w:widowControl/>
                    <w:spacing w:before="120" w:line="360" w:lineRule="auto"/>
                    <w:jc w:val="center"/>
                    <w:rPr>
                      <w:rFonts w:ascii="宋体" w:hAnsi="宋体"/>
                      <w:kern w:val="0"/>
                      <w:szCs w:val="21"/>
                    </w:rPr>
                  </w:pPr>
                  <w:r>
                    <w:rPr>
                      <w:rFonts w:ascii="宋体" w:hAnsi="宋体"/>
                      <w:kern w:val="0"/>
                      <w:szCs w:val="21"/>
                    </w:rPr>
                    <w:t>项</w:t>
                  </w:r>
                </w:p>
              </w:tc>
              <w:tc>
                <w:tcPr>
                  <w:tcW w:w="1205" w:type="dxa"/>
                </w:tcPr>
                <w:p>
                  <w:pPr>
                    <w:widowControl/>
                    <w:spacing w:after="120"/>
                    <w:jc w:val="center"/>
                    <w:rPr>
                      <w:rFonts w:ascii="宋体" w:hAnsi="宋体"/>
                      <w:kern w:val="0"/>
                      <w:szCs w:val="21"/>
                    </w:rPr>
                  </w:pPr>
                  <w:r>
                    <w:rPr>
                      <w:rFonts w:hint="eastAsia" w:ascii="宋体" w:hAnsi="宋体"/>
                      <w:kern w:val="0"/>
                      <w:szCs w:val="21"/>
                    </w:rPr>
                    <w:t>/</w:t>
                  </w:r>
                </w:p>
              </w:tc>
              <w:tc>
                <w:tcPr>
                  <w:tcW w:w="1095" w:type="dxa"/>
                  <w:vMerge w:val="continue"/>
                  <w:vAlign w:val="center"/>
                </w:tcPr>
                <w:p>
                  <w:pPr>
                    <w:spacing w:line="420" w:lineRule="auto"/>
                    <w:jc w:val="center"/>
                    <w:rPr>
                      <w:rFonts w:ascii="宋体" w:hAnsi="宋体"/>
                      <w:szCs w:val="21"/>
                      <w:highlight w:val="yellow"/>
                    </w:rPr>
                  </w:pPr>
                </w:p>
              </w:tc>
            </w:tr>
          </w:tbl>
          <w:p>
            <w:pPr>
              <w:widowControl/>
              <w:jc w:val="center"/>
              <w:rPr>
                <w:rFonts w:cs="宋体" w:asciiTheme="minorEastAsia" w:hAnsiTheme="minorEastAsia" w:eastAsiaTheme="minorEastAsia"/>
                <w:b/>
                <w:bCs/>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技术要求</w:t>
            </w:r>
          </w:p>
        </w:tc>
        <w:tc>
          <w:tcPr>
            <w:tcW w:w="8880" w:type="dxa"/>
            <w:tcBorders>
              <w:top w:val="single" w:color="auto" w:sz="6" w:space="0"/>
              <w:left w:val="single" w:color="auto" w:sz="6" w:space="0"/>
              <w:bottom w:val="nil"/>
              <w:right w:val="nil"/>
            </w:tcBorders>
            <w:vAlign w:val="center"/>
          </w:tcPr>
          <w:p>
            <w:pPr>
              <w:widowControl/>
              <w:snapToGrid w:val="0"/>
              <w:spacing w:before="100" w:beforeAutospacing="1" w:after="100" w:afterAutospacing="1"/>
              <w:jc w:val="left"/>
              <w:rPr>
                <w:rFonts w:cs="宋体" w:asciiTheme="minorEastAsia" w:hAnsiTheme="minorEastAsia" w:eastAsiaTheme="minorEastAsia"/>
                <w:b/>
                <w:bCs/>
                <w:kern w:val="0"/>
                <w:sz w:val="24"/>
                <w:szCs w:val="24"/>
              </w:rPr>
            </w:pPr>
            <w:r>
              <w:rPr>
                <w:rFonts w:cs="宋体" w:asciiTheme="minorEastAsia" w:hAnsiTheme="minorEastAsia" w:eastAsiaTheme="minorEastAsia"/>
                <w:b/>
                <w:bCs/>
                <w:kern w:val="0"/>
                <w:sz w:val="24"/>
                <w:szCs w:val="24"/>
              </w:rPr>
              <w:t>具体技术</w:t>
            </w:r>
            <w:r>
              <w:rPr>
                <w:rFonts w:hint="eastAsia" w:cs="宋体" w:asciiTheme="minorEastAsia" w:hAnsiTheme="minorEastAsia" w:eastAsiaTheme="minorEastAsia"/>
                <w:b/>
                <w:bCs/>
                <w:kern w:val="0"/>
                <w:sz w:val="24"/>
                <w:szCs w:val="24"/>
              </w:rPr>
              <w:t>参数</w:t>
            </w:r>
            <w:r>
              <w:rPr>
                <w:rFonts w:cs="宋体" w:asciiTheme="minorEastAsia" w:hAnsiTheme="minorEastAsia" w:eastAsiaTheme="minorEastAsia"/>
                <w:b/>
                <w:bCs/>
                <w:kern w:val="0"/>
                <w:sz w:val="24"/>
                <w:szCs w:val="24"/>
              </w:rPr>
              <w:t>要求</w:t>
            </w:r>
            <w:r>
              <w:rPr>
                <w:rFonts w:hint="eastAsia" w:cs="宋体" w:asciiTheme="minorEastAsia" w:hAnsiTheme="minorEastAsia" w:eastAsiaTheme="minorEastAsia"/>
                <w:b/>
                <w:bCs/>
                <w:kern w:val="0"/>
                <w:sz w:val="24"/>
                <w:szCs w:val="24"/>
              </w:rPr>
              <w:t>：</w:t>
            </w:r>
          </w:p>
          <w:tbl>
            <w:tblPr>
              <w:tblStyle w:val="12"/>
              <w:tblW w:w="8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72"/>
              <w:gridCol w:w="1080"/>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Align w:val="center"/>
                </w:tcPr>
                <w:p>
                  <w:pPr>
                    <w:jc w:val="center"/>
                    <w:rPr>
                      <w:rFonts w:ascii="仿宋" w:hAnsi="仿宋"/>
                      <w:b/>
                    </w:rPr>
                  </w:pPr>
                  <w:r>
                    <w:rPr>
                      <w:rFonts w:hint="eastAsia" w:ascii="仿宋" w:hAnsi="仿宋"/>
                      <w:b/>
                    </w:rPr>
                    <w:t>序号</w:t>
                  </w:r>
                </w:p>
              </w:tc>
              <w:tc>
                <w:tcPr>
                  <w:tcW w:w="2052" w:type="dxa"/>
                  <w:gridSpan w:val="2"/>
                  <w:vAlign w:val="center"/>
                </w:tcPr>
                <w:p>
                  <w:pPr>
                    <w:widowControl/>
                    <w:jc w:val="center"/>
                    <w:rPr>
                      <w:rFonts w:ascii="仿宋" w:hAnsi="仿宋"/>
                      <w:b/>
                    </w:rPr>
                  </w:pPr>
                  <w:r>
                    <w:rPr>
                      <w:rFonts w:hint="eastAsia" w:ascii="仿宋" w:hAnsi="仿宋"/>
                      <w:b/>
                    </w:rPr>
                    <w:t>货物名称</w:t>
                  </w:r>
                </w:p>
              </w:tc>
              <w:tc>
                <w:tcPr>
                  <w:tcW w:w="6076" w:type="dxa"/>
                  <w:vAlign w:val="center"/>
                </w:tcPr>
                <w:p>
                  <w:pPr>
                    <w:jc w:val="center"/>
                    <w:rPr>
                      <w:rFonts w:ascii="仿宋" w:hAnsi="仿宋"/>
                      <w:b/>
                    </w:rPr>
                  </w:pPr>
                  <w:r>
                    <w:rPr>
                      <w:rFonts w:hint="eastAsia" w:ascii="仿宋" w:hAnsi="仿宋"/>
                      <w:b/>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pPr>
                    <w:jc w:val="center"/>
                    <w:rPr>
                      <w:rFonts w:ascii="仿宋" w:hAnsi="仿宋"/>
                      <w:b/>
                    </w:rPr>
                  </w:pPr>
                  <w:r>
                    <w:rPr>
                      <w:rFonts w:hint="eastAsia" w:ascii="仿宋" w:hAnsi="仿宋"/>
                      <w:b/>
                    </w:rPr>
                    <w:t>1</w:t>
                  </w:r>
                </w:p>
              </w:tc>
              <w:tc>
                <w:tcPr>
                  <w:tcW w:w="972" w:type="dxa"/>
                  <w:vMerge w:val="restart"/>
                  <w:vAlign w:val="center"/>
                </w:tcPr>
                <w:p>
                  <w:pPr>
                    <w:widowControl/>
                    <w:jc w:val="center"/>
                    <w:rPr>
                      <w:rFonts w:ascii="仿宋" w:hAnsi="仿宋"/>
                      <w:b/>
                    </w:rPr>
                  </w:pPr>
                  <w:r>
                    <w:rPr>
                      <w:rFonts w:hint="eastAsia" w:ascii="仿宋" w:hAnsi="仿宋"/>
                      <w:b/>
                    </w:rPr>
                    <w:t>数字签名服务器</w:t>
                  </w:r>
                </w:p>
              </w:tc>
              <w:tc>
                <w:tcPr>
                  <w:tcW w:w="1080" w:type="dxa"/>
                  <w:vMerge w:val="restart"/>
                  <w:vAlign w:val="center"/>
                </w:tcPr>
                <w:p>
                  <w:pPr>
                    <w:widowControl/>
                    <w:jc w:val="center"/>
                    <w:rPr>
                      <w:rFonts w:ascii="仿宋" w:hAnsi="仿宋"/>
                      <w:b/>
                    </w:rPr>
                  </w:pPr>
                  <w:r>
                    <w:rPr>
                      <w:rFonts w:hint="eastAsia" w:ascii="仿宋" w:hAnsi="仿宋" w:cs="仿宋_GB2312"/>
                      <w:b/>
                    </w:rPr>
                    <w:t>1</w:t>
                  </w:r>
                  <w:r>
                    <w:rPr>
                      <w:rFonts w:ascii="仿宋" w:hAnsi="仿宋" w:cs="仿宋_GB2312"/>
                      <w:b/>
                    </w:rPr>
                    <w:t>.1</w:t>
                  </w:r>
                  <w:r>
                    <w:rPr>
                      <w:rFonts w:hint="eastAsia" w:ascii="仿宋" w:hAnsi="仿宋" w:cs="仿宋_GB2312"/>
                      <w:b/>
                    </w:rPr>
                    <w:t>功能要求</w:t>
                  </w:r>
                </w:p>
              </w:tc>
              <w:tc>
                <w:tcPr>
                  <w:tcW w:w="6076" w:type="dxa"/>
                </w:tcPr>
                <w:p>
                  <w:pPr>
                    <w:jc w:val="left"/>
                    <w:rPr>
                      <w:rFonts w:ascii="仿宋" w:hAnsi="仿宋"/>
                      <w:b/>
                    </w:rPr>
                  </w:pPr>
                  <w:r>
                    <w:rPr>
                      <w:rFonts w:ascii="仿宋" w:hAnsi="仿宋" w:cs="仿宋_GB2312"/>
                    </w:rPr>
                    <w:t>1.1</w:t>
                  </w:r>
                  <w:r>
                    <w:rPr>
                      <w:rFonts w:hint="eastAsia" w:ascii="仿宋" w:hAnsi="仿宋" w:cs="仿宋_GB2312"/>
                    </w:rPr>
                    <w:t>.</w:t>
                  </w:r>
                  <w:r>
                    <w:rPr>
                      <w:rFonts w:ascii="仿宋" w:hAnsi="仿宋" w:cs="仿宋_GB2312"/>
                    </w:rPr>
                    <w:t>1</w:t>
                  </w:r>
                  <w:r>
                    <w:rPr>
                      <w:rFonts w:hint="eastAsia" w:ascii="仿宋" w:hAnsi="仿宋" w:cs="仿宋_GB2312"/>
                    </w:rPr>
                    <w:t>支持多CA体系的兼容验证的统一数字证书服务及配置管理。</w:t>
                  </w:r>
                  <w:r>
                    <w:rPr>
                      <w:rFonts w:hint="eastAsia" w:ascii="宋体" w:hAnsi="宋体" w:cs="仿宋_GB2312"/>
                      <w:bCs/>
                      <w:szCs w:val="21"/>
                    </w:rPr>
                    <w:t>提供国家版权局认证的“统一认证服务”《计算机软件产品著作权登记证书》复印件。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cs="仿宋_GB2312"/>
                    </w:rPr>
                  </w:pPr>
                  <w:r>
                    <w:rPr>
                      <w:rFonts w:ascii="仿宋" w:hAnsi="仿宋" w:cs="仿宋_GB2312"/>
                    </w:rPr>
                    <w:t>1.1.2</w:t>
                  </w:r>
                  <w:r>
                    <w:rPr>
                      <w:rFonts w:hint="eastAsia" w:ascii="仿宋" w:hAnsi="仿宋" w:cs="仿宋_GB2312"/>
                    </w:rPr>
                    <w:t>基于身份认证流程提供证书有效验证功能，可基于证书链、CRL验证用户证书有效性。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cs="仿宋_GB2312"/>
                    </w:rPr>
                  </w:pPr>
                  <w:r>
                    <w:rPr>
                      <w:rFonts w:ascii="仿宋" w:hAnsi="仿宋" w:cs="仿宋_GB2312"/>
                    </w:rPr>
                    <w:t>1.1.3</w:t>
                  </w:r>
                  <w:r>
                    <w:rPr>
                      <w:rFonts w:hint="eastAsia" w:ascii="仿宋" w:hAnsi="仿宋" w:cs="仿宋_GB2312"/>
                    </w:rPr>
                    <w:t>支持白名单和应用有效期对用户证书进行应用权限验证。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cs="仿宋_GB2312"/>
                    </w:rPr>
                  </w:pPr>
                  <w:r>
                    <w:rPr>
                      <w:rFonts w:ascii="仿宋" w:hAnsi="仿宋" w:cs="仿宋_GB2312"/>
                    </w:rPr>
                    <w:t>1.1.4</w:t>
                  </w:r>
                  <w:r>
                    <w:rPr>
                      <w:rFonts w:hint="eastAsia" w:ascii="仿宋" w:hAnsi="仿宋" w:cs="仿宋_GB2312"/>
                    </w:rPr>
                    <w:t>提供服务器端签名及验证签名功能，支持PKCS7、PKCS1格式，支持RSA、SM2、SHA-1、SHA-256、和SM3等算法。提供国家版权局认证的“签名验签服务”《计算机软件产品著作权登记证书》复印件。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cs="仿宋_GB2312"/>
                    </w:rPr>
                  </w:pPr>
                  <w:r>
                    <w:rPr>
                      <w:rFonts w:ascii="仿宋" w:hAnsi="仿宋" w:cs="仿宋_GB2312"/>
                    </w:rPr>
                    <w:t>1.1.5</w:t>
                  </w:r>
                  <w:r>
                    <w:rPr>
                      <w:rFonts w:hint="eastAsia" w:ascii="仿宋" w:hAnsi="仿宋" w:cs="仿宋_GB2312"/>
                    </w:rPr>
                    <w:t>支持算法包括：非对称加密算法RSA、SM2，对称加密算法3DES、AES、SM4、SM1等，Hash算法SHA1、SHA256、SM3等。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cs="仿宋_GB2312"/>
                    </w:rPr>
                  </w:pPr>
                  <w:r>
                    <w:rPr>
                      <w:rFonts w:ascii="仿宋" w:hAnsi="仿宋" w:cs="仿宋_GB2312"/>
                    </w:rPr>
                    <w:t>1.1.6</w:t>
                  </w:r>
                  <w:r>
                    <w:rPr>
                      <w:rFonts w:hint="eastAsia" w:ascii="仿宋" w:hAnsi="仿宋" w:cs="仿宋_GB2312"/>
                    </w:rPr>
                    <w:t>支持应用接入负载均衡。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cs="仿宋_GB2312"/>
                    </w:rPr>
                  </w:pPr>
                  <w:r>
                    <w:rPr>
                      <w:rFonts w:ascii="仿宋" w:hAnsi="仿宋" w:cs="仿宋_GB2312"/>
                    </w:rPr>
                    <w:t>1.1</w:t>
                  </w:r>
                  <w:r>
                    <w:rPr>
                      <w:rFonts w:ascii="仿宋" w:hAnsi="仿宋"/>
                    </w:rPr>
                    <w:t>.7</w:t>
                  </w:r>
                  <w:r>
                    <w:rPr>
                      <w:rFonts w:hint="eastAsia" w:ascii="仿宋" w:hAnsi="仿宋" w:cs="仿宋_GB2312"/>
                    </w:rPr>
                    <w:t>支持对调用者IP地址、调用者账号密码的访问控制。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jc w:val="left"/>
                    <w:rPr>
                      <w:rFonts w:ascii="仿宋" w:hAnsi="仿宋"/>
                    </w:rPr>
                  </w:pPr>
                  <w:r>
                    <w:rPr>
                      <w:rFonts w:ascii="仿宋" w:hAnsi="仿宋" w:cs="仿宋_GB2312"/>
                    </w:rPr>
                    <w:t>1.1</w:t>
                  </w:r>
                  <w:r>
                    <w:rPr>
                      <w:rFonts w:ascii="仿宋" w:hAnsi="仿宋"/>
                    </w:rPr>
                    <w:t>.8</w:t>
                  </w:r>
                  <w:r>
                    <w:rPr>
                      <w:rFonts w:hint="eastAsia" w:ascii="仿宋" w:hAnsi="仿宋"/>
                    </w:rPr>
                    <w:t>接口服务要求：提供Webservice接口；服务供应商提供的接口服务，产品具备CNAS资质的评测机构出具的产品评测报告；投标文件中提供产品评测报告复印件。</w:t>
                  </w:r>
                  <w:r>
                    <w:rPr>
                      <w:rFonts w:ascii="仿宋" w:hAnsi="仿宋"/>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Align w:val="center"/>
                </w:tcPr>
                <w:p>
                  <w:pPr>
                    <w:widowControl/>
                    <w:jc w:val="center"/>
                    <w:rPr>
                      <w:rFonts w:ascii="仿宋" w:hAnsi="仿宋" w:cs="仿宋_GB2312"/>
                      <w:b/>
                    </w:rPr>
                  </w:pPr>
                  <w:r>
                    <w:rPr>
                      <w:rFonts w:ascii="仿宋" w:hAnsi="仿宋" w:cs="仿宋_GB2312"/>
                      <w:b/>
                    </w:rPr>
                    <w:t>1.2</w:t>
                  </w:r>
                  <w:r>
                    <w:rPr>
                      <w:rFonts w:hint="eastAsia" w:ascii="仿宋" w:hAnsi="仿宋" w:cs="仿宋_GB2312"/>
                      <w:b/>
                    </w:rPr>
                    <w:t>硬件规格要求</w:t>
                  </w:r>
                </w:p>
              </w:tc>
              <w:tc>
                <w:tcPr>
                  <w:tcW w:w="6076" w:type="dxa"/>
                </w:tcPr>
                <w:p>
                  <w:pPr>
                    <w:jc w:val="left"/>
                    <w:rPr>
                      <w:rFonts w:ascii="仿宋" w:hAnsi="仿宋"/>
                    </w:rPr>
                  </w:pPr>
                  <w:r>
                    <w:rPr>
                      <w:rFonts w:hint="eastAsia" w:ascii="仿宋" w:hAnsi="仿宋"/>
                    </w:rPr>
                    <w:t>1</w:t>
                  </w:r>
                  <w:r>
                    <w:rPr>
                      <w:rFonts w:ascii="仿宋" w:hAnsi="仿宋"/>
                    </w:rPr>
                    <w:t>.2.1</w:t>
                  </w:r>
                  <w:r>
                    <w:rPr>
                      <w:rFonts w:hint="eastAsia" w:ascii="仿宋" w:hAnsi="仿宋"/>
                    </w:rPr>
                    <w:t>机架式服务器，</w:t>
                  </w:r>
                  <w:r>
                    <w:rPr>
                      <w:rFonts w:hint="eastAsia" w:ascii="仿宋" w:hAnsi="仿宋" w:cs="仿宋_GB2312"/>
                    </w:rPr>
                    <w:t>支持PCI-E，双端口千兆网卡，USB接口，VGA接口。投标文件中提供数字签名服务器的商用密码产品型号证书复印件。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Align w:val="center"/>
                </w:tcPr>
                <w:p>
                  <w:pPr>
                    <w:widowControl/>
                    <w:jc w:val="center"/>
                    <w:rPr>
                      <w:rFonts w:ascii="仿宋" w:hAnsi="仿宋" w:cs="仿宋_GB2312"/>
                      <w:b/>
                    </w:rPr>
                  </w:pPr>
                  <w:r>
                    <w:rPr>
                      <w:rFonts w:hint="eastAsia" w:ascii="仿宋" w:hAnsi="仿宋"/>
                    </w:rPr>
                    <w:t>1</w:t>
                  </w:r>
                  <w:r>
                    <w:rPr>
                      <w:rFonts w:ascii="仿宋" w:hAnsi="仿宋"/>
                    </w:rPr>
                    <w:t>.3</w:t>
                  </w:r>
                  <w:r>
                    <w:rPr>
                      <w:rFonts w:hint="eastAsia" w:ascii="仿宋" w:hAnsi="仿宋" w:cs="仿宋_GB2312"/>
                      <w:b/>
                    </w:rPr>
                    <w:t>性能要求</w:t>
                  </w:r>
                </w:p>
              </w:tc>
              <w:tc>
                <w:tcPr>
                  <w:tcW w:w="6076" w:type="dxa"/>
                </w:tcPr>
                <w:p>
                  <w:pPr>
                    <w:pStyle w:val="40"/>
                    <w:spacing w:after="0" w:line="240" w:lineRule="auto"/>
                    <w:ind w:firstLine="0"/>
                    <w:rPr>
                      <w:rFonts w:ascii="仿宋" w:hAnsi="仿宋" w:eastAsia="仿宋"/>
                      <w:szCs w:val="24"/>
                      <w:lang w:eastAsia="zh-CN"/>
                    </w:rPr>
                  </w:pPr>
                  <w:r>
                    <w:rPr>
                      <w:rFonts w:hint="eastAsia" w:ascii="仿宋" w:hAnsi="仿宋" w:eastAsia="仿宋"/>
                      <w:szCs w:val="24"/>
                      <w:lang w:eastAsia="zh-CN"/>
                    </w:rPr>
                    <w:t>1</w:t>
                  </w:r>
                  <w:r>
                    <w:rPr>
                      <w:rFonts w:ascii="仿宋" w:hAnsi="仿宋" w:eastAsia="仿宋"/>
                      <w:szCs w:val="24"/>
                      <w:lang w:eastAsia="zh-CN"/>
                    </w:rPr>
                    <w:t>.3.1</w:t>
                  </w:r>
                  <w:r>
                    <w:rPr>
                      <w:rFonts w:hint="eastAsia" w:ascii="仿宋" w:hAnsi="仿宋" w:eastAsia="仿宋"/>
                      <w:szCs w:val="24"/>
                      <w:lang w:eastAsia="zh-CN"/>
                    </w:rPr>
                    <w:t>最大并发数：≥120。</w:t>
                  </w:r>
                </w:p>
                <w:p>
                  <w:pPr>
                    <w:pStyle w:val="40"/>
                    <w:spacing w:after="0" w:line="240" w:lineRule="auto"/>
                    <w:ind w:firstLine="0"/>
                    <w:rPr>
                      <w:rFonts w:ascii="仿宋" w:hAnsi="仿宋" w:eastAsia="仿宋"/>
                      <w:szCs w:val="24"/>
                      <w:lang w:eastAsia="zh-CN"/>
                    </w:rPr>
                  </w:pPr>
                  <w:r>
                    <w:rPr>
                      <w:rFonts w:hint="eastAsia" w:ascii="仿宋" w:hAnsi="仿宋" w:eastAsia="仿宋"/>
                      <w:szCs w:val="24"/>
                      <w:lang w:eastAsia="zh-CN"/>
                    </w:rPr>
                    <w:t>（1）数字签名、数字验签（PKCS#7、PKCS#1）：平均响应时间为毫秒级；平均每秒处理事务数（TPS）≥50。</w:t>
                  </w:r>
                </w:p>
                <w:p>
                  <w:pPr>
                    <w:pStyle w:val="40"/>
                    <w:spacing w:after="0" w:line="240" w:lineRule="auto"/>
                    <w:ind w:firstLine="0"/>
                    <w:rPr>
                      <w:rFonts w:ascii="仿宋" w:hAnsi="仿宋" w:eastAsia="仿宋"/>
                      <w:szCs w:val="24"/>
                      <w:lang w:eastAsia="zh-CN"/>
                    </w:rPr>
                  </w:pPr>
                  <w:r>
                    <w:rPr>
                      <w:rFonts w:hint="eastAsia" w:ascii="仿宋" w:hAnsi="仿宋" w:eastAsia="仿宋"/>
                      <w:szCs w:val="24"/>
                      <w:lang w:eastAsia="zh-CN"/>
                    </w:rPr>
                    <w:t>（2）数字加解密：平均响应时间为毫秒级；平均每秒处理事务数（TPS）≥50。</w:t>
                  </w:r>
                </w:p>
                <w:p>
                  <w:pPr>
                    <w:jc w:val="left"/>
                    <w:rPr>
                      <w:rFonts w:ascii="仿宋" w:hAnsi="仿宋"/>
                    </w:rPr>
                  </w:pPr>
                  <w:r>
                    <w:rPr>
                      <w:rFonts w:hint="eastAsia" w:ascii="仿宋" w:hAnsi="仿宋"/>
                    </w:rPr>
                    <w:t>（3）SM3算法性能指标值：SM3数据摘要≥100Mbps。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Align w:val="center"/>
                </w:tcPr>
                <w:p>
                  <w:pPr>
                    <w:widowControl/>
                    <w:jc w:val="center"/>
                    <w:rPr>
                      <w:rFonts w:ascii="仿宋" w:hAnsi="仿宋"/>
                    </w:rPr>
                  </w:pPr>
                  <w:r>
                    <w:rPr>
                      <w:rFonts w:hint="eastAsia" w:ascii="仿宋" w:hAnsi="仿宋"/>
                    </w:rPr>
                    <w:t>1</w:t>
                  </w:r>
                  <w:r>
                    <w:rPr>
                      <w:rFonts w:ascii="仿宋" w:hAnsi="仿宋"/>
                    </w:rPr>
                    <w:t>.4其他</w:t>
                  </w:r>
                </w:p>
              </w:tc>
              <w:tc>
                <w:tcPr>
                  <w:tcW w:w="6076" w:type="dxa"/>
                </w:tcPr>
                <w:p>
                  <w:pPr>
                    <w:pStyle w:val="40"/>
                    <w:spacing w:after="0" w:line="240" w:lineRule="auto"/>
                    <w:ind w:firstLine="0"/>
                    <w:rPr>
                      <w:rFonts w:ascii="仿宋" w:hAnsi="仿宋" w:eastAsia="仿宋"/>
                      <w:szCs w:val="24"/>
                      <w:lang w:eastAsia="zh-CN"/>
                    </w:rPr>
                  </w:pPr>
                  <w:r>
                    <w:rPr>
                      <w:rFonts w:hint="eastAsia" w:ascii="仿宋" w:hAnsi="仿宋" w:eastAsia="仿宋"/>
                      <w:szCs w:val="24"/>
                      <w:lang w:eastAsia="zh-CN"/>
                    </w:rPr>
                    <w:t>1</w:t>
                  </w:r>
                  <w:r>
                    <w:rPr>
                      <w:rFonts w:ascii="仿宋" w:hAnsi="仿宋" w:eastAsia="仿宋"/>
                      <w:szCs w:val="24"/>
                      <w:lang w:eastAsia="zh-CN"/>
                    </w:rPr>
                    <w:t>.4.1</w:t>
                  </w:r>
                  <w:r>
                    <w:rPr>
                      <w:rFonts w:hint="eastAsia" w:ascii="仿宋" w:hAnsi="仿宋" w:eastAsia="仿宋"/>
                      <w:lang w:eastAsia="zh-CN"/>
                    </w:rPr>
                    <w:t>▲</w:t>
                  </w:r>
                  <w:r>
                    <w:rPr>
                      <w:rFonts w:ascii="仿宋" w:hAnsi="仿宋" w:eastAsia="仿宋"/>
                      <w:szCs w:val="24"/>
                      <w:lang w:eastAsia="zh-CN"/>
                    </w:rPr>
                    <w:t>所投</w:t>
                  </w:r>
                  <w:r>
                    <w:rPr>
                      <w:rFonts w:hint="eastAsia" w:ascii="仿宋" w:hAnsi="仿宋" w:eastAsia="仿宋"/>
                      <w:szCs w:val="24"/>
                      <w:lang w:eastAsia="zh-CN"/>
                    </w:rPr>
                    <w:t>数字签名服务器须兼容医院现有的数字签名服务器，组成双机热备，实现高可用。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pPr>
                    <w:jc w:val="center"/>
                    <w:rPr>
                      <w:rFonts w:ascii="仿宋" w:hAnsi="仿宋"/>
                      <w:b/>
                    </w:rPr>
                  </w:pPr>
                  <w:r>
                    <w:rPr>
                      <w:rFonts w:hint="eastAsia" w:ascii="仿宋" w:hAnsi="仿宋"/>
                      <w:b/>
                    </w:rPr>
                    <w:t>2</w:t>
                  </w:r>
                </w:p>
              </w:tc>
              <w:tc>
                <w:tcPr>
                  <w:tcW w:w="972" w:type="dxa"/>
                  <w:vMerge w:val="restart"/>
                  <w:vAlign w:val="center"/>
                </w:tcPr>
                <w:p>
                  <w:pPr>
                    <w:widowControl/>
                    <w:jc w:val="center"/>
                    <w:rPr>
                      <w:rFonts w:ascii="仿宋" w:hAnsi="仿宋"/>
                      <w:b/>
                    </w:rPr>
                  </w:pPr>
                  <w:r>
                    <w:rPr>
                      <w:rFonts w:hint="eastAsia" w:ascii="仿宋" w:hAnsi="仿宋"/>
                      <w:b/>
                    </w:rPr>
                    <w:t>时间戳服务器</w:t>
                  </w:r>
                </w:p>
              </w:tc>
              <w:tc>
                <w:tcPr>
                  <w:tcW w:w="1080" w:type="dxa"/>
                  <w:vMerge w:val="restart"/>
                  <w:vAlign w:val="center"/>
                </w:tcPr>
                <w:p>
                  <w:pPr>
                    <w:widowControl/>
                    <w:jc w:val="center"/>
                    <w:rPr>
                      <w:rFonts w:ascii="仿宋" w:hAnsi="仿宋"/>
                    </w:rPr>
                  </w:pPr>
                  <w:r>
                    <w:rPr>
                      <w:rFonts w:hint="eastAsia" w:ascii="仿宋" w:hAnsi="仿宋"/>
                    </w:rPr>
                    <w:t>2</w:t>
                  </w:r>
                  <w:r>
                    <w:rPr>
                      <w:rFonts w:ascii="仿宋" w:hAnsi="仿宋"/>
                    </w:rPr>
                    <w:t>.1</w:t>
                  </w:r>
                  <w:r>
                    <w:rPr>
                      <w:rFonts w:hint="eastAsia" w:ascii="仿宋" w:hAnsi="仿宋"/>
                    </w:rPr>
                    <w:t>总体要求</w:t>
                  </w: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.1.1</w:t>
                  </w:r>
                  <w:r>
                    <w:rPr>
                      <w:rFonts w:hint="eastAsia" w:ascii="仿宋" w:hAnsi="仿宋"/>
                    </w:rPr>
                    <w:t>遵循规范：产品应遵循《GM/T 0033-2014 时间戳接口规范》，符合国际RFC3161标准；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.1.2</w:t>
                  </w:r>
                  <w:r>
                    <w:rPr>
                      <w:rFonts w:hint="eastAsia" w:ascii="仿宋" w:hAnsi="仿宋"/>
                    </w:rPr>
                    <w:t>产品规格：产品为一体化服务系统，机架式服务器；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.1.3</w:t>
                  </w:r>
                  <w:r>
                    <w:rPr>
                      <w:rFonts w:hint="eastAsia" w:ascii="仿宋" w:hAnsi="仿宋"/>
                    </w:rPr>
                    <w:t>加盖时间戳：提供时间戳签发功能，接收应用系统发来的时间戳签发请求，基于标准时间对数据电文签发时间戳后将时间戳返回给应用系统；支持PDF版式文件加盖时间戳；支持基于SM2和RSA证书加盖时间戳；支持Windows Server、Linux、AIX、Solaris、Unix等应用系统平台；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.1.4</w:t>
                  </w:r>
                  <w:r>
                    <w:rPr>
                      <w:rFonts w:hint="eastAsia" w:ascii="仿宋" w:hAnsi="仿宋"/>
                    </w:rPr>
                    <w:t>验证时间戳：提供时间戳验证功能，处理应用系统发来的时间戳验证请求，将时间戳验证结果（盖戳时的精确时间）返回给应用系统；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.1.5</w:t>
                  </w:r>
                  <w:r>
                    <w:rPr>
                      <w:rFonts w:hint="eastAsia" w:ascii="仿宋" w:hAnsi="仿宋"/>
                    </w:rPr>
                    <w:t>密钥及CA管理：提供由权威合法的第三方CA机构签发的时间戳服务器证书，对申请时间戳服务的数据摘要和可信时间进行签名，产生合法可信的时间戳。支持基于时间戳服务器密码模块生成时间戳密钥及P10证书请求，支持导入由第三方CA机构签发的时间戳证书，支持RSA和SM2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.1.6</w:t>
                  </w:r>
                  <w:r>
                    <w:rPr>
                      <w:rFonts w:hint="eastAsia" w:ascii="仿宋" w:hAnsi="仿宋"/>
                    </w:rPr>
                    <w:t>算法支持：支持RSA、SM2等算法；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.1.7</w:t>
                  </w:r>
                  <w:r>
                    <w:rPr>
                      <w:rFonts w:hint="eastAsia" w:ascii="仿宋" w:hAnsi="仿宋"/>
                    </w:rPr>
                    <w:t>时间同步：支持NTP、SNTP时间同步协议，从指定时间源获取标准时间并同步；支持基于内置授时卡对外提供NTP服务，为其他系统提供标准时间源；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.1.8</w:t>
                  </w:r>
                  <w:r>
                    <w:rPr>
                      <w:rFonts w:hint="eastAsia" w:ascii="仿宋" w:hAnsi="仿宋"/>
                    </w:rPr>
                    <w:t xml:space="preserve">访问控制：具有跨网交换安全控制功能，支持调用者IP地址的访问控制；支持调用者账号密码访问控制；具备国家版权局认证的“跨网交换安全控制”相关《计算机软件产品著作权登记证书》复印件。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.1.9</w:t>
                  </w:r>
                  <w:r>
                    <w:rPr>
                      <w:rFonts w:hint="eastAsia" w:ascii="仿宋" w:hAnsi="仿宋"/>
                    </w:rPr>
                    <w:t>时间戳日志管理：具有PKI电子证据信息存储、管理及验证功能，支持对调用系统生成时间戳信息进行统一存储，可通过后台进行检索查验；具备国家版权局认证的“PKI可信证据系统”相关《计算机软件产品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.1.10</w:t>
                  </w:r>
                  <w:r>
                    <w:rPr>
                      <w:rFonts w:hint="eastAsia" w:ascii="仿宋" w:hAnsi="仿宋"/>
                    </w:rPr>
                    <w:t>▲审计日志管理：具有PKI可信日志存储及管理功能，由系统记录管理员的操作日志并支持对操作日志进行审计管理；具备国家版权局认证的“PKI安全审计系统”相关《计算机软件产品著作权登记证书》复印件。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.1.11</w:t>
                  </w:r>
                  <w:r>
                    <w:rPr>
                      <w:rFonts w:hint="eastAsia" w:ascii="仿宋" w:hAnsi="仿宋"/>
                    </w:rPr>
                    <w:t>系统管理：具有安全应用业务监控审计管理软件/功能，提供国家版权局认证的“应用业务监控审计”相关《计算机软件著作权登记证书》复印件；支持时间戳证书管理、时间源管理、IP白名单管理、日志管理、系统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.1.2</w:t>
                  </w:r>
                  <w:r>
                    <w:rPr>
                      <w:rFonts w:hint="eastAsia" w:ascii="仿宋" w:hAnsi="仿宋"/>
                    </w:rPr>
                    <w:t>服务端负载：支持多机负载均衡；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.1.3</w:t>
                  </w:r>
                  <w:r>
                    <w:rPr>
                      <w:rFonts w:hint="eastAsia" w:ascii="仿宋" w:hAnsi="仿宋"/>
                    </w:rPr>
                    <w:t>▲产品资质要求：时间戳系统具有国家版权局颁发的《计算机软件产品著作权登记证书》（原厂商加盖公章）。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仿宋" w:hAnsi="仿宋"/>
                      <w:b/>
                    </w:rPr>
                  </w:pPr>
                </w:p>
              </w:tc>
              <w:tc>
                <w:tcPr>
                  <w:tcW w:w="1080" w:type="dxa"/>
                  <w:vMerge w:val="continue"/>
                  <w:vAlign w:val="center"/>
                </w:tcPr>
                <w:p>
                  <w:pPr>
                    <w:widowControl/>
                    <w:jc w:val="center"/>
                    <w:rPr>
                      <w:rFonts w:ascii="仿宋" w:hAnsi="仿宋"/>
                    </w:rPr>
                  </w:pPr>
                </w:p>
              </w:tc>
              <w:tc>
                <w:tcPr>
                  <w:tcW w:w="6076" w:type="dxa"/>
                </w:tcPr>
                <w:p>
                  <w:pPr>
                    <w:spacing w:line="360" w:lineRule="auto"/>
                    <w:ind w:right="-61" w:rightChars="-29"/>
                    <w:jc w:val="left"/>
                    <w:rPr>
                      <w:rFonts w:ascii="仿宋" w:hAnsi="仿宋"/>
                    </w:rPr>
                  </w:pPr>
                  <w:r>
                    <w:rPr>
                      <w:rFonts w:hint="eastAsia" w:ascii="仿宋" w:hAnsi="仿宋"/>
                    </w:rPr>
                    <w:t>2</w:t>
                  </w:r>
                  <w:r>
                    <w:rPr>
                      <w:rFonts w:ascii="仿宋" w:hAnsi="仿宋"/>
                    </w:rPr>
                    <w:t>.1.4</w:t>
                  </w:r>
                  <w:r>
                    <w:rPr>
                      <w:rFonts w:hint="eastAsia" w:ascii="仿宋" w:hAnsi="仿宋"/>
                    </w:rPr>
                    <w:t>▲生产厂商具备</w:t>
                  </w:r>
                  <w:bookmarkStart w:id="11" w:name="_GoBack"/>
                  <w:r>
                    <w:rPr>
                      <w:rFonts w:hint="eastAsia" w:ascii="仿宋" w:hAnsi="仿宋"/>
                    </w:rPr>
                    <w:t>工业和信息化部</w:t>
                  </w:r>
                  <w:bookmarkEnd w:id="11"/>
                  <w:r>
                    <w:rPr>
                      <w:rFonts w:hint="eastAsia" w:ascii="仿宋" w:hAnsi="仿宋"/>
                    </w:rPr>
                    <w:t>颁发《电子认证服务许可证》（原厂商加盖公章），须取得生产厂商授权。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pPr>
                    <w:jc w:val="center"/>
                    <w:rPr>
                      <w:rFonts w:ascii="仿宋" w:hAnsi="仿宋"/>
                      <w:b/>
                    </w:rPr>
                  </w:pPr>
                  <w:r>
                    <w:rPr>
                      <w:rFonts w:hint="eastAsia" w:ascii="仿宋" w:hAnsi="仿宋"/>
                      <w:b/>
                    </w:rPr>
                    <w:t>3</w:t>
                  </w:r>
                </w:p>
              </w:tc>
              <w:tc>
                <w:tcPr>
                  <w:tcW w:w="972" w:type="dxa"/>
                  <w:vMerge w:val="restart"/>
                  <w:vAlign w:val="center"/>
                </w:tcPr>
                <w:p>
                  <w:pPr>
                    <w:widowControl/>
                    <w:jc w:val="center"/>
                    <w:rPr>
                      <w:rFonts w:ascii="仿宋" w:hAnsi="仿宋"/>
                      <w:b/>
                    </w:rPr>
                  </w:pPr>
                  <w:r>
                    <w:rPr>
                      <w:rFonts w:hint="eastAsia" w:ascii="宋体" w:hAnsi="宋体"/>
                      <w:kern w:val="0"/>
                      <w:szCs w:val="21"/>
                    </w:rPr>
                    <w:t>服务器证书</w:t>
                  </w:r>
                </w:p>
              </w:tc>
              <w:tc>
                <w:tcPr>
                  <w:tcW w:w="1080" w:type="dxa"/>
                  <w:vMerge w:val="restart"/>
                  <w:vAlign w:val="center"/>
                </w:tcPr>
                <w:p>
                  <w:pPr>
                    <w:widowControl/>
                    <w:jc w:val="center"/>
                    <w:rPr>
                      <w:rFonts w:ascii="仿宋" w:hAnsi="仿宋"/>
                    </w:rPr>
                  </w:pPr>
                  <w:r>
                    <w:rPr>
                      <w:rFonts w:ascii="仿宋" w:hAnsi="仿宋" w:cs="仿宋_GB2312"/>
                      <w:b/>
                    </w:rPr>
                    <w:t>3.1功能要求</w:t>
                  </w:r>
                </w:p>
              </w:tc>
              <w:tc>
                <w:tcPr>
                  <w:tcW w:w="6076" w:type="dxa"/>
                  <w:vAlign w:val="center"/>
                </w:tcPr>
                <w:p>
                  <w:pPr>
                    <w:spacing w:line="360" w:lineRule="auto"/>
                    <w:ind w:right="-61" w:rightChars="-29"/>
                    <w:jc w:val="left"/>
                    <w:rPr>
                      <w:rFonts w:ascii="仿宋" w:hAnsi="仿宋"/>
                    </w:rPr>
                  </w:pPr>
                  <w:r>
                    <w:rPr>
                      <w:rFonts w:ascii="仿宋" w:hAnsi="仿宋"/>
                    </w:rPr>
                    <w:t>3.1.1</w:t>
                  </w:r>
                  <w:r>
                    <w:rPr>
                      <w:rFonts w:hint="eastAsia" w:ascii="仿宋" w:hAnsi="仿宋"/>
                    </w:rPr>
                    <w:t>用于标识应用系统/网站真实身份，防钓鱼防欺诈，建立系统/网站安全通道加密数据传输，防窃取防篡改。证书直接显示网站所有权、企业信息、浏览器直观展现HTTPS、安全锁等显眼标识。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widowControl/>
                    <w:jc w:val="center"/>
                    <w:rPr>
                      <w:rFonts w:ascii="宋体" w:hAnsi="宋体"/>
                      <w:kern w:val="0"/>
                      <w:szCs w:val="21"/>
                    </w:rPr>
                  </w:pPr>
                </w:p>
              </w:tc>
              <w:tc>
                <w:tcPr>
                  <w:tcW w:w="1080" w:type="dxa"/>
                  <w:vMerge w:val="continue"/>
                  <w:vAlign w:val="center"/>
                </w:tcPr>
                <w:p>
                  <w:pPr>
                    <w:widowControl/>
                    <w:jc w:val="center"/>
                    <w:rPr>
                      <w:rFonts w:ascii="仿宋" w:hAnsi="仿宋" w:cs="仿宋_GB2312"/>
                      <w:b/>
                    </w:rPr>
                  </w:pPr>
                </w:p>
              </w:tc>
              <w:tc>
                <w:tcPr>
                  <w:tcW w:w="6076" w:type="dxa"/>
                  <w:vAlign w:val="center"/>
                </w:tcPr>
                <w:p>
                  <w:pPr>
                    <w:spacing w:line="360" w:lineRule="auto"/>
                    <w:ind w:right="-61" w:rightChars="-29"/>
                    <w:jc w:val="left"/>
                    <w:rPr>
                      <w:rFonts w:ascii="仿宋" w:hAnsi="仿宋"/>
                    </w:rPr>
                  </w:pPr>
                  <w:r>
                    <w:rPr>
                      <w:rFonts w:hint="eastAsia" w:ascii="仿宋" w:hAnsi="仿宋" w:cs="仿宋_GB2312"/>
                    </w:rPr>
                    <w:t>4</w:t>
                  </w:r>
                  <w:r>
                    <w:rPr>
                      <w:rFonts w:ascii="仿宋" w:hAnsi="仿宋" w:cs="仿宋_GB2312"/>
                    </w:rPr>
                    <w:t>.1.2</w:t>
                  </w:r>
                  <w:r>
                    <w:rPr>
                      <w:rFonts w:hint="eastAsia" w:ascii="仿宋" w:hAnsi="仿宋" w:cs="仿宋_GB2312"/>
                    </w:rPr>
                    <w:t>▲</w:t>
                  </w:r>
                  <w:r>
                    <w:rPr>
                      <w:rFonts w:hint="eastAsia" w:ascii="仿宋" w:hAnsi="仿宋"/>
                    </w:rPr>
                    <w:t>支持微软件浏览器、火狐浏览器、苹果浏览器。提供原厂家根证书入驻火狐（mozilla）、微软、苹果的CA信任列表的官方截图（附查询链接）。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pPr>
                    <w:jc w:val="center"/>
                    <w:rPr>
                      <w:rFonts w:ascii="仿宋" w:hAnsi="仿宋"/>
                      <w:b/>
                    </w:rPr>
                  </w:pPr>
                  <w:r>
                    <w:rPr>
                      <w:rFonts w:hint="eastAsia" w:ascii="仿宋" w:hAnsi="仿宋"/>
                      <w:b/>
                    </w:rPr>
                    <w:t>4</w:t>
                  </w:r>
                  <w:r>
                    <w:rPr>
                      <w:rFonts w:ascii="仿宋" w:hAnsi="仿宋"/>
                      <w:b/>
                    </w:rPr>
                    <w:t xml:space="preserve"> </w:t>
                  </w:r>
                </w:p>
              </w:tc>
              <w:tc>
                <w:tcPr>
                  <w:tcW w:w="972" w:type="dxa"/>
                  <w:vMerge w:val="restart"/>
                  <w:vAlign w:val="center"/>
                </w:tcPr>
                <w:p>
                  <w:pPr>
                    <w:rPr>
                      <w:rFonts w:ascii="仿宋" w:hAnsi="仿宋"/>
                      <w:b/>
                    </w:rPr>
                  </w:pPr>
                  <w:r>
                    <w:rPr>
                      <w:rFonts w:hint="eastAsia" w:ascii="仿宋" w:hAnsi="仿宋"/>
                      <w:b/>
                    </w:rPr>
                    <w:t>CA认证安全中间件功能升级</w:t>
                  </w:r>
                </w:p>
                <w:p>
                  <w:pPr>
                    <w:widowControl/>
                    <w:jc w:val="center"/>
                    <w:rPr>
                      <w:rFonts w:ascii="宋体" w:hAnsi="宋体"/>
                      <w:kern w:val="0"/>
                      <w:szCs w:val="21"/>
                    </w:rPr>
                  </w:pPr>
                </w:p>
              </w:tc>
              <w:tc>
                <w:tcPr>
                  <w:tcW w:w="1080" w:type="dxa"/>
                  <w:vMerge w:val="restart"/>
                  <w:vAlign w:val="center"/>
                </w:tcPr>
                <w:p>
                  <w:pPr>
                    <w:widowControl/>
                    <w:jc w:val="center"/>
                    <w:rPr>
                      <w:rFonts w:ascii="仿宋" w:hAnsi="仿宋" w:cs="仿宋_GB2312"/>
                      <w:b/>
                    </w:rPr>
                  </w:pPr>
                  <w:r>
                    <w:rPr>
                      <w:rFonts w:hint="eastAsia" w:ascii="仿宋" w:hAnsi="仿宋"/>
                      <w:b/>
                    </w:rPr>
                    <w:t>4．1总体要求</w:t>
                  </w:r>
                </w:p>
              </w:tc>
              <w:tc>
                <w:tcPr>
                  <w:tcW w:w="6076" w:type="dxa"/>
                  <w:vAlign w:val="center"/>
                </w:tcPr>
                <w:p>
                  <w:pPr>
                    <w:spacing w:line="360" w:lineRule="auto"/>
                    <w:ind w:right="-61" w:rightChars="-29"/>
                    <w:jc w:val="left"/>
                    <w:rPr>
                      <w:rFonts w:ascii="仿宋" w:hAnsi="仿宋" w:cs="仿宋_GB2312"/>
                    </w:rPr>
                  </w:pPr>
                  <w:r>
                    <w:rPr>
                      <w:rFonts w:hint="eastAsia" w:ascii="仿宋" w:hAnsi="仿宋"/>
                      <w:bCs/>
                    </w:rPr>
                    <w:t>4</w:t>
                  </w:r>
                  <w:r>
                    <w:rPr>
                      <w:rFonts w:ascii="仿宋" w:hAnsi="仿宋"/>
                      <w:bCs/>
                    </w:rPr>
                    <w:t>.1.1</w:t>
                  </w:r>
                  <w:r>
                    <w:rPr>
                      <w:rFonts w:hint="eastAsia" w:ascii="仿宋" w:hAnsi="仿宋"/>
                      <w:bCs/>
                    </w:rPr>
                    <w:t>改造医院的CA认证安全中间件，使其满足CA认证服务高可用总体要求</w:t>
                  </w:r>
                  <w:r>
                    <w:rPr>
                      <w:rFonts w:hint="eastAsia" w:ascii="仿宋" w:hAnsi="仿宋"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continue"/>
                  <w:vAlign w:val="center"/>
                </w:tcPr>
                <w:p>
                  <w:pPr>
                    <w:widowControl/>
                    <w:jc w:val="center"/>
                    <w:rPr>
                      <w:rFonts w:ascii="仿宋" w:hAnsi="仿宋"/>
                      <w:b/>
                    </w:rPr>
                  </w:pPr>
                </w:p>
              </w:tc>
              <w:tc>
                <w:tcPr>
                  <w:tcW w:w="6076" w:type="dxa"/>
                  <w:vAlign w:val="center"/>
                </w:tcPr>
                <w:p>
                  <w:pPr>
                    <w:spacing w:line="360" w:lineRule="auto"/>
                    <w:ind w:right="-61" w:rightChars="-29"/>
                    <w:jc w:val="left"/>
                    <w:rPr>
                      <w:rFonts w:ascii="仿宋" w:hAnsi="仿宋"/>
                      <w:bCs/>
                    </w:rPr>
                  </w:pPr>
                  <w:r>
                    <w:rPr>
                      <w:rFonts w:ascii="仿宋" w:hAnsi="仿宋" w:cs="仿宋_GB2312"/>
                    </w:rPr>
                    <w:t>4</w:t>
                  </w:r>
                  <w:r>
                    <w:rPr>
                      <w:rFonts w:hint="eastAsia" w:ascii="仿宋" w:hAnsi="仿宋" w:cs="仿宋_GB2312"/>
                    </w:rPr>
                    <w:t>.</w:t>
                  </w:r>
                  <w:r>
                    <w:rPr>
                      <w:rFonts w:ascii="仿宋" w:hAnsi="仿宋" w:cs="仿宋_GB2312"/>
                    </w:rPr>
                    <w:t>1</w:t>
                  </w:r>
                  <w:r>
                    <w:rPr>
                      <w:rFonts w:hint="eastAsia" w:ascii="仿宋" w:hAnsi="仿宋" w:cs="仿宋_GB2312"/>
                    </w:rPr>
                    <w:t>.2</w:t>
                  </w:r>
                  <w:r>
                    <w:rPr>
                      <w:rFonts w:hint="eastAsia" w:ascii="宋体" w:hAnsi="宋体" w:cs="宋体"/>
                      <w:snapToGrid w:val="0"/>
                      <w:kern w:val="0"/>
                      <w:szCs w:val="21"/>
                    </w:rPr>
                    <w:t>▲</w:t>
                  </w:r>
                  <w:r>
                    <w:rPr>
                      <w:rFonts w:hint="eastAsia" w:ascii="仿宋" w:hAnsi="仿宋" w:cs="仿宋_GB2312"/>
                    </w:rPr>
                    <w:t>升级改造必须在医院原系统上完成，并保证改造过程中不影响采购人现有系统的正常使用，平滑无缝升级。投标文件中必须提供有效承诺函，格式自拟。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restart"/>
                  <w:vAlign w:val="center"/>
                </w:tcPr>
                <w:p>
                  <w:pPr>
                    <w:widowControl/>
                    <w:jc w:val="center"/>
                    <w:rPr>
                      <w:rFonts w:ascii="仿宋" w:hAnsi="仿宋"/>
                      <w:b/>
                    </w:rPr>
                  </w:pPr>
                  <w:r>
                    <w:rPr>
                      <w:rFonts w:hint="eastAsia" w:ascii="仿宋" w:hAnsi="仿宋"/>
                      <w:b/>
                    </w:rPr>
                    <w:t>4</w:t>
                  </w:r>
                  <w:r>
                    <w:rPr>
                      <w:rFonts w:ascii="仿宋" w:hAnsi="仿宋"/>
                      <w:b/>
                    </w:rPr>
                    <w:t>.2</w:t>
                  </w:r>
                  <w:r>
                    <w:rPr>
                      <w:rFonts w:hint="eastAsia" w:ascii="仿宋" w:hAnsi="仿宋"/>
                      <w:b/>
                    </w:rPr>
                    <w:t>功能要求</w:t>
                  </w:r>
                </w:p>
              </w:tc>
              <w:tc>
                <w:tcPr>
                  <w:tcW w:w="6076" w:type="dxa"/>
                </w:tcPr>
                <w:p>
                  <w:pPr>
                    <w:spacing w:line="360" w:lineRule="auto"/>
                    <w:rPr>
                      <w:rFonts w:ascii="仿宋" w:hAnsi="仿宋"/>
                    </w:rPr>
                  </w:pPr>
                  <w:r>
                    <w:rPr>
                      <w:rFonts w:ascii="仿宋" w:hAnsi="仿宋"/>
                    </w:rPr>
                    <w:t>4.2.2</w:t>
                  </w:r>
                  <w:r>
                    <w:rPr>
                      <w:rFonts w:hint="eastAsia" w:ascii="仿宋" w:hAnsi="仿宋"/>
                    </w:rPr>
                    <w:t>云签客户端认证：</w:t>
                  </w:r>
                </w:p>
                <w:p>
                  <w:pPr>
                    <w:spacing w:line="360" w:lineRule="auto"/>
                    <w:rPr>
                      <w:rFonts w:ascii="仿宋" w:hAnsi="仿宋" w:cs="仿宋_GB2312"/>
                      <w:b/>
                    </w:rPr>
                  </w:pPr>
                  <w:r>
                    <w:rPr>
                      <w:rFonts w:hint="eastAsia" w:ascii="仿宋" w:hAnsi="仿宋" w:cs="仿宋_GB2312"/>
                    </w:rPr>
                    <w:t>▲</w:t>
                  </w:r>
                  <w:r>
                    <w:rPr>
                      <w:rFonts w:hint="eastAsia" w:ascii="仿宋" w:hAnsi="仿宋"/>
                    </w:rPr>
                    <w:t>a、新增云签客户端认证功能，支持工号+云签数字证书PIN码登录认证。</w:t>
                  </w:r>
                  <w:r>
                    <w:rPr>
                      <w:rFonts w:hint="eastAsia" w:ascii="仿宋" w:hAnsi="仿宋" w:cs="仿宋_GB2312"/>
                      <w:b/>
                    </w:rPr>
                    <w:t>投标文件提供相关功能截图。</w:t>
                  </w:r>
                </w:p>
                <w:p>
                  <w:pPr>
                    <w:spacing w:line="360" w:lineRule="auto"/>
                    <w:rPr>
                      <w:rFonts w:ascii="仿宋" w:hAnsi="仿宋"/>
                    </w:rPr>
                  </w:pPr>
                  <w:r>
                    <w:rPr>
                      <w:rFonts w:hint="eastAsia" w:ascii="仿宋" w:hAnsi="仿宋"/>
                    </w:rPr>
                    <w:t>b、云签客户端认证功能支持由云签服务端统一控制启用。</w:t>
                  </w:r>
                </w:p>
                <w:p>
                  <w:pPr>
                    <w:spacing w:line="360" w:lineRule="auto"/>
                    <w:ind w:right="-61" w:rightChars="-29"/>
                    <w:jc w:val="left"/>
                    <w:rPr>
                      <w:rFonts w:ascii="仿宋" w:hAnsi="仿宋"/>
                      <w:bCs/>
                    </w:rPr>
                  </w:pPr>
                  <w:r>
                    <w:rPr>
                      <w:rFonts w:hint="eastAsia" w:ascii="仿宋" w:hAnsi="仿宋"/>
                    </w:rPr>
                    <w:t>c、当出现网络故障时，云签服务端支持自动启用云签客户端认证功能。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continue"/>
                  <w:vAlign w:val="center"/>
                </w:tcPr>
                <w:p>
                  <w:pPr>
                    <w:widowControl/>
                    <w:jc w:val="center"/>
                    <w:rPr>
                      <w:rFonts w:ascii="仿宋" w:hAnsi="仿宋"/>
                      <w:b/>
                    </w:rPr>
                  </w:pPr>
                </w:p>
              </w:tc>
              <w:tc>
                <w:tcPr>
                  <w:tcW w:w="6076" w:type="dxa"/>
                </w:tcPr>
                <w:p>
                  <w:pPr>
                    <w:spacing w:line="360" w:lineRule="auto"/>
                    <w:rPr>
                      <w:rFonts w:ascii="仿宋" w:hAnsi="仿宋"/>
                    </w:rPr>
                  </w:pPr>
                  <w:r>
                    <w:rPr>
                      <w:rFonts w:hint="eastAsia" w:ascii="仿宋" w:hAnsi="仿宋" w:cs="仿宋_GB2312"/>
                    </w:rPr>
                    <w:t>▲</w:t>
                  </w:r>
                  <w:r>
                    <w:rPr>
                      <w:rFonts w:ascii="仿宋" w:hAnsi="仿宋"/>
                    </w:rPr>
                    <w:t>4.2.3</w:t>
                  </w:r>
                  <w:r>
                    <w:rPr>
                      <w:rFonts w:hint="eastAsia" w:ascii="仿宋" w:hAnsi="仿宋"/>
                    </w:rPr>
                    <w:t>中间件支持远程升级。</w:t>
                  </w:r>
                </w:p>
                <w:p>
                  <w:pPr>
                    <w:spacing w:line="360" w:lineRule="auto"/>
                    <w:rPr>
                      <w:rFonts w:ascii="仿宋" w:hAnsi="仿宋"/>
                    </w:rPr>
                  </w:pPr>
                  <w:r>
                    <w:rPr>
                      <w:rFonts w:hint="eastAsia" w:ascii="仿宋" w:hAnsi="仿宋" w:cs="仿宋_GB2312"/>
                      <w:b/>
                    </w:rPr>
                    <w:t>投标文件提供相关功能截图。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pPr>
                    <w:jc w:val="center"/>
                    <w:rPr>
                      <w:rFonts w:ascii="仿宋" w:hAnsi="仿宋"/>
                      <w:b/>
                    </w:rPr>
                  </w:pPr>
                  <w:r>
                    <w:rPr>
                      <w:rFonts w:hint="eastAsia" w:ascii="仿宋" w:hAnsi="仿宋"/>
                      <w:b/>
                    </w:rPr>
                    <w:t>5</w:t>
                  </w:r>
                </w:p>
              </w:tc>
              <w:tc>
                <w:tcPr>
                  <w:tcW w:w="972" w:type="dxa"/>
                  <w:vMerge w:val="restart"/>
                  <w:vAlign w:val="center"/>
                </w:tcPr>
                <w:p>
                  <w:pPr>
                    <w:rPr>
                      <w:rFonts w:ascii="仿宋" w:hAnsi="仿宋"/>
                      <w:b/>
                    </w:rPr>
                  </w:pPr>
                  <w:r>
                    <w:rPr>
                      <w:rFonts w:hint="eastAsia" w:ascii="仿宋" w:hAnsi="仿宋"/>
                      <w:b/>
                    </w:rPr>
                    <w:t>CA认证服务增加非即时签名功能</w:t>
                  </w:r>
                </w:p>
              </w:tc>
              <w:tc>
                <w:tcPr>
                  <w:tcW w:w="1080" w:type="dxa"/>
                  <w:vAlign w:val="center"/>
                </w:tcPr>
                <w:p>
                  <w:pPr>
                    <w:widowControl/>
                    <w:jc w:val="center"/>
                    <w:rPr>
                      <w:rFonts w:ascii="仿宋" w:hAnsi="仿宋"/>
                      <w:b/>
                    </w:rPr>
                  </w:pPr>
                  <w:r>
                    <w:rPr>
                      <w:rFonts w:hint="eastAsia" w:ascii="仿宋" w:hAnsi="仿宋"/>
                      <w:b/>
                    </w:rPr>
                    <w:t>5</w:t>
                  </w:r>
                  <w:r>
                    <w:rPr>
                      <w:rFonts w:ascii="仿宋" w:hAnsi="仿宋"/>
                      <w:b/>
                    </w:rPr>
                    <w:t>.1</w:t>
                  </w:r>
                  <w:r>
                    <w:rPr>
                      <w:rFonts w:hint="eastAsia" w:ascii="仿宋" w:hAnsi="仿宋"/>
                      <w:b/>
                    </w:rPr>
                    <w:t>总体要求</w:t>
                  </w:r>
                </w:p>
              </w:tc>
              <w:tc>
                <w:tcPr>
                  <w:tcW w:w="6076" w:type="dxa"/>
                </w:tcPr>
                <w:p>
                  <w:pPr>
                    <w:spacing w:line="360" w:lineRule="auto"/>
                    <w:rPr>
                      <w:rFonts w:ascii="仿宋" w:hAnsi="仿宋"/>
                      <w:bCs/>
                    </w:rPr>
                  </w:pPr>
                  <w:r>
                    <w:rPr>
                      <w:rFonts w:hint="eastAsia" w:ascii="仿宋" w:hAnsi="仿宋"/>
                      <w:bCs/>
                    </w:rPr>
                    <w:t>5</w:t>
                  </w:r>
                  <w:r>
                    <w:rPr>
                      <w:rFonts w:ascii="仿宋" w:hAnsi="仿宋"/>
                      <w:bCs/>
                    </w:rPr>
                    <w:t>.1.1</w:t>
                  </w:r>
                  <w:r>
                    <w:rPr>
                      <w:rFonts w:hint="eastAsia" w:ascii="仿宋" w:hAnsi="仿宋"/>
                      <w:bCs/>
                    </w:rPr>
                    <w:t>改造医院的CA认证服务，增加非即时签名功能，使其满足CA认证服务高可用总体要求</w:t>
                  </w:r>
                  <w:r>
                    <w:rPr>
                      <w:rFonts w:hint="eastAsia" w:ascii="仿宋" w:hAnsi="仿宋"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restart"/>
                  <w:vAlign w:val="center"/>
                </w:tcPr>
                <w:p>
                  <w:pPr>
                    <w:widowControl/>
                    <w:jc w:val="center"/>
                    <w:rPr>
                      <w:rFonts w:ascii="仿宋" w:hAnsi="仿宋"/>
                      <w:b/>
                    </w:rPr>
                  </w:pPr>
                  <w:r>
                    <w:rPr>
                      <w:rFonts w:hint="eastAsia" w:ascii="仿宋" w:hAnsi="仿宋" w:cs="仿宋_GB2312"/>
                      <w:b/>
                    </w:rPr>
                    <w:t>5</w:t>
                  </w:r>
                  <w:r>
                    <w:rPr>
                      <w:rFonts w:ascii="仿宋" w:hAnsi="仿宋" w:cs="仿宋_GB2312"/>
                      <w:b/>
                    </w:rPr>
                    <w:t>.2</w:t>
                  </w:r>
                  <w:r>
                    <w:rPr>
                      <w:rFonts w:hint="eastAsia" w:ascii="仿宋" w:hAnsi="仿宋" w:cs="仿宋_GB2312"/>
                      <w:b/>
                    </w:rPr>
                    <w:t>功能要求</w:t>
                  </w:r>
                </w:p>
              </w:tc>
              <w:tc>
                <w:tcPr>
                  <w:tcW w:w="6076" w:type="dxa"/>
                </w:tcPr>
                <w:p>
                  <w:pPr>
                    <w:rPr>
                      <w:rFonts w:ascii="仿宋" w:hAnsi="仿宋"/>
                    </w:rPr>
                  </w:pPr>
                  <w:r>
                    <w:rPr>
                      <w:rFonts w:hint="eastAsia" w:ascii="仿宋" w:hAnsi="仿宋" w:cs="仿宋_GB2312"/>
                    </w:rPr>
                    <w:t>▲</w:t>
                  </w:r>
                  <w:r>
                    <w:rPr>
                      <w:rFonts w:ascii="仿宋" w:hAnsi="仿宋"/>
                    </w:rPr>
                    <w:t>5.2.</w:t>
                  </w:r>
                  <w:r>
                    <w:rPr>
                      <w:rFonts w:hint="eastAsia" w:ascii="仿宋" w:hAnsi="仿宋"/>
                    </w:rPr>
                    <w:t>1、支持在数字签名服务器出现故障时，将医院医疗系统提交的数据进行待签数据固化，同时加盖时间戳，并返回医院医疗系统正确响应结果，确保业务流程正常流转。恢复故障后，用户可通过手机云签署APP查看待签数据，批量提交进行CA数字签名并加盖时间戳。</w:t>
                  </w:r>
                </w:p>
                <w:p>
                  <w:pPr>
                    <w:spacing w:line="360" w:lineRule="auto"/>
                    <w:rPr>
                      <w:rFonts w:ascii="仿宋" w:hAnsi="仿宋"/>
                      <w:bCs/>
                    </w:rPr>
                  </w:pPr>
                  <w:r>
                    <w:rPr>
                      <w:rFonts w:hint="eastAsia" w:ascii="仿宋" w:hAnsi="仿宋" w:cs="仿宋_GB2312"/>
                      <w:b/>
                    </w:rPr>
                    <w:t>投标文件提供相关功能截图。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rPr>
                      <w:rFonts w:ascii="仿宋" w:hAnsi="仿宋" w:cs="仿宋_GB2312"/>
                    </w:rPr>
                  </w:pPr>
                  <w:r>
                    <w:rPr>
                      <w:rFonts w:hint="eastAsia" w:ascii="仿宋" w:hAnsi="仿宋"/>
                    </w:rPr>
                    <w:t>5</w:t>
                  </w:r>
                  <w:r>
                    <w:rPr>
                      <w:rFonts w:ascii="仿宋" w:hAnsi="仿宋"/>
                    </w:rPr>
                    <w:t>.2.2</w:t>
                  </w:r>
                  <w:r>
                    <w:rPr>
                      <w:rFonts w:hint="eastAsia" w:ascii="仿宋" w:hAnsi="仿宋"/>
                    </w:rPr>
                    <w:t>当存在待签非即时签名数据时，在手机云签署APP通知用户处理</w:t>
                  </w:r>
                  <w:r>
                    <w:rPr>
                      <w:rFonts w:hint="eastAsia" w:ascii="仿宋" w:hAnsi="仿宋"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restart"/>
                  <w:vAlign w:val="center"/>
                </w:tcPr>
                <w:p>
                  <w:pPr>
                    <w:jc w:val="center"/>
                    <w:rPr>
                      <w:rFonts w:ascii="仿宋" w:hAnsi="仿宋"/>
                      <w:b/>
                    </w:rPr>
                  </w:pPr>
                  <w:r>
                    <w:rPr>
                      <w:rFonts w:ascii="仿宋" w:hAnsi="仿宋"/>
                      <w:b/>
                    </w:rPr>
                    <w:t>6</w:t>
                  </w:r>
                </w:p>
              </w:tc>
              <w:tc>
                <w:tcPr>
                  <w:tcW w:w="972" w:type="dxa"/>
                  <w:vMerge w:val="restart"/>
                  <w:vAlign w:val="center"/>
                </w:tcPr>
                <w:p>
                  <w:pPr>
                    <w:rPr>
                      <w:rFonts w:ascii="仿宋" w:hAnsi="仿宋"/>
                      <w:b/>
                    </w:rPr>
                  </w:pPr>
                  <w:r>
                    <w:rPr>
                      <w:rFonts w:hint="eastAsia" w:ascii="仿宋" w:hAnsi="仿宋"/>
                      <w:b/>
                    </w:rPr>
                    <w:t>CA认证服务增加协同、授权签名功能</w:t>
                  </w:r>
                </w:p>
              </w:tc>
              <w:tc>
                <w:tcPr>
                  <w:tcW w:w="1080" w:type="dxa"/>
                  <w:vAlign w:val="center"/>
                </w:tcPr>
                <w:p>
                  <w:pPr>
                    <w:widowControl/>
                    <w:jc w:val="center"/>
                    <w:rPr>
                      <w:rFonts w:ascii="仿宋" w:hAnsi="仿宋" w:cs="仿宋_GB2312"/>
                      <w:b/>
                    </w:rPr>
                  </w:pPr>
                  <w:r>
                    <w:rPr>
                      <w:rFonts w:hint="eastAsia" w:ascii="仿宋" w:hAnsi="仿宋" w:cs="仿宋_GB2312"/>
                      <w:b/>
                    </w:rPr>
                    <w:t>6</w:t>
                  </w:r>
                  <w:r>
                    <w:rPr>
                      <w:rFonts w:ascii="仿宋" w:hAnsi="仿宋" w:cs="仿宋_GB2312"/>
                      <w:b/>
                    </w:rPr>
                    <w:t>.1</w:t>
                  </w:r>
                  <w:r>
                    <w:rPr>
                      <w:rFonts w:hint="eastAsia" w:ascii="仿宋" w:hAnsi="仿宋"/>
                      <w:b/>
                    </w:rPr>
                    <w:t>总体要求</w:t>
                  </w:r>
                </w:p>
              </w:tc>
              <w:tc>
                <w:tcPr>
                  <w:tcW w:w="6076" w:type="dxa"/>
                </w:tcPr>
                <w:p>
                  <w:pPr>
                    <w:rPr>
                      <w:rFonts w:ascii="仿宋" w:hAnsi="仿宋"/>
                    </w:rPr>
                  </w:pPr>
                  <w:r>
                    <w:rPr>
                      <w:rFonts w:hint="eastAsia" w:ascii="仿宋" w:hAnsi="仿宋"/>
                    </w:rPr>
                    <w:t>6</w:t>
                  </w:r>
                  <w:r>
                    <w:rPr>
                      <w:rFonts w:ascii="仿宋" w:hAnsi="仿宋"/>
                    </w:rPr>
                    <w:t>.1.1</w:t>
                  </w:r>
                  <w:r>
                    <w:rPr>
                      <w:rFonts w:hint="eastAsia" w:ascii="仿宋" w:hAnsi="仿宋"/>
                      <w:bCs/>
                    </w:rPr>
                    <w:t>改造医院的CA认证服务，增加协同、授权签名功能，使其满足CA认证服务高可用总体要求</w:t>
                  </w:r>
                  <w:r>
                    <w:rPr>
                      <w:rFonts w:hint="eastAsia" w:ascii="仿宋" w:hAnsi="仿宋"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restart"/>
                  <w:vAlign w:val="center"/>
                </w:tcPr>
                <w:p>
                  <w:pPr>
                    <w:widowControl/>
                    <w:jc w:val="center"/>
                    <w:rPr>
                      <w:rFonts w:ascii="仿宋" w:hAnsi="仿宋" w:cs="仿宋_GB2312"/>
                      <w:b/>
                    </w:rPr>
                  </w:pPr>
                  <w:r>
                    <w:rPr>
                      <w:rFonts w:hint="eastAsia" w:ascii="仿宋" w:hAnsi="仿宋" w:cs="仿宋_GB2312"/>
                      <w:b/>
                    </w:rPr>
                    <w:t>6</w:t>
                  </w:r>
                  <w:r>
                    <w:rPr>
                      <w:rFonts w:ascii="仿宋" w:hAnsi="仿宋" w:cs="仿宋_GB2312"/>
                      <w:b/>
                    </w:rPr>
                    <w:t>.2</w:t>
                  </w:r>
                  <w:r>
                    <w:rPr>
                      <w:rFonts w:hint="eastAsia" w:ascii="仿宋" w:hAnsi="仿宋" w:cs="仿宋_GB2312"/>
                      <w:b/>
                    </w:rPr>
                    <w:t>功能要求</w:t>
                  </w:r>
                </w:p>
              </w:tc>
              <w:tc>
                <w:tcPr>
                  <w:tcW w:w="6076" w:type="dxa"/>
                </w:tcPr>
                <w:p>
                  <w:pPr>
                    <w:rPr>
                      <w:rFonts w:ascii="仿宋" w:hAnsi="仿宋"/>
                      <w:bCs/>
                    </w:rPr>
                  </w:pPr>
                  <w:r>
                    <w:rPr>
                      <w:rFonts w:hint="eastAsia" w:ascii="仿宋" w:hAnsi="仿宋"/>
                      <w:bCs/>
                    </w:rPr>
                    <w:t>6</w:t>
                  </w:r>
                  <w:r>
                    <w:rPr>
                      <w:rFonts w:ascii="仿宋" w:hAnsi="仿宋"/>
                      <w:bCs/>
                    </w:rPr>
                    <w:t>.2.1</w:t>
                  </w:r>
                  <w:r>
                    <w:rPr>
                      <w:rFonts w:hint="eastAsia" w:ascii="仿宋" w:hAnsi="仿宋"/>
                      <w:bCs/>
                    </w:rPr>
                    <w:t>协同签名：</w:t>
                  </w:r>
                </w:p>
                <w:p>
                  <w:pPr>
                    <w:rPr>
                      <w:rFonts w:ascii="仿宋" w:hAnsi="仿宋"/>
                    </w:rPr>
                  </w:pPr>
                  <w:r>
                    <w:rPr>
                      <w:rFonts w:hint="eastAsia" w:ascii="仿宋" w:hAnsi="仿宋"/>
                    </w:rPr>
                    <w:t>a、提供协同签名接口，支持用户在医院医疗系统提交数据时，指定协同签名人。数据提交至CA认证服务后，CA认证服务进行待签数据固化并加盖时间戳，同时将待签数据推送至协同签名人的手机云签署APP。协同签名人可用手机云签署APP随时随地进行身份认证。确认签名内容后进行CA数字签名。</w:t>
                  </w:r>
                </w:p>
                <w:p>
                  <w:pPr>
                    <w:rPr>
                      <w:rFonts w:ascii="仿宋" w:hAnsi="仿宋"/>
                    </w:rPr>
                  </w:pPr>
                  <w:r>
                    <w:rPr>
                      <w:rFonts w:hint="eastAsia" w:ascii="仿宋" w:hAnsi="仿宋"/>
                    </w:rPr>
                    <w:t>b、协同签名接口支持集成至医院CA认证中间件数据签名接口。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75" w:type="dxa"/>
                  <w:vMerge w:val="continue"/>
                  <w:vAlign w:val="center"/>
                </w:tcPr>
                <w:p>
                  <w:pPr>
                    <w:jc w:val="center"/>
                    <w:rPr>
                      <w:rFonts w:ascii="仿宋" w:hAnsi="仿宋"/>
                      <w:b/>
                    </w:rPr>
                  </w:pPr>
                </w:p>
              </w:tc>
              <w:tc>
                <w:tcPr>
                  <w:tcW w:w="972" w:type="dxa"/>
                  <w:vMerge w:val="continue"/>
                  <w:vAlign w:val="center"/>
                </w:tcPr>
                <w:p>
                  <w:pPr>
                    <w:rPr>
                      <w:rFonts w:ascii="仿宋" w:hAnsi="仿宋"/>
                      <w:b/>
                    </w:rPr>
                  </w:pPr>
                </w:p>
              </w:tc>
              <w:tc>
                <w:tcPr>
                  <w:tcW w:w="1080" w:type="dxa"/>
                  <w:vMerge w:val="continue"/>
                  <w:vAlign w:val="center"/>
                </w:tcPr>
                <w:p>
                  <w:pPr>
                    <w:widowControl/>
                    <w:jc w:val="center"/>
                    <w:rPr>
                      <w:rFonts w:ascii="仿宋" w:hAnsi="仿宋" w:cs="仿宋_GB2312"/>
                      <w:b/>
                    </w:rPr>
                  </w:pPr>
                </w:p>
              </w:tc>
              <w:tc>
                <w:tcPr>
                  <w:tcW w:w="6076" w:type="dxa"/>
                </w:tcPr>
                <w:p>
                  <w:pPr>
                    <w:rPr>
                      <w:rFonts w:ascii="仿宋" w:hAnsi="仿宋"/>
                      <w:bCs/>
                    </w:rPr>
                  </w:pPr>
                  <w:r>
                    <w:rPr>
                      <w:rFonts w:ascii="仿宋" w:hAnsi="仿宋"/>
                      <w:bCs/>
                    </w:rPr>
                    <w:t>6</w:t>
                  </w:r>
                  <w:r>
                    <w:rPr>
                      <w:rFonts w:hint="eastAsia" w:ascii="仿宋" w:hAnsi="仿宋"/>
                      <w:bCs/>
                    </w:rPr>
                    <w:t>.</w:t>
                  </w:r>
                  <w:r>
                    <w:rPr>
                      <w:rFonts w:ascii="仿宋" w:hAnsi="仿宋"/>
                      <w:bCs/>
                    </w:rPr>
                    <w:t>2.2</w:t>
                  </w:r>
                  <w:r>
                    <w:rPr>
                      <w:rFonts w:hint="eastAsia" w:ascii="仿宋" w:hAnsi="仿宋"/>
                      <w:bCs/>
                    </w:rPr>
                    <w:t>、授权签名：</w:t>
                  </w:r>
                </w:p>
                <w:p>
                  <w:pPr>
                    <w:rPr>
                      <w:rFonts w:ascii="仿宋" w:hAnsi="仿宋"/>
                    </w:rPr>
                  </w:pPr>
                  <w:r>
                    <w:rPr>
                      <w:rFonts w:hint="eastAsia" w:ascii="仿宋" w:hAnsi="仿宋"/>
                    </w:rPr>
                    <w:t>a、提供</w:t>
                  </w:r>
                  <w:r>
                    <w:rPr>
                      <w:rFonts w:hint="eastAsia" w:ascii="仿宋" w:hAnsi="仿宋"/>
                      <w:bCs/>
                    </w:rPr>
                    <w:t>授权</w:t>
                  </w:r>
                  <w:r>
                    <w:rPr>
                      <w:rFonts w:hint="eastAsia" w:ascii="仿宋" w:hAnsi="仿宋"/>
                    </w:rPr>
                    <w:t>签名接口，支持用户在手机云签署APP上指定被授权人后，被授权人在指定时间内，在医院医疗系统提交数据时，指定授权签名人，数据提交至CA认证服务后，CA认证服务使用授权人数字证书进行CA数字签名并加盖时间戳。</w:t>
                  </w:r>
                </w:p>
                <w:p>
                  <w:pPr>
                    <w:rPr>
                      <w:rFonts w:ascii="仿宋" w:hAnsi="仿宋"/>
                    </w:rPr>
                  </w:pPr>
                  <w:r>
                    <w:rPr>
                      <w:rFonts w:hint="eastAsia" w:ascii="仿宋" w:hAnsi="仿宋"/>
                    </w:rPr>
                    <w:t>b、手机云签署APP支持按照时间授权模式，授权时选择被授权人，录入授权的起止时间；授权完成后，在起止时间段内，被授权人可以使用授权人的证书进行签名操作；授权过程中，授权人可以全权查看签署队列，以及提前回收授权操作。</w:t>
                  </w:r>
                </w:p>
                <w:p>
                  <w:pPr>
                    <w:rPr>
                      <w:rFonts w:ascii="仿宋" w:hAnsi="仿宋"/>
                      <w:bCs/>
                    </w:rPr>
                  </w:pPr>
                  <w:r>
                    <w:rPr>
                      <w:rFonts w:hint="eastAsia" w:ascii="仿宋" w:hAnsi="仿宋"/>
                    </w:rPr>
                    <w:t>c、授权签名接口支持集成至医院CA认证中间件数据签名接口。</w:t>
                  </w:r>
                </w:p>
              </w:tc>
            </w:tr>
          </w:tbl>
          <w:p>
            <w:pPr>
              <w:pStyle w:val="39"/>
              <w:ind w:left="65" w:firstLine="391" w:firstLineChars="163"/>
              <w:rPr>
                <w:rFonts w:cs="宋体" w:asciiTheme="minorEastAsia" w:hAnsiTheme="minorEastAsia"/>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cs="宋体" w:asciiTheme="minorEastAsia" w:hAnsiTheme="minorEastAsia" w:eastAsiaTheme="minorEastAsia"/>
                <w:kern w:val="0"/>
                <w:sz w:val="24"/>
                <w:szCs w:val="24"/>
              </w:rPr>
            </w:pPr>
            <w:r>
              <w:rPr>
                <w:rFonts w:cs="宋体" w:asciiTheme="minorEastAsia" w:hAnsiTheme="minorEastAsia" w:eastAsiaTheme="minorEastAsia"/>
                <w:b/>
                <w:bCs/>
                <w:kern w:val="0"/>
                <w:sz w:val="24"/>
                <w:szCs w:val="24"/>
              </w:rPr>
              <w:t>商务需求</w:t>
            </w:r>
            <w:r>
              <w:rPr>
                <w:rFonts w:cs="宋体" w:asciiTheme="minorEastAsia" w:hAnsiTheme="minorEastAsia" w:eastAsiaTheme="minorEastAsia"/>
                <w:kern w:val="0"/>
                <w:sz w:val="24"/>
                <w:szCs w:val="24"/>
              </w:rPr>
              <w:t xml:space="preserve"> </w:t>
            </w:r>
          </w:p>
        </w:tc>
        <w:tc>
          <w:tcPr>
            <w:tcW w:w="8880" w:type="dxa"/>
            <w:tcBorders>
              <w:top w:val="single" w:color="auto" w:sz="6" w:space="0"/>
              <w:left w:val="single" w:color="auto" w:sz="6" w:space="0"/>
              <w:bottom w:val="nil"/>
              <w:right w:val="nil"/>
            </w:tcBorders>
            <w:vAlign w:val="center"/>
          </w:tcPr>
          <w:p>
            <w:pPr>
              <w:widowControl/>
              <w:jc w:val="left"/>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 xml:space="preserve">  </w:t>
            </w:r>
          </w:p>
          <w:tbl>
            <w:tblPr>
              <w:tblStyle w:val="12"/>
              <w:tblW w:w="8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35"/>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94" w:type="dxa"/>
                  <w:vAlign w:val="center"/>
                </w:tcPr>
                <w:p>
                  <w:pPr>
                    <w:jc w:val="center"/>
                    <w:rPr>
                      <w:b/>
                    </w:rPr>
                  </w:pPr>
                  <w:r>
                    <w:rPr>
                      <w:rFonts w:hint="eastAsia"/>
                      <w:b/>
                    </w:rPr>
                    <w:t>序号</w:t>
                  </w:r>
                </w:p>
              </w:tc>
              <w:tc>
                <w:tcPr>
                  <w:tcW w:w="1535" w:type="dxa"/>
                  <w:vAlign w:val="center"/>
                </w:tcPr>
                <w:p>
                  <w:pPr>
                    <w:jc w:val="center"/>
                    <w:rPr>
                      <w:b/>
                    </w:rPr>
                  </w:pPr>
                  <w:r>
                    <w:rPr>
                      <w:rFonts w:hint="eastAsia"/>
                      <w:b/>
                    </w:rPr>
                    <w:t>目录</w:t>
                  </w:r>
                </w:p>
              </w:tc>
              <w:tc>
                <w:tcPr>
                  <w:tcW w:w="5895" w:type="dxa"/>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624"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94" w:type="dxa"/>
                  <w:vAlign w:val="center"/>
                </w:tcPr>
                <w:p>
                  <w:pPr>
                    <w:jc w:val="center"/>
                    <w:rPr>
                      <w:rFonts w:ascii="宋体" w:hAnsi="宋体" w:cs="仿宋_GB2312"/>
                      <w:szCs w:val="21"/>
                    </w:rPr>
                  </w:pPr>
                  <w:r>
                    <w:rPr>
                      <w:rFonts w:hint="eastAsia" w:ascii="宋体" w:hAnsi="宋体" w:cs="仿宋_GB2312"/>
                      <w:szCs w:val="21"/>
                    </w:rPr>
                    <w:t>1</w:t>
                  </w:r>
                </w:p>
              </w:tc>
              <w:tc>
                <w:tcPr>
                  <w:tcW w:w="1535" w:type="dxa"/>
                </w:tcPr>
                <w:p>
                  <w:pPr>
                    <w:rPr>
                      <w:rFonts w:ascii="宋体" w:hAnsi="宋体" w:cs="仿宋_GB2312"/>
                      <w:szCs w:val="21"/>
                    </w:rPr>
                  </w:pPr>
                  <w:r>
                    <w:rPr>
                      <w:rFonts w:hint="eastAsia" w:ascii="宋体" w:hAnsi="宋体" w:cs="仿宋_GB2312"/>
                      <w:szCs w:val="21"/>
                    </w:rPr>
                    <w:t>维修响应及故障解决时间</w:t>
                  </w:r>
                </w:p>
              </w:tc>
              <w:tc>
                <w:tcPr>
                  <w:tcW w:w="5895" w:type="dxa"/>
                </w:tcPr>
                <w:p>
                  <w:pPr>
                    <w:rPr>
                      <w:rFonts w:ascii="宋体" w:hAnsi="宋体" w:cs="仿宋_GB2312"/>
                      <w:szCs w:val="21"/>
                    </w:rPr>
                  </w:pPr>
                  <w:r>
                    <w:rPr>
                      <w:rFonts w:hint="eastAsia" w:ascii="宋体" w:hAnsi="宋体" w:cs="仿宋_GB2312"/>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94" w:type="dxa"/>
                  <w:vMerge w:val="restart"/>
                  <w:vAlign w:val="center"/>
                </w:tcPr>
                <w:p>
                  <w:pPr>
                    <w:jc w:val="center"/>
                    <w:rPr>
                      <w:rFonts w:ascii="宋体" w:hAnsi="宋体" w:cs="仿宋_GB2312"/>
                      <w:szCs w:val="21"/>
                    </w:rPr>
                  </w:pPr>
                  <w:r>
                    <w:rPr>
                      <w:rFonts w:hint="eastAsia" w:ascii="宋体" w:hAnsi="宋体" w:cs="仿宋_GB2312"/>
                      <w:szCs w:val="21"/>
                    </w:rPr>
                    <w:t>2</w:t>
                  </w:r>
                </w:p>
              </w:tc>
              <w:tc>
                <w:tcPr>
                  <w:tcW w:w="1535" w:type="dxa"/>
                  <w:vMerge w:val="restart"/>
                  <w:vAlign w:val="center"/>
                </w:tcPr>
                <w:p>
                  <w:pPr>
                    <w:rPr>
                      <w:rFonts w:ascii="宋体" w:hAnsi="宋体" w:cs="仿宋_GB2312"/>
                      <w:szCs w:val="21"/>
                    </w:rPr>
                  </w:pPr>
                  <w:r>
                    <w:rPr>
                      <w:rFonts w:hint="eastAsia" w:ascii="宋体" w:hAnsi="宋体" w:cs="仿宋_GB2312"/>
                      <w:szCs w:val="21"/>
                    </w:rPr>
                    <w:t>关于免费保修期</w:t>
                  </w:r>
                </w:p>
              </w:tc>
              <w:tc>
                <w:tcPr>
                  <w:tcW w:w="5895" w:type="dxa"/>
                </w:tcPr>
                <w:p>
                  <w:pPr>
                    <w:pStyle w:val="40"/>
                    <w:spacing w:after="0" w:line="240" w:lineRule="auto"/>
                    <w:ind w:firstLine="0"/>
                    <w:rPr>
                      <w:rFonts w:ascii="宋体" w:hAnsi="宋体" w:cs="仿宋_GB2312"/>
                      <w:kern w:val="2"/>
                      <w:sz w:val="21"/>
                      <w:szCs w:val="21"/>
                      <w:lang w:eastAsia="zh-CN" w:bidi="ar-SA"/>
                    </w:rPr>
                  </w:pPr>
                  <w:r>
                    <w:rPr>
                      <w:rFonts w:ascii="宋体" w:hAnsi="宋体" w:eastAsia="仿宋" w:cs="仿宋_GB2312"/>
                      <w:kern w:val="2"/>
                      <w:szCs w:val="21"/>
                      <w:lang w:eastAsia="zh-CN" w:bidi="ar-SA"/>
                    </w:rPr>
                    <w:t>1.1</w:t>
                  </w:r>
                  <w:r>
                    <w:rPr>
                      <w:rFonts w:hint="eastAsia" w:ascii="宋体" w:hAnsi="宋体" w:eastAsia="仿宋" w:cs="仿宋_GB2312"/>
                      <w:kern w:val="2"/>
                      <w:szCs w:val="21"/>
                      <w:lang w:eastAsia="zh-CN" w:bidi="ar-SA"/>
                    </w:rPr>
                    <w:t>项目自验收之日起，中标人为采购人提供至少一年的软件免费维护服务，三年硬件免费维护服务，免费维护包括系统维护性能提升、故障检测，并保证供应商所提供的系统正常运行。所有售后服务由中标人负责。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rPr>
                      <w:rFonts w:ascii="宋体" w:hAnsi="宋体" w:cs="仿宋_GB2312"/>
                      <w:szCs w:val="21"/>
                    </w:rPr>
                  </w:pPr>
                </w:p>
              </w:tc>
              <w:tc>
                <w:tcPr>
                  <w:tcW w:w="5895"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2</w:t>
                  </w:r>
                  <w:r>
                    <w:rPr>
                      <w:rFonts w:hint="eastAsia" w:ascii="宋体" w:hAnsi="宋体" w:cs="仿宋_GB2312"/>
                      <w:szCs w:val="21"/>
                    </w:rPr>
                    <w:t>保修服务方式为中标人上门保修和远程保修相结合。中标人派技术人员到采购人使用现场维护，由此产生的一切费用均由中标人承担。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rPr>
                      <w:rFonts w:ascii="宋体" w:hAnsi="宋体" w:cs="仿宋_GB2312"/>
                      <w:szCs w:val="21"/>
                    </w:rPr>
                  </w:pPr>
                </w:p>
              </w:tc>
              <w:tc>
                <w:tcPr>
                  <w:tcW w:w="5895"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3</w:t>
                  </w:r>
                  <w:r>
                    <w:rPr>
                      <w:rFonts w:hint="eastAsia" w:ascii="宋体" w:hAnsi="宋体" w:cs="仿宋_GB2312"/>
                      <w:szCs w:val="21"/>
                    </w:rPr>
                    <w:t>项目自投入正式运行和在免费服务期内，系统出现故障时，供应商7×24小时服务响应，维护工程师应在接到报障后4个小时内到现场处理应用系统出现的故障；及时做出故障原因报告并提出有效措施加以解决。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rPr>
                      <w:rFonts w:ascii="宋体" w:hAnsi="宋体" w:cs="仿宋_GB2312"/>
                      <w:szCs w:val="21"/>
                    </w:rPr>
                  </w:pPr>
                </w:p>
              </w:tc>
              <w:tc>
                <w:tcPr>
                  <w:tcW w:w="5895"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4</w:t>
                  </w:r>
                  <w:r>
                    <w:rPr>
                      <w:rFonts w:hint="eastAsia" w:ascii="宋体" w:hAnsi="宋体" w:cs="仿宋_GB2312"/>
                      <w:szCs w:val="21"/>
                    </w:rPr>
                    <w:t>中标人须提出保修期内的维护内容和范围（产品、技术、模块）。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rPr>
                      <w:rFonts w:ascii="宋体" w:hAnsi="宋体" w:cs="仿宋_GB2312"/>
                      <w:szCs w:val="21"/>
                    </w:rPr>
                  </w:pPr>
                </w:p>
              </w:tc>
              <w:tc>
                <w:tcPr>
                  <w:tcW w:w="5895" w:type="dxa"/>
                  <w:vAlign w:val="center"/>
                </w:tcPr>
                <w:p>
                  <w:pPr>
                    <w:pStyle w:val="40"/>
                    <w:spacing w:after="0" w:line="240" w:lineRule="auto"/>
                    <w:ind w:firstLine="0"/>
                    <w:rPr>
                      <w:rFonts w:ascii="宋体" w:hAnsi="宋体" w:cs="仿宋_GB2312"/>
                      <w:kern w:val="2"/>
                      <w:sz w:val="21"/>
                      <w:szCs w:val="21"/>
                      <w:lang w:eastAsia="zh-CN" w:bidi="ar-SA"/>
                    </w:rPr>
                  </w:pPr>
                  <w:r>
                    <w:rPr>
                      <w:rFonts w:hint="eastAsia" w:ascii="宋体" w:hAnsi="宋体" w:eastAsia="仿宋" w:cs="仿宋_GB2312"/>
                      <w:kern w:val="2"/>
                      <w:szCs w:val="21"/>
                      <w:lang w:eastAsia="zh-CN" w:bidi="ar-SA"/>
                    </w:rPr>
                    <w:t>1.</w:t>
                  </w:r>
                  <w:r>
                    <w:rPr>
                      <w:rFonts w:ascii="宋体" w:hAnsi="宋体" w:eastAsia="仿宋" w:cs="仿宋_GB2312"/>
                      <w:kern w:val="2"/>
                      <w:szCs w:val="21"/>
                      <w:lang w:eastAsia="zh-CN" w:bidi="ar-SA"/>
                    </w:rPr>
                    <w:t>5</w:t>
                  </w:r>
                  <w:r>
                    <w:rPr>
                      <w:rFonts w:hint="eastAsia" w:ascii="宋体" w:hAnsi="宋体" w:eastAsia="仿宋" w:cs="仿宋_GB2312"/>
                      <w:kern w:val="2"/>
                      <w:szCs w:val="21"/>
                      <w:lang w:eastAsia="zh-CN" w:bidi="ar-SA"/>
                    </w:rPr>
                    <w:t>在项目验收后的免费服务期内，如因需要增加系统功能而产生的费用，双方另议；如果是软件设计漏洞或偏差，供应商须免费修正。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rPr>
                      <w:rFonts w:ascii="宋体" w:hAnsi="宋体" w:cs="仿宋_GB2312"/>
                      <w:szCs w:val="21"/>
                    </w:rPr>
                  </w:pPr>
                </w:p>
              </w:tc>
              <w:tc>
                <w:tcPr>
                  <w:tcW w:w="5895" w:type="dxa"/>
                  <w:vAlign w:val="center"/>
                </w:tcPr>
                <w:p>
                  <w:pPr>
                    <w:rPr>
                      <w:rFonts w:ascii="宋体" w:hAnsi="宋体" w:cs="仿宋_GB2312"/>
                      <w:szCs w:val="21"/>
                    </w:rPr>
                  </w:pPr>
                  <w:r>
                    <w:rPr>
                      <w:rFonts w:hint="eastAsia" w:ascii="宋体" w:hAnsi="宋体" w:cs="仿宋_GB2312"/>
                      <w:szCs w:val="21"/>
                    </w:rPr>
                    <w:t>1.</w:t>
                  </w:r>
                  <w:r>
                    <w:rPr>
                      <w:rFonts w:ascii="宋体" w:hAnsi="宋体" w:cs="仿宋_GB2312"/>
                      <w:szCs w:val="21"/>
                    </w:rPr>
                    <w:t>6</w:t>
                  </w:r>
                  <w:r>
                    <w:rPr>
                      <w:rFonts w:hint="eastAsia" w:ascii="宋体" w:hAnsi="宋体" w:cs="仿宋_GB2312"/>
                      <w:szCs w:val="21"/>
                    </w:rPr>
                    <w:t>项目免费服务期满后，供应商须承诺在法定工作时间内，可以提供免费的技术指导和咨询，如需其他技术支持服务，则费用由双方另议（提供有效的承诺函加盖公章）。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624" w:type="dxa"/>
                  <w:gridSpan w:val="3"/>
                </w:tcPr>
                <w:p>
                  <w:pPr>
                    <w:rPr>
                      <w:b/>
                    </w:rPr>
                  </w:pPr>
                  <w:r>
                    <w:rPr>
                      <w:rFonts w:hint="eastAsia"/>
                      <w:b/>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94" w:type="dxa"/>
                  <w:vMerge w:val="restart"/>
                  <w:vAlign w:val="center"/>
                </w:tcPr>
                <w:p>
                  <w:pPr>
                    <w:jc w:val="center"/>
                    <w:rPr>
                      <w:rFonts w:ascii="宋体" w:hAnsi="宋体" w:cs="仿宋_GB2312"/>
                      <w:szCs w:val="21"/>
                    </w:rPr>
                  </w:pPr>
                  <w:r>
                    <w:rPr>
                      <w:rFonts w:hint="eastAsia" w:ascii="宋体" w:hAnsi="宋体" w:cs="仿宋_GB2312"/>
                      <w:szCs w:val="21"/>
                    </w:rPr>
                    <w:t>1</w:t>
                  </w:r>
                </w:p>
              </w:tc>
              <w:tc>
                <w:tcPr>
                  <w:tcW w:w="1535" w:type="dxa"/>
                  <w:vMerge w:val="restart"/>
                  <w:vAlign w:val="center"/>
                </w:tcPr>
                <w:p>
                  <w:pPr>
                    <w:jc w:val="center"/>
                    <w:rPr>
                      <w:rFonts w:ascii="宋体" w:hAnsi="宋体" w:cs="仿宋_GB2312"/>
                      <w:szCs w:val="21"/>
                    </w:rPr>
                  </w:pPr>
                  <w:r>
                    <w:rPr>
                      <w:rFonts w:hint="eastAsia" w:ascii="宋体" w:hAnsi="宋体" w:cs="仿宋_GB2312"/>
                      <w:szCs w:val="21"/>
                    </w:rPr>
                    <w:t>关于交货</w:t>
                  </w:r>
                </w:p>
              </w:tc>
              <w:tc>
                <w:tcPr>
                  <w:tcW w:w="5895" w:type="dxa"/>
                </w:tcPr>
                <w:p>
                  <w:pPr>
                    <w:rPr>
                      <w:rFonts w:ascii="宋体" w:hAnsi="宋体" w:cs="仿宋_GB2312"/>
                      <w:szCs w:val="21"/>
                    </w:rPr>
                  </w:pPr>
                  <w:r>
                    <w:rPr>
                      <w:rFonts w:hint="eastAsia" w:ascii="宋体" w:hAnsi="宋体" w:cs="仿宋_GB2312"/>
                      <w:szCs w:val="21"/>
                    </w:rPr>
                    <w:t>1.1交货地点：采购人指定交货地点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jc w:val="center"/>
                    <w:rPr>
                      <w:rFonts w:ascii="宋体" w:hAnsi="宋体" w:cs="仿宋_GB2312"/>
                      <w:szCs w:val="21"/>
                    </w:rPr>
                  </w:pPr>
                </w:p>
              </w:tc>
              <w:tc>
                <w:tcPr>
                  <w:tcW w:w="5895" w:type="dxa"/>
                </w:tcPr>
                <w:p>
                  <w:pPr>
                    <w:rPr>
                      <w:rFonts w:ascii="宋体" w:hAnsi="宋体" w:cs="仿宋_GB2312"/>
                      <w:szCs w:val="21"/>
                    </w:rPr>
                  </w:pPr>
                  <w:r>
                    <w:rPr>
                      <w:rFonts w:hint="eastAsia" w:ascii="宋体" w:hAnsi="宋体" w:cs="仿宋_GB2312"/>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94" w:type="dxa"/>
                  <w:vMerge w:val="continue"/>
                  <w:vAlign w:val="center"/>
                </w:tcPr>
                <w:p>
                  <w:pPr>
                    <w:jc w:val="center"/>
                    <w:rPr>
                      <w:rFonts w:ascii="宋体" w:hAnsi="宋体" w:cs="仿宋_GB2312"/>
                      <w:szCs w:val="21"/>
                    </w:rPr>
                  </w:pPr>
                </w:p>
              </w:tc>
              <w:tc>
                <w:tcPr>
                  <w:tcW w:w="1535" w:type="dxa"/>
                  <w:vMerge w:val="continue"/>
                  <w:vAlign w:val="center"/>
                </w:tcPr>
                <w:p>
                  <w:pPr>
                    <w:jc w:val="center"/>
                    <w:rPr>
                      <w:rFonts w:ascii="宋体" w:hAnsi="宋体" w:cs="仿宋_GB2312"/>
                      <w:szCs w:val="21"/>
                    </w:rPr>
                  </w:pPr>
                </w:p>
              </w:tc>
              <w:tc>
                <w:tcPr>
                  <w:tcW w:w="5895" w:type="dxa"/>
                </w:tcPr>
                <w:p>
                  <w:pPr>
                    <w:rPr>
                      <w:rFonts w:ascii="宋体" w:hAnsi="宋体" w:cs="仿宋_GB2312"/>
                      <w:szCs w:val="21"/>
                    </w:rPr>
                  </w:pPr>
                  <w:r>
                    <w:rPr>
                      <w:rFonts w:hint="eastAsia" w:ascii="宋体" w:hAnsi="宋体" w:cs="仿宋_GB2312"/>
                      <w:szCs w:val="21"/>
                    </w:rPr>
                    <w:t xml:space="preserve">1.3签订合同后 </w:t>
                  </w:r>
                  <w:r>
                    <w:rPr>
                      <w:rFonts w:ascii="宋体" w:hAnsi="宋体" w:cs="仿宋_GB2312"/>
                      <w:szCs w:val="21"/>
                    </w:rPr>
                    <w:t>60</w:t>
                  </w:r>
                  <w:r>
                    <w:rPr>
                      <w:rFonts w:hint="eastAsia" w:ascii="宋体" w:hAnsi="宋体" w:cs="仿宋_GB2312"/>
                      <w:szCs w:val="21"/>
                    </w:rPr>
                    <w:t xml:space="preserve"> 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vMerge w:val="restart"/>
                  <w:vAlign w:val="center"/>
                </w:tcPr>
                <w:p>
                  <w:pPr>
                    <w:jc w:val="center"/>
                    <w:rPr>
                      <w:rFonts w:ascii="宋体" w:hAnsi="宋体" w:cs="仿宋_GB2312"/>
                      <w:szCs w:val="21"/>
                    </w:rPr>
                  </w:pPr>
                  <w:r>
                    <w:rPr>
                      <w:rFonts w:hint="eastAsia" w:ascii="宋体" w:hAnsi="宋体" w:cs="仿宋_GB2312"/>
                      <w:szCs w:val="21"/>
                    </w:rPr>
                    <w:t>2</w:t>
                  </w:r>
                </w:p>
              </w:tc>
              <w:tc>
                <w:tcPr>
                  <w:tcW w:w="1535" w:type="dxa"/>
                  <w:vMerge w:val="restart"/>
                  <w:vAlign w:val="center"/>
                </w:tcPr>
                <w:p>
                  <w:pPr>
                    <w:jc w:val="center"/>
                    <w:rPr>
                      <w:rFonts w:ascii="宋体" w:hAnsi="宋体" w:cs="仿宋_GB2312"/>
                      <w:szCs w:val="21"/>
                    </w:rPr>
                  </w:pPr>
                  <w:r>
                    <w:rPr>
                      <w:rFonts w:hint="eastAsia" w:ascii="宋体" w:hAnsi="宋体" w:cs="仿宋_GB2312"/>
                      <w:szCs w:val="21"/>
                    </w:rPr>
                    <w:t>关于验收</w:t>
                  </w:r>
                </w:p>
              </w:tc>
              <w:tc>
                <w:tcPr>
                  <w:tcW w:w="5895" w:type="dxa"/>
                </w:tcPr>
                <w:p>
                  <w:pPr>
                    <w:spacing w:line="340" w:lineRule="exact"/>
                    <w:rPr>
                      <w:rFonts w:ascii="宋体" w:hAnsi="宋体" w:cs="仿宋_GB2312"/>
                      <w:szCs w:val="21"/>
                    </w:rPr>
                  </w:pPr>
                  <w:r>
                    <w:rPr>
                      <w:rFonts w:hint="eastAsia" w:ascii="宋体" w:hAnsi="宋体" w:cs="仿宋_GB2312"/>
                      <w:szCs w:val="21"/>
                    </w:rPr>
                    <w:t>2.1投标人货物经过双方检验认可后，签署验收报告，产品保修期自验收合格之日起算，由投标人提供产品保修文件。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vMerge w:val="continue"/>
                  <w:vAlign w:val="center"/>
                </w:tcPr>
                <w:p>
                  <w:pPr>
                    <w:jc w:val="center"/>
                    <w:rPr>
                      <w:rFonts w:ascii="宋体" w:hAnsi="宋体" w:cs="仿宋_GB2312"/>
                      <w:szCs w:val="21"/>
                    </w:rPr>
                  </w:pPr>
                </w:p>
              </w:tc>
              <w:tc>
                <w:tcPr>
                  <w:tcW w:w="1535" w:type="dxa"/>
                  <w:vMerge w:val="continue"/>
                </w:tcPr>
                <w:p>
                  <w:pPr>
                    <w:rPr>
                      <w:rFonts w:ascii="宋体" w:hAnsi="宋体" w:cs="仿宋_GB2312"/>
                      <w:szCs w:val="21"/>
                    </w:rPr>
                  </w:pPr>
                </w:p>
              </w:tc>
              <w:tc>
                <w:tcPr>
                  <w:tcW w:w="5895" w:type="dxa"/>
                </w:tcPr>
                <w:p>
                  <w:pPr>
                    <w:spacing w:line="340" w:lineRule="exact"/>
                    <w:rPr>
                      <w:rFonts w:ascii="宋体" w:hAnsi="宋体" w:cs="仿宋_GB2312"/>
                      <w:szCs w:val="21"/>
                    </w:rPr>
                  </w:pPr>
                  <w:r>
                    <w:rPr>
                      <w:rFonts w:hint="eastAsia" w:ascii="宋体" w:hAnsi="宋体" w:cs="仿宋_GB2312"/>
                      <w:szCs w:val="21"/>
                    </w:rPr>
                    <w:t>2.2当满足以下条件时，采购人才向中标人签发货物验收报告：</w:t>
                  </w:r>
                </w:p>
                <w:p>
                  <w:pPr>
                    <w:tabs>
                      <w:tab w:val="left" w:pos="1260"/>
                    </w:tabs>
                    <w:spacing w:line="340" w:lineRule="exact"/>
                    <w:rPr>
                      <w:rFonts w:ascii="宋体" w:hAnsi="宋体" w:cs="仿宋_GB2312"/>
                      <w:szCs w:val="21"/>
                    </w:rPr>
                  </w:pPr>
                  <w:r>
                    <w:rPr>
                      <w:rFonts w:ascii="宋体" w:hAnsi="宋体" w:cs="仿宋_GB2312"/>
                      <w:szCs w:val="21"/>
                    </w:rPr>
                    <w:t>a</w:t>
                  </w:r>
                  <w:r>
                    <w:rPr>
                      <w:rFonts w:hint="eastAsia" w:ascii="宋体" w:hAnsi="宋体" w:cs="仿宋_GB2312"/>
                      <w:szCs w:val="21"/>
                    </w:rPr>
                    <w:t>、中标人已按照合同规定提供了全部产品及完整的技术资料。</w:t>
                  </w:r>
                </w:p>
                <w:p>
                  <w:pPr>
                    <w:tabs>
                      <w:tab w:val="left" w:pos="1260"/>
                    </w:tabs>
                    <w:spacing w:line="340" w:lineRule="exact"/>
                    <w:rPr>
                      <w:rFonts w:ascii="宋体" w:hAnsi="宋体" w:cs="仿宋_GB2312"/>
                      <w:szCs w:val="21"/>
                    </w:rPr>
                  </w:pPr>
                  <w:r>
                    <w:rPr>
                      <w:rFonts w:ascii="宋体" w:hAnsi="宋体" w:cs="仿宋_GB2312"/>
                      <w:szCs w:val="21"/>
                    </w:rPr>
                    <w:t>b</w:t>
                  </w:r>
                  <w:r>
                    <w:rPr>
                      <w:rFonts w:hint="eastAsia" w:ascii="宋体" w:hAnsi="宋体" w:cs="仿宋_GB2312"/>
                      <w:szCs w:val="21"/>
                    </w:rPr>
                    <w:t>、货物符合招标文件技术规格书的要求，性能满足要求。</w:t>
                  </w:r>
                </w:p>
                <w:p>
                  <w:pPr>
                    <w:tabs>
                      <w:tab w:val="left" w:pos="1260"/>
                    </w:tabs>
                    <w:spacing w:line="340" w:lineRule="exact"/>
                    <w:rPr>
                      <w:rFonts w:ascii="宋体" w:hAnsi="宋体" w:cs="仿宋_GB2312"/>
                      <w:szCs w:val="21"/>
                    </w:rPr>
                  </w:pPr>
                  <w:r>
                    <w:rPr>
                      <w:rFonts w:ascii="宋体" w:hAnsi="宋体" w:cs="仿宋_GB2312"/>
                      <w:szCs w:val="21"/>
                    </w:rPr>
                    <w:t>c</w:t>
                  </w:r>
                  <w:r>
                    <w:rPr>
                      <w:rFonts w:hint="eastAsia" w:ascii="宋体" w:hAnsi="宋体" w:cs="仿宋_GB2312"/>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94" w:type="dxa"/>
                  <w:vAlign w:val="center"/>
                </w:tcPr>
                <w:p>
                  <w:pPr>
                    <w:jc w:val="center"/>
                    <w:rPr>
                      <w:rFonts w:ascii="宋体" w:hAnsi="宋体" w:cs="仿宋_GB2312"/>
                      <w:szCs w:val="21"/>
                    </w:rPr>
                  </w:pPr>
                  <w:r>
                    <w:rPr>
                      <w:rFonts w:ascii="宋体" w:hAnsi="宋体" w:cs="仿宋_GB2312"/>
                      <w:szCs w:val="21"/>
                    </w:rPr>
                    <w:t>3</w:t>
                  </w:r>
                </w:p>
              </w:tc>
              <w:tc>
                <w:tcPr>
                  <w:tcW w:w="1535" w:type="dxa"/>
                  <w:vAlign w:val="center"/>
                </w:tcPr>
                <w:p>
                  <w:pPr>
                    <w:rPr>
                      <w:rFonts w:ascii="宋体" w:hAnsi="宋体" w:cs="仿宋_GB2312"/>
                      <w:szCs w:val="21"/>
                    </w:rPr>
                  </w:pPr>
                  <w:r>
                    <w:rPr>
                      <w:rFonts w:hint="eastAsia" w:ascii="宋体" w:hAnsi="宋体" w:cs="仿宋_GB2312"/>
                      <w:szCs w:val="21"/>
                    </w:rPr>
                    <w:t>关于付款</w:t>
                  </w:r>
                </w:p>
              </w:tc>
              <w:tc>
                <w:tcPr>
                  <w:tcW w:w="5895" w:type="dxa"/>
                </w:tcPr>
                <w:p>
                  <w:pPr>
                    <w:rPr>
                      <w:rFonts w:ascii="宋体" w:hAnsi="宋体" w:cs="仿宋_GB2312"/>
                      <w:szCs w:val="21"/>
                    </w:rPr>
                  </w:pPr>
                  <w:r>
                    <w:rPr>
                      <w:rFonts w:hint="eastAsia" w:ascii="宋体" w:hAnsi="宋体" w:cs="仿宋_GB2312"/>
                      <w:szCs w:val="21"/>
                    </w:rPr>
                    <w:t>a、合同签订后，10个工作日内，支付项目50%预付款；</w:t>
                  </w:r>
                </w:p>
                <w:p>
                  <w:pPr>
                    <w:rPr>
                      <w:rFonts w:ascii="宋体" w:hAnsi="宋体" w:cs="仿宋_GB2312"/>
                      <w:szCs w:val="21"/>
                    </w:rPr>
                  </w:pPr>
                  <w:r>
                    <w:rPr>
                      <w:rFonts w:hint="eastAsia" w:ascii="宋体" w:hAnsi="宋体" w:cs="仿宋_GB2312"/>
                      <w:szCs w:val="21"/>
                    </w:rPr>
                    <w:t>b、本项目所有设备完成调试并通过建设单位组织初验后，1</w:t>
                  </w:r>
                  <w:r>
                    <w:rPr>
                      <w:rFonts w:ascii="宋体" w:hAnsi="宋体" w:cs="仿宋_GB2312"/>
                      <w:szCs w:val="21"/>
                    </w:rPr>
                    <w:t>0</w:t>
                  </w:r>
                  <w:r>
                    <w:rPr>
                      <w:rFonts w:hint="eastAsia" w:ascii="宋体" w:hAnsi="宋体" w:cs="仿宋_GB2312"/>
                      <w:szCs w:val="21"/>
                    </w:rPr>
                    <w:t>个工作日内支付5</w:t>
                  </w:r>
                  <w:r>
                    <w:rPr>
                      <w:rFonts w:ascii="宋体" w:hAnsi="宋体" w:cs="仿宋_GB2312"/>
                      <w:szCs w:val="21"/>
                    </w:rPr>
                    <w:t>0</w:t>
                  </w:r>
                  <w:r>
                    <w:rPr>
                      <w:rFonts w:hint="eastAsia" w:ascii="宋体" w:hAnsi="宋体" w:cs="仿宋_GB2312"/>
                      <w:szCs w:val="21"/>
                    </w:rPr>
                    <w:t>%项目合同款；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94" w:type="dxa"/>
                  <w:vAlign w:val="center"/>
                </w:tcPr>
                <w:p>
                  <w:pPr>
                    <w:jc w:val="center"/>
                    <w:rPr>
                      <w:rFonts w:ascii="宋体" w:hAnsi="宋体" w:cs="仿宋_GB2312"/>
                      <w:szCs w:val="21"/>
                    </w:rPr>
                  </w:pPr>
                  <w:r>
                    <w:rPr>
                      <w:rFonts w:ascii="宋体" w:hAnsi="宋体" w:cs="仿宋_GB2312"/>
                      <w:szCs w:val="21"/>
                    </w:rPr>
                    <w:t>4</w:t>
                  </w:r>
                </w:p>
              </w:tc>
              <w:tc>
                <w:tcPr>
                  <w:tcW w:w="1535" w:type="dxa"/>
                  <w:vAlign w:val="center"/>
                </w:tcPr>
                <w:p>
                  <w:pPr>
                    <w:rPr>
                      <w:rFonts w:ascii="宋体" w:hAnsi="宋体" w:cs="仿宋_GB2312"/>
                      <w:szCs w:val="21"/>
                    </w:rPr>
                  </w:pPr>
                  <w:r>
                    <w:rPr>
                      <w:rFonts w:hint="eastAsia" w:ascii="宋体" w:hAnsi="宋体" w:cs="仿宋_GB2312"/>
                      <w:szCs w:val="21"/>
                    </w:rPr>
                    <w:t>关于技术部分的各种证明材料</w:t>
                  </w:r>
                </w:p>
              </w:tc>
              <w:tc>
                <w:tcPr>
                  <w:tcW w:w="5895" w:type="dxa"/>
                </w:tcPr>
                <w:p>
                  <w:pPr>
                    <w:rPr>
                      <w:rFonts w:ascii="宋体" w:hAnsi="宋体" w:cs="仿宋_GB2312"/>
                      <w:szCs w:val="21"/>
                    </w:rPr>
                  </w:pPr>
                  <w:r>
                    <w:rPr>
                      <w:rFonts w:hint="eastAsia" w:ascii="宋体" w:hAnsi="宋体" w:cs="仿宋_GB2312"/>
                      <w:szCs w:val="21"/>
                    </w:rPr>
                    <w:t>技术偏离表中所涉及的各种证明材料（包含截图），投标人投标时必须提供，且中标人在发中标公告后的五个工作日内，提供原件给采购人审核。中标人应当如实填写“偏离情况”，如果中标人在需要提供各种证明材料的技术偏离情况填写了“无偏离”或者“正偏离”，而提供给采购人审核的各种证明材料原件有缺漏或不符合招标技术要求或各种证明材料涉嫌造假的或者拒绝提供各种证明材料的，由采购人报采购主管部门进行处罚。</w:t>
                  </w:r>
                </w:p>
              </w:tc>
            </w:tr>
          </w:tbl>
          <w:p>
            <w:pPr>
              <w:widowControl/>
              <w:jc w:val="left"/>
              <w:rPr>
                <w:rFonts w:cs="宋体" w:asciiTheme="minorEastAsia" w:hAnsiTheme="minorEastAsia" w:eastAsiaTheme="minorEastAsia"/>
                <w:kern w:val="0"/>
                <w:sz w:val="24"/>
                <w:szCs w:val="24"/>
              </w:rPr>
            </w:pPr>
          </w:p>
        </w:tc>
      </w:tr>
    </w:tbl>
    <w:p>
      <w:pPr>
        <w:rPr>
          <w:rFonts w:asciiTheme="minorEastAsia" w:hAnsiTheme="minorEastAsia" w:eastAsiaTheme="minorEastAsia"/>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r>
        <w:rPr>
          <w:rFonts w:hint="eastAsia" w:asciiTheme="minorEastAsia" w:hAnsiTheme="minorEastAsia" w:eastAsiaTheme="minorEastAsia"/>
          <w:szCs w:val="24"/>
        </w:rPr>
        <w:t>具体技术要求表</w:t>
      </w:r>
    </w:p>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footerReference r:id="rId6" w:type="default"/>
      <w:headerReference r:id="rId5" w:type="even"/>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393685"/>
    </w:sdtPr>
    <w:sdtContent>
      <w:p>
        <w:pPr>
          <w:pStyle w:val="9"/>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E047C"/>
    <w:multiLevelType w:val="multilevel"/>
    <w:tmpl w:val="095E047C"/>
    <w:lvl w:ilvl="0" w:tentative="0">
      <w:start w:val="1"/>
      <w:numFmt w:val="bullet"/>
      <w:lvlText w:val="•"/>
      <w:lvlJc w:val="left"/>
      <w:pPr>
        <w:tabs>
          <w:tab w:val="left" w:pos="720"/>
        </w:tabs>
        <w:ind w:left="720" w:hanging="360"/>
      </w:pPr>
      <w:rPr>
        <w:rFonts w:hint="default" w:ascii="Arial" w:hAnsi="Arial" w:cs="Times New Roman"/>
      </w:rPr>
    </w:lvl>
    <w:lvl w:ilvl="1" w:tentative="0">
      <w:start w:val="1"/>
      <w:numFmt w:val="bullet"/>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2920"/>
    <w:rsid w:val="00013E83"/>
    <w:rsid w:val="0001588F"/>
    <w:rsid w:val="00015B11"/>
    <w:rsid w:val="00016F3C"/>
    <w:rsid w:val="00017FC0"/>
    <w:rsid w:val="0002167C"/>
    <w:rsid w:val="0002300C"/>
    <w:rsid w:val="00024078"/>
    <w:rsid w:val="000250FB"/>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637F4"/>
    <w:rsid w:val="000675D6"/>
    <w:rsid w:val="00075954"/>
    <w:rsid w:val="00080BD5"/>
    <w:rsid w:val="00083404"/>
    <w:rsid w:val="000836AF"/>
    <w:rsid w:val="00083A47"/>
    <w:rsid w:val="00084721"/>
    <w:rsid w:val="0008570C"/>
    <w:rsid w:val="0008669D"/>
    <w:rsid w:val="00092B42"/>
    <w:rsid w:val="0009552F"/>
    <w:rsid w:val="000A304E"/>
    <w:rsid w:val="000B54EB"/>
    <w:rsid w:val="000B6811"/>
    <w:rsid w:val="000C41E5"/>
    <w:rsid w:val="000C7451"/>
    <w:rsid w:val="000C769E"/>
    <w:rsid w:val="000C78FD"/>
    <w:rsid w:val="000D11AB"/>
    <w:rsid w:val="000D1423"/>
    <w:rsid w:val="000E430F"/>
    <w:rsid w:val="000F0EFE"/>
    <w:rsid w:val="000F32CF"/>
    <w:rsid w:val="000F53CA"/>
    <w:rsid w:val="001005F4"/>
    <w:rsid w:val="00102A73"/>
    <w:rsid w:val="00105E39"/>
    <w:rsid w:val="00107EFF"/>
    <w:rsid w:val="001126B0"/>
    <w:rsid w:val="00114BE0"/>
    <w:rsid w:val="00115603"/>
    <w:rsid w:val="00116BF0"/>
    <w:rsid w:val="0011722B"/>
    <w:rsid w:val="00120D99"/>
    <w:rsid w:val="00122F80"/>
    <w:rsid w:val="001238A0"/>
    <w:rsid w:val="0012533E"/>
    <w:rsid w:val="00126C49"/>
    <w:rsid w:val="00133B20"/>
    <w:rsid w:val="00134856"/>
    <w:rsid w:val="00135B1F"/>
    <w:rsid w:val="0013707B"/>
    <w:rsid w:val="001373A7"/>
    <w:rsid w:val="001375BE"/>
    <w:rsid w:val="00137EC9"/>
    <w:rsid w:val="001411D4"/>
    <w:rsid w:val="00152900"/>
    <w:rsid w:val="00153DA7"/>
    <w:rsid w:val="0015400F"/>
    <w:rsid w:val="00167261"/>
    <w:rsid w:val="00167A10"/>
    <w:rsid w:val="001725FE"/>
    <w:rsid w:val="00175934"/>
    <w:rsid w:val="00182C85"/>
    <w:rsid w:val="00182CCD"/>
    <w:rsid w:val="001853C9"/>
    <w:rsid w:val="00192BDE"/>
    <w:rsid w:val="001932B1"/>
    <w:rsid w:val="0019659C"/>
    <w:rsid w:val="001A4B76"/>
    <w:rsid w:val="001A63D1"/>
    <w:rsid w:val="001B25EE"/>
    <w:rsid w:val="001B66EC"/>
    <w:rsid w:val="001B6D87"/>
    <w:rsid w:val="001C1FA2"/>
    <w:rsid w:val="001C29F5"/>
    <w:rsid w:val="001C3849"/>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A69"/>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47562"/>
    <w:rsid w:val="00252536"/>
    <w:rsid w:val="00252ACD"/>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38"/>
    <w:rsid w:val="0029076B"/>
    <w:rsid w:val="002924B9"/>
    <w:rsid w:val="00293AAF"/>
    <w:rsid w:val="00295412"/>
    <w:rsid w:val="0029599A"/>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5AA4"/>
    <w:rsid w:val="00307C46"/>
    <w:rsid w:val="0031281C"/>
    <w:rsid w:val="00313D45"/>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5D3"/>
    <w:rsid w:val="00441CAD"/>
    <w:rsid w:val="0044353F"/>
    <w:rsid w:val="00447C5B"/>
    <w:rsid w:val="004549A4"/>
    <w:rsid w:val="00457FAD"/>
    <w:rsid w:val="00466317"/>
    <w:rsid w:val="00466CFB"/>
    <w:rsid w:val="0048019C"/>
    <w:rsid w:val="00484432"/>
    <w:rsid w:val="004855CF"/>
    <w:rsid w:val="00486FAA"/>
    <w:rsid w:val="00492DD5"/>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D2E7A"/>
    <w:rsid w:val="004E107C"/>
    <w:rsid w:val="004E36C4"/>
    <w:rsid w:val="004F0D8F"/>
    <w:rsid w:val="004F22BE"/>
    <w:rsid w:val="004F684D"/>
    <w:rsid w:val="004F6925"/>
    <w:rsid w:val="004F7894"/>
    <w:rsid w:val="004F789E"/>
    <w:rsid w:val="00500C1E"/>
    <w:rsid w:val="00501EE3"/>
    <w:rsid w:val="00502511"/>
    <w:rsid w:val="00503C29"/>
    <w:rsid w:val="0050688E"/>
    <w:rsid w:val="005070D0"/>
    <w:rsid w:val="00507304"/>
    <w:rsid w:val="005118B8"/>
    <w:rsid w:val="005134E4"/>
    <w:rsid w:val="00515C2C"/>
    <w:rsid w:val="00516561"/>
    <w:rsid w:val="0051787C"/>
    <w:rsid w:val="00522D73"/>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3B5B"/>
    <w:rsid w:val="005B4CC8"/>
    <w:rsid w:val="005B5700"/>
    <w:rsid w:val="005B65C1"/>
    <w:rsid w:val="005B66E3"/>
    <w:rsid w:val="005C214B"/>
    <w:rsid w:val="005C6100"/>
    <w:rsid w:val="005C6E7D"/>
    <w:rsid w:val="005D1E07"/>
    <w:rsid w:val="005E011D"/>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0CA8"/>
    <w:rsid w:val="00641AE3"/>
    <w:rsid w:val="006424B5"/>
    <w:rsid w:val="00642EAB"/>
    <w:rsid w:val="006438DB"/>
    <w:rsid w:val="0064419F"/>
    <w:rsid w:val="006515A2"/>
    <w:rsid w:val="006530A7"/>
    <w:rsid w:val="00653CEF"/>
    <w:rsid w:val="0065578A"/>
    <w:rsid w:val="00655B2A"/>
    <w:rsid w:val="00655D1C"/>
    <w:rsid w:val="006562B7"/>
    <w:rsid w:val="00662189"/>
    <w:rsid w:val="00671FBA"/>
    <w:rsid w:val="00672AF2"/>
    <w:rsid w:val="00675F48"/>
    <w:rsid w:val="00677A8B"/>
    <w:rsid w:val="00682574"/>
    <w:rsid w:val="00686086"/>
    <w:rsid w:val="00687FF9"/>
    <w:rsid w:val="00695DF7"/>
    <w:rsid w:val="006960B9"/>
    <w:rsid w:val="006A1B6C"/>
    <w:rsid w:val="006A3657"/>
    <w:rsid w:val="006A7125"/>
    <w:rsid w:val="006B4543"/>
    <w:rsid w:val="006B6A74"/>
    <w:rsid w:val="006B7B3C"/>
    <w:rsid w:val="006C05B0"/>
    <w:rsid w:val="006C0CA8"/>
    <w:rsid w:val="006C0D92"/>
    <w:rsid w:val="006C2406"/>
    <w:rsid w:val="006C3254"/>
    <w:rsid w:val="006C79A7"/>
    <w:rsid w:val="006D0746"/>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3EC5"/>
    <w:rsid w:val="007750CA"/>
    <w:rsid w:val="007767C5"/>
    <w:rsid w:val="00776DFE"/>
    <w:rsid w:val="007778C6"/>
    <w:rsid w:val="00782591"/>
    <w:rsid w:val="00785B84"/>
    <w:rsid w:val="007872EC"/>
    <w:rsid w:val="00787579"/>
    <w:rsid w:val="007919DC"/>
    <w:rsid w:val="00791FC5"/>
    <w:rsid w:val="00795E24"/>
    <w:rsid w:val="00796C50"/>
    <w:rsid w:val="007A15F3"/>
    <w:rsid w:val="007A1EF5"/>
    <w:rsid w:val="007A41D5"/>
    <w:rsid w:val="007A44D1"/>
    <w:rsid w:val="007B6F7D"/>
    <w:rsid w:val="007C174D"/>
    <w:rsid w:val="007C2FF9"/>
    <w:rsid w:val="007D0183"/>
    <w:rsid w:val="007D5754"/>
    <w:rsid w:val="007D5A8F"/>
    <w:rsid w:val="007D5EE3"/>
    <w:rsid w:val="007D7AC9"/>
    <w:rsid w:val="007E06DD"/>
    <w:rsid w:val="007E30EE"/>
    <w:rsid w:val="007E3DF1"/>
    <w:rsid w:val="007E4160"/>
    <w:rsid w:val="007F0AE6"/>
    <w:rsid w:val="007F5015"/>
    <w:rsid w:val="007F5D1E"/>
    <w:rsid w:val="00801A4D"/>
    <w:rsid w:val="0080236A"/>
    <w:rsid w:val="00802C7E"/>
    <w:rsid w:val="008048CE"/>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66E82"/>
    <w:rsid w:val="00870109"/>
    <w:rsid w:val="008713D8"/>
    <w:rsid w:val="00871657"/>
    <w:rsid w:val="00874B92"/>
    <w:rsid w:val="0088373B"/>
    <w:rsid w:val="008838AE"/>
    <w:rsid w:val="00884C4D"/>
    <w:rsid w:val="00886A26"/>
    <w:rsid w:val="0089230F"/>
    <w:rsid w:val="008A064F"/>
    <w:rsid w:val="008A38AD"/>
    <w:rsid w:val="008A3DF3"/>
    <w:rsid w:val="008B1693"/>
    <w:rsid w:val="008B29CC"/>
    <w:rsid w:val="008B355A"/>
    <w:rsid w:val="008B3904"/>
    <w:rsid w:val="008B6211"/>
    <w:rsid w:val="008B6DE1"/>
    <w:rsid w:val="008C545E"/>
    <w:rsid w:val="008C71C2"/>
    <w:rsid w:val="008C7511"/>
    <w:rsid w:val="008C76B7"/>
    <w:rsid w:val="008D282A"/>
    <w:rsid w:val="008D355F"/>
    <w:rsid w:val="008D5095"/>
    <w:rsid w:val="008D6C13"/>
    <w:rsid w:val="008E4204"/>
    <w:rsid w:val="008F107D"/>
    <w:rsid w:val="008F2097"/>
    <w:rsid w:val="008F2267"/>
    <w:rsid w:val="008F42FA"/>
    <w:rsid w:val="008F59E2"/>
    <w:rsid w:val="008F78D4"/>
    <w:rsid w:val="00900F05"/>
    <w:rsid w:val="00901A10"/>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0A3E"/>
    <w:rsid w:val="0099143A"/>
    <w:rsid w:val="00996324"/>
    <w:rsid w:val="00996DED"/>
    <w:rsid w:val="009A08ED"/>
    <w:rsid w:val="009A1551"/>
    <w:rsid w:val="009A5E46"/>
    <w:rsid w:val="009B379D"/>
    <w:rsid w:val="009B5FC5"/>
    <w:rsid w:val="009B783F"/>
    <w:rsid w:val="009C2E28"/>
    <w:rsid w:val="009C6116"/>
    <w:rsid w:val="009C6AE6"/>
    <w:rsid w:val="009E2E81"/>
    <w:rsid w:val="009E3AE1"/>
    <w:rsid w:val="009E6836"/>
    <w:rsid w:val="009F4F10"/>
    <w:rsid w:val="009F6B53"/>
    <w:rsid w:val="00A01394"/>
    <w:rsid w:val="00A04571"/>
    <w:rsid w:val="00A07104"/>
    <w:rsid w:val="00A104EC"/>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69E2"/>
    <w:rsid w:val="00A6719E"/>
    <w:rsid w:val="00A70087"/>
    <w:rsid w:val="00A72217"/>
    <w:rsid w:val="00A72E27"/>
    <w:rsid w:val="00A72ECE"/>
    <w:rsid w:val="00A770F1"/>
    <w:rsid w:val="00A85E21"/>
    <w:rsid w:val="00A85FFF"/>
    <w:rsid w:val="00A86EF8"/>
    <w:rsid w:val="00A92096"/>
    <w:rsid w:val="00A97B22"/>
    <w:rsid w:val="00AA1DF5"/>
    <w:rsid w:val="00AA20E6"/>
    <w:rsid w:val="00AA4BFA"/>
    <w:rsid w:val="00AA4D96"/>
    <w:rsid w:val="00AA723C"/>
    <w:rsid w:val="00AB07C3"/>
    <w:rsid w:val="00AB486C"/>
    <w:rsid w:val="00AB4A8E"/>
    <w:rsid w:val="00AC16ED"/>
    <w:rsid w:val="00AC733F"/>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21D2"/>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391C"/>
    <w:rsid w:val="00C94786"/>
    <w:rsid w:val="00C95D3C"/>
    <w:rsid w:val="00C9679F"/>
    <w:rsid w:val="00CA01B5"/>
    <w:rsid w:val="00CA0A2F"/>
    <w:rsid w:val="00CA3F1D"/>
    <w:rsid w:val="00CA465F"/>
    <w:rsid w:val="00CA60E9"/>
    <w:rsid w:val="00CA6993"/>
    <w:rsid w:val="00CB038C"/>
    <w:rsid w:val="00CB0DD5"/>
    <w:rsid w:val="00CB152D"/>
    <w:rsid w:val="00CB5DBE"/>
    <w:rsid w:val="00CC185C"/>
    <w:rsid w:val="00CC5D70"/>
    <w:rsid w:val="00CC73E3"/>
    <w:rsid w:val="00CC7776"/>
    <w:rsid w:val="00CD1DF4"/>
    <w:rsid w:val="00CD1F69"/>
    <w:rsid w:val="00CE1837"/>
    <w:rsid w:val="00CE2032"/>
    <w:rsid w:val="00CE22BE"/>
    <w:rsid w:val="00CE3591"/>
    <w:rsid w:val="00CF213E"/>
    <w:rsid w:val="00CF39A8"/>
    <w:rsid w:val="00CF5A32"/>
    <w:rsid w:val="00D006D0"/>
    <w:rsid w:val="00D01C85"/>
    <w:rsid w:val="00D028A1"/>
    <w:rsid w:val="00D037C0"/>
    <w:rsid w:val="00D04076"/>
    <w:rsid w:val="00D104B8"/>
    <w:rsid w:val="00D156B2"/>
    <w:rsid w:val="00D15807"/>
    <w:rsid w:val="00D235E7"/>
    <w:rsid w:val="00D30AB0"/>
    <w:rsid w:val="00D31BCC"/>
    <w:rsid w:val="00D32A5B"/>
    <w:rsid w:val="00D3424F"/>
    <w:rsid w:val="00D377E3"/>
    <w:rsid w:val="00D37A1A"/>
    <w:rsid w:val="00D42F0C"/>
    <w:rsid w:val="00D4474C"/>
    <w:rsid w:val="00D51B4D"/>
    <w:rsid w:val="00D539F6"/>
    <w:rsid w:val="00D55930"/>
    <w:rsid w:val="00D5664F"/>
    <w:rsid w:val="00D60034"/>
    <w:rsid w:val="00D6043A"/>
    <w:rsid w:val="00D632A9"/>
    <w:rsid w:val="00D64C88"/>
    <w:rsid w:val="00D65188"/>
    <w:rsid w:val="00D72221"/>
    <w:rsid w:val="00D732D7"/>
    <w:rsid w:val="00D761F7"/>
    <w:rsid w:val="00D76D0F"/>
    <w:rsid w:val="00D77303"/>
    <w:rsid w:val="00D85128"/>
    <w:rsid w:val="00D936E6"/>
    <w:rsid w:val="00DA106F"/>
    <w:rsid w:val="00DA21C9"/>
    <w:rsid w:val="00DA3E32"/>
    <w:rsid w:val="00DA7B9D"/>
    <w:rsid w:val="00DB08D3"/>
    <w:rsid w:val="00DB1909"/>
    <w:rsid w:val="00DB24BD"/>
    <w:rsid w:val="00DB6427"/>
    <w:rsid w:val="00DB6DCB"/>
    <w:rsid w:val="00DC72FD"/>
    <w:rsid w:val="00DD051D"/>
    <w:rsid w:val="00DD2E21"/>
    <w:rsid w:val="00DD40E4"/>
    <w:rsid w:val="00DE13A8"/>
    <w:rsid w:val="00DE1495"/>
    <w:rsid w:val="00DE2D4F"/>
    <w:rsid w:val="00DE405F"/>
    <w:rsid w:val="00DE7B5C"/>
    <w:rsid w:val="00DF0EE7"/>
    <w:rsid w:val="00DF1E46"/>
    <w:rsid w:val="00DF2335"/>
    <w:rsid w:val="00DF3892"/>
    <w:rsid w:val="00DF5BDE"/>
    <w:rsid w:val="00E01AFE"/>
    <w:rsid w:val="00E06C0D"/>
    <w:rsid w:val="00E06DF0"/>
    <w:rsid w:val="00E112C8"/>
    <w:rsid w:val="00E114D6"/>
    <w:rsid w:val="00E17C31"/>
    <w:rsid w:val="00E22AC6"/>
    <w:rsid w:val="00E235F6"/>
    <w:rsid w:val="00E23D93"/>
    <w:rsid w:val="00E2433F"/>
    <w:rsid w:val="00E3132A"/>
    <w:rsid w:val="00E31EF8"/>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3FEB"/>
    <w:rsid w:val="00EA52E8"/>
    <w:rsid w:val="00EB0BB3"/>
    <w:rsid w:val="00EB2E42"/>
    <w:rsid w:val="00EC0299"/>
    <w:rsid w:val="00EC29F8"/>
    <w:rsid w:val="00EC5597"/>
    <w:rsid w:val="00EC6CA4"/>
    <w:rsid w:val="00EC724C"/>
    <w:rsid w:val="00ED0B16"/>
    <w:rsid w:val="00ED148E"/>
    <w:rsid w:val="00ED192E"/>
    <w:rsid w:val="00ED7AEF"/>
    <w:rsid w:val="00EE0B95"/>
    <w:rsid w:val="00EE4F92"/>
    <w:rsid w:val="00EE7D26"/>
    <w:rsid w:val="00EF57CE"/>
    <w:rsid w:val="00EF5CD3"/>
    <w:rsid w:val="00F004C8"/>
    <w:rsid w:val="00F01D04"/>
    <w:rsid w:val="00F03836"/>
    <w:rsid w:val="00F04B65"/>
    <w:rsid w:val="00F06F8B"/>
    <w:rsid w:val="00F15E9D"/>
    <w:rsid w:val="00F21102"/>
    <w:rsid w:val="00F21ACC"/>
    <w:rsid w:val="00F24916"/>
    <w:rsid w:val="00F25A40"/>
    <w:rsid w:val="00F31037"/>
    <w:rsid w:val="00F31748"/>
    <w:rsid w:val="00F31D9C"/>
    <w:rsid w:val="00F338E0"/>
    <w:rsid w:val="00F36924"/>
    <w:rsid w:val="00F40479"/>
    <w:rsid w:val="00F43FC7"/>
    <w:rsid w:val="00F50DD9"/>
    <w:rsid w:val="00F52338"/>
    <w:rsid w:val="00F5277C"/>
    <w:rsid w:val="00F5660A"/>
    <w:rsid w:val="00F612F0"/>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2B2D"/>
    <w:rsid w:val="00F94C32"/>
    <w:rsid w:val="00FA544A"/>
    <w:rsid w:val="00FA5508"/>
    <w:rsid w:val="00FA5876"/>
    <w:rsid w:val="00FB526A"/>
    <w:rsid w:val="00FB56FB"/>
    <w:rsid w:val="00FC22EC"/>
    <w:rsid w:val="00FC2535"/>
    <w:rsid w:val="00FC4AAF"/>
    <w:rsid w:val="00FC5890"/>
    <w:rsid w:val="00FD2B69"/>
    <w:rsid w:val="00FD3175"/>
    <w:rsid w:val="00FD427F"/>
    <w:rsid w:val="00FD42EE"/>
    <w:rsid w:val="00FD43C4"/>
    <w:rsid w:val="00FD4425"/>
    <w:rsid w:val="00FE2F5E"/>
    <w:rsid w:val="00FE3408"/>
    <w:rsid w:val="00FE7B0B"/>
    <w:rsid w:val="00FF2B1D"/>
    <w:rsid w:val="00FF4B6B"/>
    <w:rsid w:val="00FF4CC2"/>
    <w:rsid w:val="00FF5151"/>
    <w:rsid w:val="00FF6D10"/>
    <w:rsid w:val="00FF72EA"/>
    <w:rsid w:val="00FF72EB"/>
    <w:rsid w:val="00FF79DB"/>
    <w:rsid w:val="00FF7F5E"/>
    <w:rsid w:val="010178DB"/>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9285CF7"/>
    <w:rsid w:val="09687692"/>
    <w:rsid w:val="0A031FF0"/>
    <w:rsid w:val="0AA13162"/>
    <w:rsid w:val="0AB6258A"/>
    <w:rsid w:val="0B452B9B"/>
    <w:rsid w:val="0B5770DF"/>
    <w:rsid w:val="0C372CCD"/>
    <w:rsid w:val="0C5603A3"/>
    <w:rsid w:val="0C5C2346"/>
    <w:rsid w:val="0C5E5BB8"/>
    <w:rsid w:val="0C94782E"/>
    <w:rsid w:val="0E215C17"/>
    <w:rsid w:val="0E9603EA"/>
    <w:rsid w:val="0FDB5BF8"/>
    <w:rsid w:val="0FF0756D"/>
    <w:rsid w:val="10BB60F9"/>
    <w:rsid w:val="10CB03AE"/>
    <w:rsid w:val="110A33B6"/>
    <w:rsid w:val="11EC5E17"/>
    <w:rsid w:val="121432F4"/>
    <w:rsid w:val="12DD2EED"/>
    <w:rsid w:val="13545A8B"/>
    <w:rsid w:val="13840F17"/>
    <w:rsid w:val="13992498"/>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B733CDF"/>
    <w:rsid w:val="1BC70618"/>
    <w:rsid w:val="1BDC6183"/>
    <w:rsid w:val="1C0C72BC"/>
    <w:rsid w:val="1C213878"/>
    <w:rsid w:val="1C6311B2"/>
    <w:rsid w:val="1CBE541D"/>
    <w:rsid w:val="1CDB04F6"/>
    <w:rsid w:val="1D1D0E35"/>
    <w:rsid w:val="1D250BA1"/>
    <w:rsid w:val="1DD93DB9"/>
    <w:rsid w:val="1E7F1AFF"/>
    <w:rsid w:val="1EFF09E6"/>
    <w:rsid w:val="1F8C23DA"/>
    <w:rsid w:val="1FA13095"/>
    <w:rsid w:val="1FE040BC"/>
    <w:rsid w:val="20152CE5"/>
    <w:rsid w:val="204801C9"/>
    <w:rsid w:val="21916F90"/>
    <w:rsid w:val="22314524"/>
    <w:rsid w:val="228C71CA"/>
    <w:rsid w:val="22DE11E6"/>
    <w:rsid w:val="249C6AFD"/>
    <w:rsid w:val="24C64B9D"/>
    <w:rsid w:val="25D450BA"/>
    <w:rsid w:val="26E116DC"/>
    <w:rsid w:val="2764537F"/>
    <w:rsid w:val="277B4CFD"/>
    <w:rsid w:val="28752B19"/>
    <w:rsid w:val="2876124D"/>
    <w:rsid w:val="28AA01F1"/>
    <w:rsid w:val="2A377783"/>
    <w:rsid w:val="2A6266E9"/>
    <w:rsid w:val="2A6C54A9"/>
    <w:rsid w:val="2BB45953"/>
    <w:rsid w:val="2D1347F5"/>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5330E7"/>
    <w:rsid w:val="3BD85452"/>
    <w:rsid w:val="3BF6596E"/>
    <w:rsid w:val="3C125C3B"/>
    <w:rsid w:val="3CC86BE5"/>
    <w:rsid w:val="3CED6006"/>
    <w:rsid w:val="3D132062"/>
    <w:rsid w:val="3D83213E"/>
    <w:rsid w:val="3DDB4F84"/>
    <w:rsid w:val="3DFD4104"/>
    <w:rsid w:val="3F033133"/>
    <w:rsid w:val="3F6D6B69"/>
    <w:rsid w:val="3FD3744D"/>
    <w:rsid w:val="3FEF7ADA"/>
    <w:rsid w:val="40A83A07"/>
    <w:rsid w:val="416F41D1"/>
    <w:rsid w:val="41BA0644"/>
    <w:rsid w:val="41F05DAA"/>
    <w:rsid w:val="428A76BF"/>
    <w:rsid w:val="4388454E"/>
    <w:rsid w:val="438A277C"/>
    <w:rsid w:val="45911982"/>
    <w:rsid w:val="45C85E8B"/>
    <w:rsid w:val="46FD5BE1"/>
    <w:rsid w:val="478E1DDE"/>
    <w:rsid w:val="47E56E6A"/>
    <w:rsid w:val="481923FF"/>
    <w:rsid w:val="48E21409"/>
    <w:rsid w:val="490579E7"/>
    <w:rsid w:val="493A417A"/>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28622E"/>
    <w:rsid w:val="514725A2"/>
    <w:rsid w:val="51541FB9"/>
    <w:rsid w:val="51653541"/>
    <w:rsid w:val="51BA3918"/>
    <w:rsid w:val="52FB6FDA"/>
    <w:rsid w:val="533150FC"/>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512E4A"/>
    <w:rsid w:val="5B6B290C"/>
    <w:rsid w:val="5BE55FB8"/>
    <w:rsid w:val="5BFD4EC8"/>
    <w:rsid w:val="5C55335F"/>
    <w:rsid w:val="5C914C90"/>
    <w:rsid w:val="5CDD77D2"/>
    <w:rsid w:val="5D514298"/>
    <w:rsid w:val="5E114E4D"/>
    <w:rsid w:val="5E954ECC"/>
    <w:rsid w:val="5F2430A4"/>
    <w:rsid w:val="5F323616"/>
    <w:rsid w:val="5F762EF1"/>
    <w:rsid w:val="5FA72226"/>
    <w:rsid w:val="5FC6029B"/>
    <w:rsid w:val="5FF81F45"/>
    <w:rsid w:val="60003EDC"/>
    <w:rsid w:val="60405D44"/>
    <w:rsid w:val="604959AE"/>
    <w:rsid w:val="60E216EA"/>
    <w:rsid w:val="613269C6"/>
    <w:rsid w:val="61371FA3"/>
    <w:rsid w:val="61C15C3A"/>
    <w:rsid w:val="62001EE2"/>
    <w:rsid w:val="620C6CE6"/>
    <w:rsid w:val="62867A17"/>
    <w:rsid w:val="632640B2"/>
    <w:rsid w:val="64477A04"/>
    <w:rsid w:val="64714C1E"/>
    <w:rsid w:val="64893CF5"/>
    <w:rsid w:val="65BB756F"/>
    <w:rsid w:val="66027D44"/>
    <w:rsid w:val="66420C8D"/>
    <w:rsid w:val="67434ACE"/>
    <w:rsid w:val="675160F0"/>
    <w:rsid w:val="67873AE3"/>
    <w:rsid w:val="679E29E3"/>
    <w:rsid w:val="67C46DBD"/>
    <w:rsid w:val="68043A23"/>
    <w:rsid w:val="68087A20"/>
    <w:rsid w:val="68124293"/>
    <w:rsid w:val="68A37534"/>
    <w:rsid w:val="69006315"/>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8E17928"/>
    <w:rsid w:val="79A732D1"/>
    <w:rsid w:val="79BA4A36"/>
    <w:rsid w:val="7AD6416D"/>
    <w:rsid w:val="7BCD7517"/>
    <w:rsid w:val="7C0039D3"/>
    <w:rsid w:val="7C6C6D2C"/>
    <w:rsid w:val="7C7163B3"/>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spacing w:before="240" w:after="240"/>
      <w:outlineLvl w:val="2"/>
    </w:pPr>
    <w:rPr>
      <w:b/>
      <w:sz w:val="24"/>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spacing w:line="360" w:lineRule="auto"/>
      <w:ind w:left="720" w:hanging="720" w:hangingChars="300"/>
    </w:pPr>
    <w:rPr>
      <w:sz w:val="24"/>
    </w:rPr>
  </w:style>
  <w:style w:type="paragraph" w:styleId="6">
    <w:name w:val="Plain Text"/>
    <w:basedOn w:val="1"/>
    <w:link w:val="18"/>
    <w:autoRedefine/>
    <w:qFormat/>
    <w:uiPriority w:val="0"/>
    <w:rPr>
      <w:rFonts w:ascii="宋体" w:hAnsi="Courier New" w:cs="Courier New"/>
      <w:szCs w:val="21"/>
    </w:rPr>
  </w:style>
  <w:style w:type="paragraph" w:styleId="7">
    <w:name w:val="Date"/>
    <w:basedOn w:val="1"/>
    <w:next w:val="1"/>
    <w:autoRedefine/>
    <w:qFormat/>
    <w:uiPriority w:val="0"/>
  </w:style>
  <w:style w:type="paragraph" w:styleId="8">
    <w:name w:val="Balloon Text"/>
    <w:basedOn w:val="1"/>
    <w:link w:val="38"/>
    <w:autoRedefine/>
    <w:qFormat/>
    <w:uiPriority w:val="0"/>
    <w:rPr>
      <w:sz w:val="18"/>
      <w:szCs w:val="18"/>
    </w:rPr>
  </w:style>
  <w:style w:type="paragraph" w:styleId="9">
    <w:name w:val="footer"/>
    <w:basedOn w:val="1"/>
    <w:link w:val="22"/>
    <w:autoRedefine/>
    <w:qFormat/>
    <w:uiPriority w:val="99"/>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table" w:styleId="13">
    <w:name w:val="Table Grid"/>
    <w:basedOn w:val="1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autoRedefine/>
    <w:qFormat/>
    <w:uiPriority w:val="22"/>
    <w:rPr>
      <w:b/>
      <w:bCs/>
    </w:rPr>
  </w:style>
  <w:style w:type="character" w:styleId="16">
    <w:name w:val="Hyperlink"/>
    <w:basedOn w:val="14"/>
    <w:autoRedefine/>
    <w:qFormat/>
    <w:uiPriority w:val="0"/>
    <w:rPr>
      <w:color w:val="0000FF"/>
      <w:u w:val="single"/>
    </w:rPr>
  </w:style>
  <w:style w:type="character" w:customStyle="1" w:styleId="17">
    <w:name w:val="标题 3 Char"/>
    <w:basedOn w:val="14"/>
    <w:link w:val="4"/>
    <w:qFormat/>
    <w:uiPriority w:val="0"/>
    <w:rPr>
      <w:b/>
      <w:kern w:val="2"/>
      <w:sz w:val="24"/>
    </w:rPr>
  </w:style>
  <w:style w:type="character" w:customStyle="1" w:styleId="18">
    <w:name w:val="纯文本 Char"/>
    <w:basedOn w:val="14"/>
    <w:link w:val="6"/>
    <w:autoRedefine/>
    <w:qFormat/>
    <w:uiPriority w:val="0"/>
    <w:rPr>
      <w:rFonts w:ascii="宋体" w:hAnsi="Courier New" w:cs="Courier New"/>
      <w:kern w:val="2"/>
      <w:sz w:val="21"/>
      <w:szCs w:val="21"/>
    </w:rPr>
  </w:style>
  <w:style w:type="paragraph" w:customStyle="1" w:styleId="19">
    <w:name w:val="Char"/>
    <w:basedOn w:val="1"/>
    <w:autoRedefine/>
    <w:qFormat/>
    <w:uiPriority w:val="0"/>
    <w:rPr>
      <w:rFonts w:ascii="仿宋_GB2312" w:eastAsia="仿宋_GB2312"/>
      <w:b/>
      <w:sz w:val="32"/>
      <w:szCs w:val="32"/>
    </w:rPr>
  </w:style>
  <w:style w:type="paragraph" w:customStyle="1" w:styleId="20">
    <w:name w:val="样式 (西文) 宋体 行距: 1.5 倍行距"/>
    <w:basedOn w:val="1"/>
    <w:autoRedefine/>
    <w:qFormat/>
    <w:uiPriority w:val="0"/>
    <w:pPr>
      <w:spacing w:line="360" w:lineRule="auto"/>
    </w:pPr>
    <w:rPr>
      <w:rFonts w:ascii="宋体" w:hAnsi="宋体" w:cs="宋体"/>
    </w:rPr>
  </w:style>
  <w:style w:type="character" w:customStyle="1" w:styleId="21">
    <w:name w:val="页眉 Char"/>
    <w:basedOn w:val="14"/>
    <w:link w:val="10"/>
    <w:autoRedefine/>
    <w:qFormat/>
    <w:uiPriority w:val="0"/>
    <w:rPr>
      <w:kern w:val="2"/>
      <w:sz w:val="18"/>
      <w:szCs w:val="18"/>
    </w:rPr>
  </w:style>
  <w:style w:type="character" w:customStyle="1" w:styleId="22">
    <w:name w:val="页脚 Char"/>
    <w:basedOn w:val="14"/>
    <w:link w:val="9"/>
    <w:autoRedefine/>
    <w:qFormat/>
    <w:uiPriority w:val="99"/>
    <w:rPr>
      <w:kern w:val="2"/>
      <w:sz w:val="18"/>
      <w:szCs w:val="18"/>
    </w:rPr>
  </w:style>
  <w:style w:type="character" w:customStyle="1" w:styleId="23">
    <w:name w:val="标题 2 Char"/>
    <w:basedOn w:val="14"/>
    <w:link w:val="3"/>
    <w:autoRedefine/>
    <w:semiHidden/>
    <w:qFormat/>
    <w:uiPriority w:val="0"/>
    <w:rPr>
      <w:rFonts w:asciiTheme="majorHAnsi" w:hAnsiTheme="majorHAnsi" w:eastAsiaTheme="majorEastAsia" w:cstheme="majorBidi"/>
      <w:b/>
      <w:bCs/>
      <w:kern w:val="2"/>
      <w:sz w:val="32"/>
      <w:szCs w:val="32"/>
    </w:rPr>
  </w:style>
  <w:style w:type="paragraph" w:customStyle="1" w:styleId="24">
    <w:name w:val="列出段落1"/>
    <w:basedOn w:val="1"/>
    <w:autoRedefine/>
    <w:qFormat/>
    <w:uiPriority w:val="34"/>
    <w:pPr>
      <w:ind w:firstLine="420" w:firstLineChars="200"/>
    </w:pPr>
    <w:rPr>
      <w:rFonts w:ascii="Calibri" w:hAnsi="Calibri"/>
      <w:szCs w:val="22"/>
    </w:rPr>
  </w:style>
  <w:style w:type="character" w:customStyle="1" w:styleId="25">
    <w:name w:val="标题 1 Char"/>
    <w:basedOn w:val="14"/>
    <w:link w:val="2"/>
    <w:autoRedefine/>
    <w:qFormat/>
    <w:uiPriority w:val="0"/>
    <w:rPr>
      <w:b/>
      <w:bCs/>
      <w:kern w:val="44"/>
      <w:sz w:val="44"/>
      <w:szCs w:val="44"/>
    </w:rPr>
  </w:style>
  <w:style w:type="paragraph" w:customStyle="1" w:styleId="26">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autoRedefine/>
    <w:qFormat/>
    <w:uiPriority w:val="34"/>
    <w:pPr>
      <w:ind w:firstLine="420" w:firstLineChars="200"/>
    </w:pPr>
  </w:style>
  <w:style w:type="paragraph" w:customStyle="1" w:styleId="28">
    <w:name w:val="样式3"/>
    <w:basedOn w:val="1"/>
    <w:autoRedefine/>
    <w:qFormat/>
    <w:uiPriority w:val="0"/>
    <w:pPr>
      <w:spacing w:line="0" w:lineRule="atLeast"/>
      <w:outlineLvl w:val="0"/>
    </w:pPr>
    <w:rPr>
      <w:rFonts w:ascii="宋体" w:hAnsi="Courier New"/>
      <w:sz w:val="28"/>
      <w:szCs w:val="24"/>
    </w:rPr>
  </w:style>
  <w:style w:type="paragraph" w:customStyle="1" w:styleId="29">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autoRedefine/>
    <w:qFormat/>
    <w:uiPriority w:val="99"/>
    <w:pPr>
      <w:jc w:val="center"/>
      <w:outlineLvl w:val="0"/>
    </w:pPr>
    <w:rPr>
      <w:rFonts w:ascii="宋体" w:hAnsi="宋体"/>
      <w:b/>
      <w:sz w:val="28"/>
      <w:szCs w:val="28"/>
    </w:rPr>
  </w:style>
  <w:style w:type="paragraph" w:customStyle="1" w:styleId="31">
    <w:name w:val="列出段落11"/>
    <w:basedOn w:val="1"/>
    <w:autoRedefine/>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autoRedefine/>
    <w:qFormat/>
    <w:uiPriority w:val="99"/>
    <w:pPr>
      <w:ind w:firstLine="420" w:firstLineChars="200"/>
    </w:pPr>
  </w:style>
  <w:style w:type="paragraph" w:customStyle="1" w:styleId="34">
    <w:name w:val="msolistparagraph"/>
    <w:basedOn w:val="1"/>
    <w:autoRedefine/>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autoRedefine/>
    <w:qFormat/>
    <w:uiPriority w:val="0"/>
    <w:rPr>
      <w:rFonts w:hint="eastAsia" w:ascii="宋体" w:hAnsi="宋体" w:eastAsia="宋体" w:cs="宋体"/>
      <w:color w:val="000000"/>
      <w:sz w:val="18"/>
      <w:szCs w:val="18"/>
      <w:u w:val="none"/>
    </w:rPr>
  </w:style>
  <w:style w:type="paragraph" w:customStyle="1" w:styleId="37">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8">
    <w:name w:val="批注框文本 Char"/>
    <w:basedOn w:val="14"/>
    <w:link w:val="8"/>
    <w:qFormat/>
    <w:uiPriority w:val="0"/>
    <w:rPr>
      <w:rFonts w:ascii="Times New Roman" w:hAnsi="Times New Roman" w:eastAsia="宋体" w:cs="Times New Roman"/>
      <w:kern w:val="2"/>
      <w:sz w:val="18"/>
      <w:szCs w:val="18"/>
    </w:rPr>
  </w:style>
  <w:style w:type="paragraph" w:styleId="39">
    <w:name w:val="List Paragraph"/>
    <w:basedOn w:val="1"/>
    <w:autoRedefine/>
    <w:qFormat/>
    <w:uiPriority w:val="34"/>
    <w:pPr>
      <w:ind w:firstLine="420" w:firstLineChars="200"/>
    </w:pPr>
    <w:rPr>
      <w:rFonts w:asciiTheme="minorHAnsi" w:hAnsiTheme="minorHAnsi" w:eastAsiaTheme="minorEastAsia" w:cstheme="minorBidi"/>
      <w:szCs w:val="22"/>
    </w:rPr>
  </w:style>
  <w:style w:type="paragraph" w:customStyle="1" w:styleId="40">
    <w:name w:val="首行缩进:  0.85 厘米"/>
    <w:basedOn w:val="1"/>
    <w:autoRedefine/>
    <w:qFormat/>
    <w:uiPriority w:val="0"/>
    <w:pPr>
      <w:widowControl/>
      <w:spacing w:after="100" w:line="360" w:lineRule="auto"/>
      <w:ind w:firstLine="482"/>
      <w:jc w:val="left"/>
    </w:pPr>
    <w:rPr>
      <w:rFonts w:ascii="Calibri" w:hAnsi="Calibri" w:cs="宋体"/>
      <w:kern w:val="0"/>
      <w:sz w:val="24"/>
      <w:lang w:eastAsia="en-US" w:bidi="en-US"/>
    </w:rPr>
  </w:style>
  <w:style w:type="paragraph" w:customStyle="1" w:styleId="41">
    <w:name w:val="样式 标题 1 + 段后: 0.5 行"/>
    <w:basedOn w:val="2"/>
    <w:autoRedefine/>
    <w:uiPriority w:val="0"/>
    <w:pPr>
      <w:spacing w:before="120" w:after="120" w:afterLines="50" w:line="460" w:lineRule="exact"/>
    </w:pPr>
    <w:rPr>
      <w:rFonts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FF522-6E34-40DD-B2C5-32006F0305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1915</Words>
  <Characters>10921</Characters>
  <Lines>91</Lines>
  <Paragraphs>25</Paragraphs>
  <TotalTime>0</TotalTime>
  <ScaleCrop>false</ScaleCrop>
  <LinksUpToDate>false</LinksUpToDate>
  <CharactersWithSpaces>12811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2020-09-14T07:44:00Z</dcterms:created>
  <dc:creator>User</dc:creator>
  <cp:lastModifiedBy>小陈</cp:lastModifiedBy>
  <cp:lastPrinted>2017-09-05T08:05:00Z</cp:lastPrinted>
  <dcterms:modified xsi:type="dcterms:W3CDTF">2023-12-21T10:06:22Z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22B513D5612E453484F7CEC327A42F83_13</vt:lpwstr>
  </property>
</Properties>
</file>