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技术服务偏离情况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投标人应如实填写《技术规格偏离表》，评审委员会根据技术参数响应情况进行打分，各项技术参数指标及要求全部满足的得满分</w:t>
            </w:r>
            <w:r>
              <w:rPr>
                <w:rFonts w:ascii="宋体" w:hAnsi="宋体"/>
                <w:szCs w:val="21"/>
              </w:rPr>
              <w:t>45</w:t>
            </w:r>
            <w:r>
              <w:rPr>
                <w:rFonts w:hint="eastAsia" w:ascii="宋体" w:hAnsi="宋体"/>
                <w:szCs w:val="21"/>
              </w:rPr>
              <w:t>分，未响应的参数按负偏离扣分。所有投标人必须严格按照招标文件的内容进行填写，如不能填写请提供说明。带▲的重要参数每负偏离一项扣10分，其他一般参数每负偏离一项扣5分，正偏离不加分。扣完为止，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对投标人拟投入项目团队的评价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根据投标人项目人员安排合理性及满足项目实施需要情况进行评价：科学合理、满足岗位要求并提供优质服务，项目人员具备承担过多个类似项目经验得1</w:t>
            </w:r>
            <w:r>
              <w:rPr>
                <w:rFonts w:ascii="宋体" w:hAnsi="宋体"/>
                <w:szCs w:val="21"/>
              </w:rPr>
              <w:t>0</w:t>
            </w:r>
            <w:r>
              <w:rPr>
                <w:rFonts w:hint="eastAsia" w:ascii="宋体" w:hAnsi="宋体"/>
                <w:szCs w:val="21"/>
              </w:rPr>
              <w:t>分；科学合理、基本满足岗位要求并提供优质服务，项目人员具备承担过少数类似项目经验得</w:t>
            </w:r>
            <w:r>
              <w:rPr>
                <w:rFonts w:ascii="宋体" w:hAnsi="宋体"/>
                <w:szCs w:val="21"/>
              </w:rPr>
              <w:t>7</w:t>
            </w:r>
            <w:r>
              <w:rPr>
                <w:rFonts w:hint="eastAsia" w:ascii="宋体" w:hAnsi="宋体"/>
                <w:szCs w:val="21"/>
              </w:rPr>
              <w:t>-</w:t>
            </w:r>
            <w:r>
              <w:rPr>
                <w:rFonts w:ascii="宋体" w:hAnsi="宋体"/>
                <w:szCs w:val="21"/>
              </w:rPr>
              <w:t>9</w:t>
            </w:r>
            <w:r>
              <w:rPr>
                <w:rFonts w:hint="eastAsia" w:ascii="宋体" w:hAnsi="宋体"/>
                <w:szCs w:val="21"/>
              </w:rPr>
              <w:t>分；部分满足岗位要求，项目人员具备承担过少数类似项目经验得</w:t>
            </w:r>
            <w:r>
              <w:rPr>
                <w:rFonts w:ascii="宋体" w:hAnsi="宋体"/>
                <w:szCs w:val="21"/>
              </w:rPr>
              <w:t>4</w:t>
            </w:r>
            <w:r>
              <w:rPr>
                <w:rFonts w:hint="eastAsia" w:ascii="宋体" w:hAnsi="宋体"/>
                <w:szCs w:val="21"/>
              </w:rPr>
              <w:t>-</w:t>
            </w:r>
            <w:r>
              <w:rPr>
                <w:rFonts w:ascii="宋体" w:hAnsi="宋体"/>
                <w:szCs w:val="21"/>
              </w:rPr>
              <w:t>6</w:t>
            </w:r>
            <w:r>
              <w:rPr>
                <w:rFonts w:hint="eastAsia" w:ascii="宋体" w:hAnsi="宋体"/>
                <w:szCs w:val="21"/>
              </w:rPr>
              <w:t>分；不满足岗位要求，项目人员不具备承担过类似项目经验得1-</w:t>
            </w:r>
            <w:r>
              <w:rPr>
                <w:rFonts w:ascii="宋体" w:hAnsi="宋体"/>
                <w:szCs w:val="21"/>
              </w:rPr>
              <w:t>3</w:t>
            </w:r>
            <w:r>
              <w:rPr>
                <w:rFonts w:hint="eastAsia" w:ascii="宋体" w:hAnsi="宋体"/>
                <w:szCs w:val="21"/>
              </w:rPr>
              <w:t>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投标人通过相关认证情况</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（一）评分内容：</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投标人具有在有效期内的以下资质：</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1）具有高新技术企业认证证书；</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2）具有ISO9001质量管理体系认证证书</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3）具有ISO27001信息安全管理体系认证证书</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4）具有ISO20000信息技术服务体系认证证书</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5）具有电子认证服务使用密码许可证</w:t>
            </w:r>
          </w:p>
          <w:p>
            <w:pPr>
              <w:widowControl/>
              <w:spacing w:line="120" w:lineRule="atLeast"/>
              <w:jc w:val="left"/>
            </w:pPr>
            <w:r>
              <w:rPr>
                <w:rFonts w:hint="eastAsia" w:ascii="宋体" w:hAnsi="宋体"/>
                <w:color w:val="000000" w:themeColor="text1"/>
                <w:szCs w:val="21"/>
                <w14:textFill>
                  <w14:solidFill>
                    <w14:schemeClr w14:val="tx1"/>
                  </w14:solidFill>
                </w14:textFill>
              </w:rPr>
              <w:t>6）具有电子认证服务使用密码许可</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每提供1份得2分，最高得12分；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（二）评分依据：</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1.须提供有效的授权厂商的授权书、原厂商认证证书复印件或扫描件并加盖公章。</w:t>
            </w:r>
          </w:p>
          <w:p>
            <w:pPr>
              <w:rPr>
                <w:rFonts w:ascii="宋体" w:hAnsi="宋体"/>
                <w:szCs w:val="21"/>
              </w:rPr>
            </w:pPr>
            <w:r>
              <w:rPr>
                <w:rFonts w:hint="eastAsia" w:ascii="宋体" w:hAnsi="宋体"/>
                <w:color w:val="000000" w:themeColor="text1"/>
                <w:szCs w:val="21"/>
                <w14:textFill>
                  <w14:solidFill>
                    <w14:schemeClr w14:val="tx1"/>
                  </w14:solidFill>
                </w14:textFill>
              </w:rPr>
              <w:t>2.未提供或未按要求提供或提供不清晰导致评审无法判别的不得分。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投标人近三年同类业绩（以合同时间为准，截止日为本项目公告发布之日）</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pPr>
              <w:pStyle w:val="6"/>
              <w:rPr>
                <w:rFonts w:ascii="宋体" w:hAnsi="宋体"/>
                <w:szCs w:val="21"/>
              </w:rPr>
            </w:pPr>
            <w:r>
              <w:rPr>
                <w:rFonts w:hint="eastAsia" w:ascii="宋体" w:hAnsi="宋体"/>
                <w:szCs w:val="21"/>
              </w:rPr>
              <w:t>（一）评分内容：</w:t>
            </w:r>
          </w:p>
          <w:p>
            <w:pPr>
              <w:pStyle w:val="6"/>
              <w:rPr>
                <w:rFonts w:ascii="宋体" w:hAnsi="宋体"/>
                <w:szCs w:val="21"/>
              </w:rPr>
            </w:pPr>
            <w:r>
              <w:rPr>
                <w:rFonts w:hint="eastAsia" w:ascii="宋体" w:hAnsi="宋体"/>
                <w:szCs w:val="21"/>
              </w:rPr>
              <w:t>投标人须提供近三年的商用密码产品应用案例，每份得2分，最高得6分；</w:t>
            </w:r>
          </w:p>
          <w:p>
            <w:pPr>
              <w:pStyle w:val="6"/>
              <w:rPr>
                <w:rFonts w:ascii="宋体" w:hAnsi="宋体"/>
                <w:szCs w:val="21"/>
              </w:rPr>
            </w:pPr>
            <w:r>
              <w:rPr>
                <w:rFonts w:hint="eastAsia" w:ascii="宋体" w:hAnsi="宋体"/>
                <w:szCs w:val="21"/>
              </w:rPr>
              <w:t>（二）评分依据：</w:t>
            </w:r>
          </w:p>
          <w:p>
            <w:pPr>
              <w:pStyle w:val="6"/>
              <w:rPr>
                <w:rFonts w:ascii="宋体" w:hAnsi="宋体"/>
                <w:szCs w:val="21"/>
              </w:rPr>
            </w:pPr>
            <w:r>
              <w:rPr>
                <w:rFonts w:hint="eastAsia" w:ascii="宋体" w:hAnsi="宋体"/>
                <w:szCs w:val="21"/>
              </w:rPr>
              <w:t>1.要求同时提供合同关键信息和项目履约（验收）合格评价证明文件复印件或扫描件并加盖投标人公章。</w:t>
            </w:r>
          </w:p>
          <w:p>
            <w:pPr>
              <w:pStyle w:val="6"/>
              <w:rPr>
                <w:rFonts w:ascii="宋体" w:hAnsi="宋体"/>
                <w:szCs w:val="21"/>
              </w:rPr>
            </w:pPr>
            <w:r>
              <w:rPr>
                <w:rFonts w:ascii="宋体" w:hAnsi="宋体"/>
                <w:szCs w:val="21"/>
              </w:rPr>
              <w:t>2</w:t>
            </w:r>
            <w:r>
              <w:rPr>
                <w:rFonts w:hint="eastAsia" w:ascii="宋体" w:hAnsi="宋体"/>
                <w:szCs w:val="21"/>
              </w:rPr>
              <w:t>.未提供或未按要求提供或提供不清晰导致评审无法判别的不得分。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投标人自主知识产权产品（创新、设计）情况</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（一）评分内容：</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1）SSL VPN安全网关商密认证证书得2分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2）智能密码钥匙商密认证证书得2分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3）服务器密码机商密认证证书得2分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4）签名验签服务器商密认证证书得2分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5）证书认证系统得2分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6）证书密钥管理系统得2分</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（二）评分依据：</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1.要求提供有效的授权厂商的授权书、原厂商产品证书复印件或扫描件并加盖公章。</w:t>
            </w:r>
          </w:p>
          <w:p>
            <w:pPr>
              <w:widowControl/>
              <w:spacing w:line="12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2.未提供或未按要求提供或提供不清晰导致评审无法判别的不得分。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4" w:type="dxa"/>
            <w:gridSpan w:val="3"/>
            <w:tcBorders>
              <w:top w:val="single" w:color="auto" w:sz="4" w:space="0"/>
              <w:left w:val="single" w:color="auto" w:sz="4" w:space="0"/>
              <w:bottom w:val="single" w:color="auto" w:sz="4"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pPr>
        <w:spacing w:line="360" w:lineRule="exact"/>
        <w:jc w:val="left"/>
        <w:rPr>
          <w:rFonts w:ascii="宋体" w:hAnsi="宋体"/>
          <w:szCs w:val="21"/>
        </w:rPr>
      </w:pPr>
      <w:r>
        <w:br w:type="page"/>
      </w:r>
    </w:p>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深圳市儿童医院信息系统密码应用</w:t>
            </w:r>
            <w:r>
              <w:rPr>
                <w:rFonts w:hint="eastAsia" w:ascii="宋体" w:hAnsi="宋体"/>
                <w:szCs w:val="21"/>
                <w:lang w:val="en-US" w:eastAsia="zh-CN"/>
              </w:rPr>
              <w:t>改造方案编制</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项目预算</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60000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根据《中华人民共和国网络安全法》、《中华人民共和国密码法》、《医疗卫生机构网络安全管理办法》等相关文件要求，对深圳市儿童医院电子病历系统和集成平台管理系统（等保三级）开展商用密码应用建设咨询规划和系统密码应用安全性评估工作，保障信息系统密码合规、正确、有效地应用，进一步完善系统安全管理体系和技术防护体系，提高整体安全防护能力。本项目拟采购一家中标人，提供深圳市儿童医院信息系统密码应用咨询与安全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总体服务要求</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评估内容包含但不局限于：依据GB/T39786-2021《信息安全技术信息系统密码应用基本要求》、《商用密码应用安全性评估管理办法（试行）》、《信息系统密码产品要求（试行）》、《商用密码应用安全性评估测评过程指南（试行）》、《商用密码应用安全性评估测评作业指导书（试行）》等标准规范、指导性文件及管理要求，从总体要求、物理和环境安全、网络和通信安全、设备和计算安全、应用和数据安全、密钥管理、安全管理等方面开展评估，根据被评估政务信息系统当前的安全状况，从对被评估信息系统密码使用的合规性、正确性、有效性等方面进行检测和验证技术能力，通过测评发现系统存在的安全隐患和风险，给出评估结果并提出有针对性的整改建议。</w:t>
            </w:r>
          </w:p>
          <w:p>
            <w:pPr>
              <w:rPr>
                <w:rFonts w:ascii="宋体" w:hAnsi="宋体"/>
                <w:szCs w:val="21"/>
              </w:rPr>
            </w:pPr>
            <w:r>
              <w:rPr>
                <w:rFonts w:hint="eastAsia" w:ascii="宋体" w:hAnsi="宋体"/>
                <w:szCs w:val="21"/>
              </w:rPr>
              <w:t>2.按计划时间安排，组织进行业务需求分析、编写密码应用方案计划，并组织按计划编写方案及开展评估，根据评估结果，编写并提交评估报告，保证评估内容与评估方案一致。</w:t>
            </w:r>
          </w:p>
          <w:p>
            <w:pPr>
              <w:rPr>
                <w:rFonts w:ascii="宋体" w:hAnsi="宋体"/>
                <w:szCs w:val="21"/>
              </w:rPr>
            </w:pPr>
            <w:r>
              <w:rPr>
                <w:rFonts w:hint="eastAsia" w:ascii="宋体" w:hAnsi="宋体"/>
                <w:szCs w:val="21"/>
              </w:rPr>
              <w:t>3.在评估完成后，需出具符合GB/T39786-2021《信息安全技术信息系统密码应用基本要求》要求的《信息系统密码应用建设方案》和《商用密码应用安全性评估报告》，并在报告中明确做出总结性的评估结论。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eastAsia" w:ascii="宋体" w:hAnsi="宋体"/>
                <w:bCs/>
                <w:szCs w:val="21"/>
              </w:rPr>
              <w:t>商务需求</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eastAsia" w:ascii="宋体" w:hAnsi="宋体"/>
                <w:bCs/>
                <w:szCs w:val="21"/>
              </w:rPr>
              <w:t>一、服务要求</w:t>
            </w:r>
          </w:p>
          <w:p>
            <w:pPr>
              <w:snapToGrid w:val="0"/>
              <w:jc w:val="left"/>
              <w:rPr>
                <w:rFonts w:ascii="宋体" w:hAnsi="宋体"/>
                <w:bCs/>
                <w:szCs w:val="21"/>
              </w:rPr>
            </w:pPr>
            <w:r>
              <w:rPr>
                <w:rFonts w:hint="eastAsia" w:ascii="宋体" w:hAnsi="宋体"/>
                <w:bCs/>
                <w:szCs w:val="21"/>
              </w:rPr>
              <w:t>1. 在中华人民共和国境内注册，具有独立法人资格；</w:t>
            </w:r>
          </w:p>
          <w:p>
            <w:pPr>
              <w:snapToGrid w:val="0"/>
              <w:jc w:val="left"/>
              <w:rPr>
                <w:rFonts w:ascii="宋体" w:hAnsi="宋体"/>
                <w:bCs/>
                <w:szCs w:val="21"/>
              </w:rPr>
            </w:pPr>
            <w:r>
              <w:rPr>
                <w:rFonts w:hint="eastAsia" w:ascii="宋体" w:hAnsi="宋体"/>
                <w:bCs/>
                <w:szCs w:val="21"/>
              </w:rPr>
              <w:t>2. 意向服务商须承诺近三年无重大行政处罚；</w:t>
            </w:r>
          </w:p>
          <w:p>
            <w:pPr>
              <w:snapToGrid w:val="0"/>
              <w:jc w:val="left"/>
              <w:rPr>
                <w:rFonts w:ascii="宋体" w:hAnsi="宋体"/>
                <w:bCs/>
                <w:szCs w:val="21"/>
              </w:rPr>
            </w:pPr>
            <w:r>
              <w:rPr>
                <w:rFonts w:hint="eastAsia" w:ascii="宋体" w:hAnsi="宋体"/>
                <w:bCs/>
                <w:szCs w:val="21"/>
              </w:rPr>
              <w:t>3. 非深圳企业参与本采购项目，服务商必须在深圳设有经工商注册的分支机构，提供相关证明材料（加盖服务商公章）;</w:t>
            </w:r>
          </w:p>
          <w:p>
            <w:pPr>
              <w:snapToGrid w:val="0"/>
              <w:jc w:val="left"/>
              <w:rPr>
                <w:rFonts w:ascii="宋体" w:hAnsi="宋体"/>
                <w:bCs/>
                <w:szCs w:val="21"/>
              </w:rPr>
            </w:pPr>
            <w:r>
              <w:rPr>
                <w:rFonts w:hint="eastAsia" w:ascii="宋体" w:hAnsi="宋体"/>
                <w:bCs/>
                <w:szCs w:val="21"/>
              </w:rPr>
              <w:t>4. 不接受联合体参与本采购项目；</w:t>
            </w:r>
          </w:p>
          <w:p>
            <w:pPr>
              <w:snapToGrid w:val="0"/>
              <w:jc w:val="left"/>
              <w:rPr>
                <w:rFonts w:ascii="宋体" w:hAnsi="宋体"/>
                <w:bCs/>
                <w:szCs w:val="21"/>
              </w:rPr>
            </w:pPr>
            <w:r>
              <w:rPr>
                <w:rFonts w:hint="eastAsia" w:ascii="宋体" w:hAnsi="宋体"/>
                <w:bCs/>
                <w:szCs w:val="21"/>
              </w:rPr>
              <w:t>5. 具有合同履行能力且愿意承担本采购项目的全部投资及相关费用；</w:t>
            </w:r>
          </w:p>
          <w:p>
            <w:pPr>
              <w:snapToGrid w:val="0"/>
              <w:jc w:val="left"/>
              <w:rPr>
                <w:rFonts w:ascii="宋体" w:hAnsi="宋体"/>
                <w:bCs/>
                <w:szCs w:val="21"/>
              </w:rPr>
            </w:pPr>
            <w:r>
              <w:rPr>
                <w:rFonts w:hint="eastAsia" w:ascii="宋体" w:hAnsi="宋体"/>
                <w:bCs/>
                <w:szCs w:val="21"/>
              </w:rPr>
              <w:t>6. 非原厂商服务的投标人需提供原厂商服务授权函。</w:t>
            </w:r>
          </w:p>
          <w:p>
            <w:pPr>
              <w:snapToGrid w:val="0"/>
              <w:jc w:val="left"/>
              <w:rPr>
                <w:rFonts w:ascii="宋体" w:hAnsi="宋体"/>
                <w:bCs/>
                <w:szCs w:val="21"/>
              </w:rPr>
            </w:pPr>
            <w:r>
              <w:rPr>
                <w:rFonts w:hint="eastAsia" w:ascii="宋体" w:hAnsi="宋体"/>
                <w:bCs/>
                <w:szCs w:val="21"/>
              </w:rPr>
              <w:t>二、付款方式</w:t>
            </w:r>
          </w:p>
          <w:p>
            <w:pPr>
              <w:snapToGrid w:val="0"/>
              <w:jc w:val="left"/>
              <w:rPr>
                <w:rFonts w:ascii="宋体" w:hAnsi="宋体"/>
                <w:bCs/>
                <w:szCs w:val="21"/>
              </w:rPr>
            </w:pPr>
            <w:r>
              <w:rPr>
                <w:rFonts w:hint="eastAsia" w:ascii="宋体" w:hAnsi="宋体"/>
                <w:bCs/>
                <w:szCs w:val="21"/>
              </w:rPr>
              <w:t>1．本合同签订后甲方以分期付款方式支付服务费，最后50%的合同款项需在甲方对维保服务验收合格后30天内付清。</w:t>
            </w:r>
          </w:p>
          <w:p>
            <w:pPr>
              <w:snapToGrid w:val="0"/>
              <w:jc w:val="left"/>
              <w:rPr>
                <w:rFonts w:ascii="宋体" w:hAnsi="宋体"/>
                <w:bCs/>
                <w:szCs w:val="21"/>
              </w:rPr>
            </w:pPr>
            <w:r>
              <w:rPr>
                <w:rFonts w:hint="eastAsia" w:ascii="宋体" w:hAnsi="宋体"/>
                <w:bCs/>
                <w:szCs w:val="21"/>
              </w:rPr>
              <w:t>2．本项目最终验收合格后，凭双方共同签字验收后，采购人收到付款发票和付款所需资料之日起30个工作日内，采购人向市财政部门申请支付合同总价款的50%，实际付款时间以财务部门执行时间为准。</w:t>
            </w:r>
          </w:p>
          <w:p>
            <w:pPr>
              <w:snapToGrid w:val="0"/>
              <w:jc w:val="left"/>
              <w:rPr>
                <w:rFonts w:ascii="宋体" w:hAnsi="宋体"/>
                <w:bCs/>
                <w:szCs w:val="21"/>
              </w:rPr>
            </w:pPr>
            <w:r>
              <w:rPr>
                <w:rFonts w:hint="eastAsia" w:ascii="宋体" w:hAnsi="宋体"/>
                <w:bCs/>
                <w:szCs w:val="21"/>
              </w:rPr>
              <w:t>三、验收要求</w:t>
            </w:r>
          </w:p>
          <w:p>
            <w:pPr>
              <w:snapToGrid w:val="0"/>
              <w:jc w:val="left"/>
              <w:rPr>
                <w:rFonts w:ascii="宋体" w:hAnsi="宋体"/>
                <w:bCs/>
                <w:szCs w:val="21"/>
              </w:rPr>
            </w:pPr>
            <w:r>
              <w:rPr>
                <w:rFonts w:hint="eastAsia" w:ascii="宋体" w:hAnsi="宋体"/>
                <w:bCs/>
                <w:szCs w:val="21"/>
              </w:rPr>
              <w:t>由投标人代表和采购人组成验收小组对产品进行验收。经检验符合服务内容要求，采购人才做最终验收，验收完毕后，一致签署验收报告。</w:t>
            </w:r>
          </w:p>
          <w:p>
            <w:pPr>
              <w:snapToGrid w:val="0"/>
              <w:jc w:val="left"/>
              <w:rPr>
                <w:rFonts w:ascii="宋体" w:hAnsi="宋体"/>
                <w:bCs/>
                <w:szCs w:val="21"/>
              </w:rPr>
            </w:pPr>
            <w:r>
              <w:rPr>
                <w:rFonts w:hint="eastAsia" w:ascii="宋体" w:hAnsi="宋体"/>
                <w:bCs/>
                <w:szCs w:val="21"/>
              </w:rPr>
              <w:t>四、违约责任</w:t>
            </w:r>
          </w:p>
          <w:p>
            <w:pPr>
              <w:snapToGrid w:val="0"/>
              <w:jc w:val="left"/>
              <w:rPr>
                <w:rFonts w:ascii="宋体" w:hAnsi="宋体"/>
                <w:bCs/>
                <w:szCs w:val="21"/>
              </w:rPr>
            </w:pPr>
            <w:r>
              <w:rPr>
                <w:rFonts w:hint="eastAsia" w:ascii="宋体" w:hAnsi="宋体"/>
                <w:bCs/>
                <w:szCs w:val="21"/>
              </w:rPr>
              <w:t>1．如中标人未按照投标文件中承诺的时间交货或提供服务，投标人应承担延期交货和延期服务的违约责任，并可要求投标人赔偿采购人因此造成的实际经济损失。</w:t>
            </w:r>
          </w:p>
          <w:p>
            <w:pPr>
              <w:snapToGrid w:val="0"/>
              <w:jc w:val="left"/>
              <w:rPr>
                <w:rFonts w:ascii="宋体" w:hAnsi="宋体"/>
                <w:bCs/>
                <w:szCs w:val="21"/>
              </w:rPr>
            </w:pPr>
            <w:r>
              <w:rPr>
                <w:rFonts w:hint="eastAsia" w:ascii="宋体" w:hAnsi="宋体"/>
                <w:bCs/>
                <w:szCs w:val="21"/>
              </w:rPr>
              <w:t>2．中标人不能按时交付的或提供服务，标人应承担延期交货和延期服务的违约责任，需向甲方每日偿付迟交产品总额的0.5%作为违约金，在应付款中直接结算；本款违约金的计算以合同总额的30%为限。同时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r>
              <w:rPr>
                <w:rFonts w:hint="eastAsia" w:ascii="宋体" w:hAnsi="宋体"/>
                <w:color w:val="000000"/>
                <w:kern w:val="0"/>
                <w:szCs w:val="21"/>
              </w:rPr>
              <w:t>技术要求</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Cs/>
                <w:szCs w:val="21"/>
              </w:rPr>
            </w:pPr>
            <w:r>
              <w:rPr>
                <w:rFonts w:hint="eastAsia" w:ascii="宋体" w:hAnsi="宋体"/>
                <w:bCs/>
                <w:szCs w:val="21"/>
              </w:rPr>
              <w:t>1.方案规划设计技术咨询。根据国家有关密码应用正确、合规、有效的要求以及拟评估项目的建设内容，提供密码应用技术方案以及规划设计咨询服务。</w:t>
            </w:r>
          </w:p>
          <w:p>
            <w:pPr>
              <w:snapToGrid w:val="0"/>
              <w:jc w:val="left"/>
              <w:rPr>
                <w:rFonts w:ascii="宋体" w:hAnsi="宋体"/>
                <w:bCs/>
                <w:szCs w:val="21"/>
              </w:rPr>
            </w:pPr>
            <w:r>
              <w:rPr>
                <w:rFonts w:hint="eastAsia" w:ascii="宋体" w:hAnsi="宋体"/>
                <w:bCs/>
                <w:szCs w:val="21"/>
              </w:rPr>
              <w:t>2.开展密码应用安全性评估。依据GB/T39786-2021《信息安全技术信息系统密码应用基本要求》、《信息系统密码测评要求（试行）》、《商用密码应用安全性评估测评过程指南（试行）》、《商用密码应用安全性评估测评作业指导书（试行）》和系统自身的安全需求分析，对被评估平台进行商用密码应用安全性评估，为重要网络和信息系统的密码安全提供科学评价，逐步规范网络运营者的密码使用和管理行为。对被评估对象的商用密码应用安全性进行系统评估，及时发现系统脆弱性，识别变化的风险，了解系统安全状况。根据被评估对象的实际情况、所属行业及系统使用的密码产品情况，选择并确定测评依据。在系统真实环境下进行测评，以评估密码保障是否安全有效，密码使用是否合规、正确、有效。并通过测评发现系统存在的安全隐患和风险，提出可行性完善建议。</w:t>
            </w:r>
          </w:p>
          <w:p>
            <w:pPr>
              <w:snapToGrid w:val="0"/>
              <w:jc w:val="left"/>
              <w:rPr>
                <w:rFonts w:ascii="宋体" w:hAnsi="宋体"/>
                <w:bCs/>
                <w:szCs w:val="21"/>
              </w:rPr>
            </w:pPr>
            <w:r>
              <w:rPr>
                <w:rFonts w:hint="eastAsia" w:ascii="宋体" w:hAnsi="宋体"/>
                <w:bCs/>
                <w:szCs w:val="21"/>
              </w:rPr>
              <w:t>3.密码技术应用测评。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pPr>
              <w:snapToGrid w:val="0"/>
              <w:jc w:val="left"/>
              <w:rPr>
                <w:rFonts w:ascii="宋体" w:hAnsi="宋体"/>
                <w:bCs/>
                <w:szCs w:val="21"/>
              </w:rPr>
            </w:pPr>
            <w:r>
              <w:rPr>
                <w:rFonts w:hint="eastAsia" w:ascii="宋体" w:hAnsi="宋体"/>
                <w:bCs/>
                <w:szCs w:val="21"/>
              </w:rPr>
              <w:t>4.密钥管理测评。检测信息系统密钥管理各环节，包括对密钥的生成、存储、分发、导入、导出、使用、备份、恢复、归档与销毁等环节进行管理和策略制定的全过程是否符合要求。</w:t>
            </w:r>
          </w:p>
          <w:p>
            <w:pPr>
              <w:snapToGrid w:val="0"/>
              <w:jc w:val="left"/>
              <w:rPr>
                <w:rFonts w:ascii="宋体" w:hAnsi="宋体"/>
                <w:szCs w:val="21"/>
              </w:rPr>
            </w:pPr>
            <w:r>
              <w:rPr>
                <w:rFonts w:hint="eastAsia" w:ascii="宋体" w:hAnsi="宋体"/>
                <w:bCs/>
                <w:szCs w:val="21"/>
              </w:rPr>
              <w:t>5.安全管理测评。对制度、人员、实施和应急等四个方面安全管理的测评，并协助完善商用密码应用安全性管理制度，协助完善密码相关系统运维管理制度。</w:t>
            </w:r>
          </w:p>
        </w:tc>
      </w:tr>
    </w:tbl>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vAlign w:val="center"/>
          </w:tcPr>
          <w:p>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hint="eastAsia" w:ascii="宋体" w:hAnsi="宋体"/>
          <w:color w:val="000000"/>
          <w:szCs w:val="21"/>
        </w:rPr>
        <w:t>：</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hint="eastAsia" w:ascii="宋体" w:hAnsi="宋体"/>
          <w:color w:val="000000"/>
          <w:sz w:val="18"/>
          <w:szCs w:val="24"/>
        </w:rPr>
        <w:t>做出</w:t>
      </w:r>
      <w:r>
        <w:rPr>
          <w:rFonts w:ascii="宋体" w:hAnsi="宋体"/>
          <w:color w:val="000000"/>
          <w:sz w:val="18"/>
          <w:szCs w:val="24"/>
        </w:rPr>
        <w:t>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hint="eastAsia" w:ascii="宋体" w:hAnsi="宋体"/>
          <w:color w:val="000000"/>
          <w:szCs w:val="21"/>
        </w:rPr>
        <w:t>：</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7" w:name="_Toc100052473"/>
      <w:bookmarkStart w:id="8"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4"/>
      <w:bookmarkStart w:id="10" w:name="_Toc73521619"/>
      <w:bookmarkStart w:id="11" w:name="_Toc101074904"/>
      <w:bookmarkStart w:id="12"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73521708"/>
      <w:bookmarkStart w:id="14" w:name="_Toc100052475"/>
      <w:bookmarkStart w:id="15" w:name="_Toc73521620"/>
      <w:bookmarkStart w:id="16"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7" w:name="_Toc201742861"/>
      <w:bookmarkStart w:id="18" w:name="_Toc201719118"/>
      <w:bookmarkStart w:id="19" w:name="_Toc201743116"/>
      <w:bookmarkStart w:id="20" w:name="_Toc201997946"/>
      <w:bookmarkStart w:id="21"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向采购项目相关人员行贿或者提供其他不当利益的；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12</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146A"/>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0C19"/>
    <w:rsid w:val="006530A7"/>
    <w:rsid w:val="00653CEF"/>
    <w:rsid w:val="00655B2A"/>
    <w:rsid w:val="00655D1C"/>
    <w:rsid w:val="006562B7"/>
    <w:rsid w:val="00662189"/>
    <w:rsid w:val="00671FBA"/>
    <w:rsid w:val="00672AF2"/>
    <w:rsid w:val="00675F48"/>
    <w:rsid w:val="006763F0"/>
    <w:rsid w:val="00677A8B"/>
    <w:rsid w:val="00686086"/>
    <w:rsid w:val="006872B7"/>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4211"/>
    <w:rsid w:val="006E51AB"/>
    <w:rsid w:val="006E535F"/>
    <w:rsid w:val="006E6D75"/>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47E6"/>
    <w:rsid w:val="00935B2F"/>
    <w:rsid w:val="00935BA7"/>
    <w:rsid w:val="009401C7"/>
    <w:rsid w:val="009412C1"/>
    <w:rsid w:val="00942334"/>
    <w:rsid w:val="0094408C"/>
    <w:rsid w:val="0094692A"/>
    <w:rsid w:val="00947D2D"/>
    <w:rsid w:val="00951F3E"/>
    <w:rsid w:val="00952550"/>
    <w:rsid w:val="00952949"/>
    <w:rsid w:val="009649C7"/>
    <w:rsid w:val="0096594A"/>
    <w:rsid w:val="00967AD6"/>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1F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9FC"/>
    <w:rsid w:val="00C32A12"/>
    <w:rsid w:val="00C357E9"/>
    <w:rsid w:val="00C3660C"/>
    <w:rsid w:val="00C37DB8"/>
    <w:rsid w:val="00C40D87"/>
    <w:rsid w:val="00C411EB"/>
    <w:rsid w:val="00C4372C"/>
    <w:rsid w:val="00C449F9"/>
    <w:rsid w:val="00C472ED"/>
    <w:rsid w:val="00C47A25"/>
    <w:rsid w:val="00C47F1A"/>
    <w:rsid w:val="00C52E5C"/>
    <w:rsid w:val="00C60316"/>
    <w:rsid w:val="00C61E4D"/>
    <w:rsid w:val="00C624D8"/>
    <w:rsid w:val="00C67AA3"/>
    <w:rsid w:val="00C72402"/>
    <w:rsid w:val="00C739C2"/>
    <w:rsid w:val="00C73D53"/>
    <w:rsid w:val="00C82938"/>
    <w:rsid w:val="00C839F8"/>
    <w:rsid w:val="00C84808"/>
    <w:rsid w:val="00C85692"/>
    <w:rsid w:val="00C86B84"/>
    <w:rsid w:val="00C87A83"/>
    <w:rsid w:val="00C93846"/>
    <w:rsid w:val="00C94786"/>
    <w:rsid w:val="00C95D3C"/>
    <w:rsid w:val="00C9679F"/>
    <w:rsid w:val="00C979F1"/>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358"/>
    <w:rsid w:val="00E6193B"/>
    <w:rsid w:val="00E61C13"/>
    <w:rsid w:val="00E721D8"/>
    <w:rsid w:val="00E7551A"/>
    <w:rsid w:val="00E758D6"/>
    <w:rsid w:val="00E75B8C"/>
    <w:rsid w:val="00E769AD"/>
    <w:rsid w:val="00E76D16"/>
    <w:rsid w:val="00E81A57"/>
    <w:rsid w:val="00E81A79"/>
    <w:rsid w:val="00E83B72"/>
    <w:rsid w:val="00E84559"/>
    <w:rsid w:val="00E85544"/>
    <w:rsid w:val="00E86F2B"/>
    <w:rsid w:val="00E90730"/>
    <w:rsid w:val="00E91E59"/>
    <w:rsid w:val="00E95EFA"/>
    <w:rsid w:val="00E97D65"/>
    <w:rsid w:val="00EA32C6"/>
    <w:rsid w:val="00EA3399"/>
    <w:rsid w:val="00EA52E8"/>
    <w:rsid w:val="00EB0BB3"/>
    <w:rsid w:val="00EB2E42"/>
    <w:rsid w:val="00EB4C9B"/>
    <w:rsid w:val="00EC0761"/>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0D1"/>
    <w:rsid w:val="00F06F8B"/>
    <w:rsid w:val="00F12A8E"/>
    <w:rsid w:val="00F15E9D"/>
    <w:rsid w:val="00F21102"/>
    <w:rsid w:val="00F21ACC"/>
    <w:rsid w:val="00F24916"/>
    <w:rsid w:val="00F25A40"/>
    <w:rsid w:val="00F31037"/>
    <w:rsid w:val="00F31748"/>
    <w:rsid w:val="00F31C97"/>
    <w:rsid w:val="00F338E0"/>
    <w:rsid w:val="00F36866"/>
    <w:rsid w:val="00F36924"/>
    <w:rsid w:val="00F40479"/>
    <w:rsid w:val="00F43FC7"/>
    <w:rsid w:val="00F50DD9"/>
    <w:rsid w:val="00F52338"/>
    <w:rsid w:val="00F5660A"/>
    <w:rsid w:val="00F6133A"/>
    <w:rsid w:val="00F62636"/>
    <w:rsid w:val="00F6361D"/>
    <w:rsid w:val="00F63A6B"/>
    <w:rsid w:val="00F646F5"/>
    <w:rsid w:val="00F64D36"/>
    <w:rsid w:val="00F66DD0"/>
    <w:rsid w:val="00F70DE0"/>
    <w:rsid w:val="00F716ED"/>
    <w:rsid w:val="00F732A7"/>
    <w:rsid w:val="00F752DB"/>
    <w:rsid w:val="00F7562F"/>
    <w:rsid w:val="00F8027F"/>
    <w:rsid w:val="00F80B5C"/>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53BC"/>
    <w:rsid w:val="01607DF5"/>
    <w:rsid w:val="01767EF3"/>
    <w:rsid w:val="01D30AF5"/>
    <w:rsid w:val="01DC24B9"/>
    <w:rsid w:val="01DE5185"/>
    <w:rsid w:val="0213568A"/>
    <w:rsid w:val="046E6DDE"/>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215C17"/>
    <w:rsid w:val="0FC46FEB"/>
    <w:rsid w:val="0FDB5BF8"/>
    <w:rsid w:val="0FF0756D"/>
    <w:rsid w:val="10BB60F9"/>
    <w:rsid w:val="10CB03AE"/>
    <w:rsid w:val="10F944AF"/>
    <w:rsid w:val="110A33B6"/>
    <w:rsid w:val="11EC5E17"/>
    <w:rsid w:val="121432F4"/>
    <w:rsid w:val="12CE6AE7"/>
    <w:rsid w:val="13545A8B"/>
    <w:rsid w:val="1360023A"/>
    <w:rsid w:val="13840F17"/>
    <w:rsid w:val="13992498"/>
    <w:rsid w:val="140F5863"/>
    <w:rsid w:val="15D233F0"/>
    <w:rsid w:val="16320B1F"/>
    <w:rsid w:val="163D0515"/>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6F5A73"/>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8D331FC"/>
    <w:rsid w:val="2A377783"/>
    <w:rsid w:val="2A6266E9"/>
    <w:rsid w:val="2A6C54A9"/>
    <w:rsid w:val="2D21664A"/>
    <w:rsid w:val="2F34651F"/>
    <w:rsid w:val="2F425E94"/>
    <w:rsid w:val="2FB81F38"/>
    <w:rsid w:val="2FDC6C9E"/>
    <w:rsid w:val="2FFE2912"/>
    <w:rsid w:val="30BC2EBC"/>
    <w:rsid w:val="31356772"/>
    <w:rsid w:val="31FF72AF"/>
    <w:rsid w:val="32781A64"/>
    <w:rsid w:val="32782FFB"/>
    <w:rsid w:val="32B86F81"/>
    <w:rsid w:val="33CC15C4"/>
    <w:rsid w:val="33FA3136"/>
    <w:rsid w:val="353577A9"/>
    <w:rsid w:val="357B0EFD"/>
    <w:rsid w:val="35CA2DB9"/>
    <w:rsid w:val="35F41D4F"/>
    <w:rsid w:val="361E7E3B"/>
    <w:rsid w:val="3621266D"/>
    <w:rsid w:val="36974B68"/>
    <w:rsid w:val="375C2773"/>
    <w:rsid w:val="3781684D"/>
    <w:rsid w:val="384C47A3"/>
    <w:rsid w:val="39031BEB"/>
    <w:rsid w:val="39072F88"/>
    <w:rsid w:val="394D7D0F"/>
    <w:rsid w:val="399E4DCC"/>
    <w:rsid w:val="39F50C16"/>
    <w:rsid w:val="3B5330E7"/>
    <w:rsid w:val="3BD85452"/>
    <w:rsid w:val="3BF6596E"/>
    <w:rsid w:val="3C125C3B"/>
    <w:rsid w:val="3C602D03"/>
    <w:rsid w:val="3CC86BE5"/>
    <w:rsid w:val="3D132062"/>
    <w:rsid w:val="3D83213E"/>
    <w:rsid w:val="3DDB4F84"/>
    <w:rsid w:val="3FBF6038"/>
    <w:rsid w:val="3FFD6511"/>
    <w:rsid w:val="40A83A07"/>
    <w:rsid w:val="416F41D1"/>
    <w:rsid w:val="41BA0644"/>
    <w:rsid w:val="41F05DAA"/>
    <w:rsid w:val="428A76BF"/>
    <w:rsid w:val="42E762E1"/>
    <w:rsid w:val="43727115"/>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54D48"/>
    <w:rsid w:val="5BFD4EC8"/>
    <w:rsid w:val="5C55335F"/>
    <w:rsid w:val="5C914C90"/>
    <w:rsid w:val="5CDD77D2"/>
    <w:rsid w:val="5D514298"/>
    <w:rsid w:val="5E847FBB"/>
    <w:rsid w:val="5E954ECC"/>
    <w:rsid w:val="5F2430A4"/>
    <w:rsid w:val="5F702B80"/>
    <w:rsid w:val="5F762EF1"/>
    <w:rsid w:val="5FC6029B"/>
    <w:rsid w:val="60003EDC"/>
    <w:rsid w:val="60405D44"/>
    <w:rsid w:val="604959AE"/>
    <w:rsid w:val="612975B6"/>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587158"/>
    <w:rsid w:val="6CCC2F03"/>
    <w:rsid w:val="6D7C1A08"/>
    <w:rsid w:val="6D7E3DB9"/>
    <w:rsid w:val="6EBC525F"/>
    <w:rsid w:val="6EED19D9"/>
    <w:rsid w:val="6EEE2197"/>
    <w:rsid w:val="6EEF7E4F"/>
    <w:rsid w:val="6F2D12A0"/>
    <w:rsid w:val="70F03E4F"/>
    <w:rsid w:val="712D573D"/>
    <w:rsid w:val="723D0FE7"/>
    <w:rsid w:val="72BB566D"/>
    <w:rsid w:val="72FE0135"/>
    <w:rsid w:val="73021E25"/>
    <w:rsid w:val="733B0CC7"/>
    <w:rsid w:val="73BE0193"/>
    <w:rsid w:val="75017925"/>
    <w:rsid w:val="75BF5C57"/>
    <w:rsid w:val="76287E23"/>
    <w:rsid w:val="76437394"/>
    <w:rsid w:val="768C6E51"/>
    <w:rsid w:val="776530D4"/>
    <w:rsid w:val="77EF35FC"/>
    <w:rsid w:val="79A732D1"/>
    <w:rsid w:val="79AF7659"/>
    <w:rsid w:val="79BA4A36"/>
    <w:rsid w:val="79F6478D"/>
    <w:rsid w:val="7AD6416D"/>
    <w:rsid w:val="7B616DAE"/>
    <w:rsid w:val="7BCD7517"/>
    <w:rsid w:val="7BFA4470"/>
    <w:rsid w:val="7C0039D3"/>
    <w:rsid w:val="7C433515"/>
    <w:rsid w:val="7C6C6D2C"/>
    <w:rsid w:val="7C7163B3"/>
    <w:rsid w:val="7CC70A5D"/>
    <w:rsid w:val="7D45640A"/>
    <w:rsid w:val="7DCC035C"/>
    <w:rsid w:val="7DE6504F"/>
    <w:rsid w:val="7DEC76CD"/>
    <w:rsid w:val="7E6A0D57"/>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link w:val="48"/>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semiHidden/>
    <w:qFormat/>
    <w:uiPriority w:val="0"/>
    <w:pPr>
      <w:jc w:val="left"/>
    </w:pPr>
    <w:rPr>
      <w:szCs w:val="24"/>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3"/>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semiHidden/>
    <w:unhideWhenUsed/>
    <w:qFormat/>
    <w:uiPriority w:val="0"/>
    <w:rPr>
      <w:b/>
      <w:bCs/>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character" w:styleId="21">
    <w:name w:val="annotation reference"/>
    <w:semiHidden/>
    <w:qFormat/>
    <w:uiPriority w:val="0"/>
    <w:rPr>
      <w:rFonts w:eastAsia="宋体"/>
      <w:kern w:val="2"/>
      <w:sz w:val="21"/>
      <w:szCs w:val="21"/>
      <w:lang w:val="en-US" w:eastAsia="zh-CN" w:bidi="ar-SA"/>
    </w:rPr>
  </w:style>
  <w:style w:type="character" w:customStyle="1" w:styleId="22">
    <w:name w:val="标题 3 字符"/>
    <w:basedOn w:val="17"/>
    <w:link w:val="5"/>
    <w:qFormat/>
    <w:uiPriority w:val="0"/>
    <w:rPr>
      <w:b/>
      <w:kern w:val="2"/>
      <w:sz w:val="24"/>
    </w:rPr>
  </w:style>
  <w:style w:type="character" w:customStyle="1" w:styleId="23">
    <w:name w:val="纯文本 字符"/>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字符"/>
    <w:basedOn w:val="17"/>
    <w:link w:val="12"/>
    <w:qFormat/>
    <w:uiPriority w:val="0"/>
    <w:rPr>
      <w:kern w:val="2"/>
      <w:sz w:val="18"/>
      <w:szCs w:val="18"/>
    </w:rPr>
  </w:style>
  <w:style w:type="character" w:customStyle="1" w:styleId="27">
    <w:name w:val="页脚 字符"/>
    <w:basedOn w:val="17"/>
    <w:link w:val="11"/>
    <w:qFormat/>
    <w:uiPriority w:val="99"/>
    <w:rPr>
      <w:kern w:val="2"/>
      <w:sz w:val="18"/>
      <w:szCs w:val="18"/>
    </w:rPr>
  </w:style>
  <w:style w:type="character" w:customStyle="1" w:styleId="28">
    <w:name w:val="标题 2 字符"/>
    <w:basedOn w:val="17"/>
    <w:link w:val="4"/>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字符"/>
    <w:basedOn w:val="17"/>
    <w:link w:val="3"/>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字符"/>
    <w:basedOn w:val="17"/>
    <w:link w:val="10"/>
    <w:qFormat/>
    <w:uiPriority w:val="0"/>
    <w:rPr>
      <w:rFonts w:ascii="Times New Roman" w:hAnsi="Times New Roman"/>
      <w:kern w:val="2"/>
      <w:sz w:val="18"/>
      <w:szCs w:val="18"/>
    </w:rPr>
  </w:style>
  <w:style w:type="character" w:customStyle="1" w:styleId="44">
    <w:name w:val="批注文字 字符"/>
    <w:basedOn w:val="17"/>
    <w:link w:val="6"/>
    <w:semiHidden/>
    <w:qFormat/>
    <w:uiPriority w:val="0"/>
    <w:rPr>
      <w:rFonts w:ascii="Times New Roman" w:hAnsi="Times New Roman"/>
      <w:kern w:val="2"/>
      <w:sz w:val="21"/>
      <w:szCs w:val="24"/>
    </w:rPr>
  </w:style>
  <w:style w:type="paragraph" w:styleId="45">
    <w:name w:val="List Paragraph"/>
    <w:basedOn w:val="1"/>
    <w:link w:val="46"/>
    <w:qFormat/>
    <w:uiPriority w:val="34"/>
    <w:pPr>
      <w:ind w:firstLine="420" w:firstLineChars="200"/>
    </w:pPr>
    <w:rPr>
      <w:rFonts w:ascii="Calibri" w:hAnsi="Calibri"/>
      <w:szCs w:val="22"/>
    </w:rPr>
  </w:style>
  <w:style w:type="character" w:customStyle="1" w:styleId="46">
    <w:name w:val="列出段落 字符"/>
    <w:link w:val="45"/>
    <w:qFormat/>
    <w:uiPriority w:val="0"/>
    <w:rPr>
      <w:kern w:val="2"/>
      <w:sz w:val="21"/>
      <w:szCs w:val="22"/>
    </w:rPr>
  </w:style>
  <w:style w:type="character" w:customStyle="1" w:styleId="47">
    <w:name w:val="批注主题 字符"/>
    <w:basedOn w:val="44"/>
    <w:link w:val="14"/>
    <w:semiHidden/>
    <w:qFormat/>
    <w:uiPriority w:val="0"/>
    <w:rPr>
      <w:rFonts w:ascii="Times New Roman" w:hAnsi="Times New Roman"/>
      <w:b/>
      <w:bCs/>
      <w:kern w:val="2"/>
      <w:sz w:val="21"/>
      <w:szCs w:val="24"/>
    </w:rPr>
  </w:style>
  <w:style w:type="character" w:customStyle="1" w:styleId="48">
    <w:name w:val="正文缩进 字符"/>
    <w:link w:val="2"/>
    <w:semiHidden/>
    <w:qFormat/>
    <w:locked/>
    <w:uiPriority w:val="0"/>
    <w:rPr>
      <w:rFonts w:ascii="宋体" w:hAnsi="宋体" w:eastAsia="仿宋"/>
      <w:sz w:val="2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1077</Words>
  <Characters>6145</Characters>
  <Lines>51</Lines>
  <Paragraphs>14</Paragraphs>
  <TotalTime>86</TotalTime>
  <ScaleCrop>false</ScaleCrop>
  <LinksUpToDate>false</LinksUpToDate>
  <CharactersWithSpaces>7208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2023-12-01T08:17:00Z</dcterms:created>
  <dc:creator>User</dc:creator>
  <cp:lastModifiedBy>Absurd</cp:lastModifiedBy>
  <cp:lastPrinted>2023-12-05T03:57:34Z</cp:lastPrinted>
  <dcterms:modified xsi:type="dcterms:W3CDTF">2023-12-05T03:58:41Z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E30EFCDA881B405A81AEB51BC90A12E8_13</vt:lpwstr>
  </property>
</Properties>
</file>