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rPr>
          <w:color w:val="000000"/>
        </w:rPr>
      </w:pPr>
    </w:p>
    <w:p>
      <w:pPr>
        <w:pStyle w:val="84"/>
        <w:rPr>
          <w:color w:val="000000"/>
        </w:rPr>
      </w:pPr>
    </w:p>
    <w:p>
      <w:pPr>
        <w:pStyle w:val="84"/>
        <w:rPr>
          <w:color w:val="000000"/>
        </w:rPr>
      </w:pPr>
    </w:p>
    <w:p>
      <w:pPr>
        <w:pStyle w:val="84"/>
        <w:rPr>
          <w:color w:val="000000"/>
        </w:rPr>
      </w:pPr>
      <w:r>
        <w:rPr>
          <w:rFonts w:hint="eastAsia"/>
          <w:color w:val="000000"/>
        </w:rPr>
        <w:t>深圳市儿童医院</w:t>
      </w:r>
    </w:p>
    <w:p>
      <w:pPr>
        <w:pStyle w:val="84"/>
        <w:rPr>
          <w:color w:val="000000"/>
        </w:rPr>
      </w:pPr>
      <w:r>
        <w:rPr>
          <w:rFonts w:hint="eastAsia"/>
          <w:color w:val="000000"/>
        </w:rPr>
        <w:t>防病毒项目需求书</w:t>
      </w:r>
    </w:p>
    <w:p>
      <w:pPr>
        <w:pStyle w:val="84"/>
        <w:spacing w:line="460" w:lineRule="exact"/>
        <w:rPr>
          <w:color w:val="000000"/>
        </w:rPr>
      </w:pPr>
    </w:p>
    <w:p>
      <w:pPr>
        <w:pStyle w:val="84"/>
        <w:spacing w:line="460" w:lineRule="exact"/>
        <w:rPr>
          <w:color w:val="000000"/>
        </w:rPr>
      </w:pPr>
    </w:p>
    <w:p>
      <w:pPr>
        <w:pStyle w:val="84"/>
        <w:spacing w:line="460" w:lineRule="exact"/>
        <w:rPr>
          <w:color w:val="000000"/>
        </w:rPr>
      </w:pPr>
    </w:p>
    <w:p>
      <w:pPr>
        <w:pStyle w:val="84"/>
        <w:spacing w:line="460" w:lineRule="exact"/>
        <w:rPr>
          <w:color w:val="000000"/>
        </w:rPr>
      </w:pPr>
    </w:p>
    <w:p>
      <w:pPr>
        <w:pStyle w:val="84"/>
        <w:spacing w:line="460" w:lineRule="exact"/>
        <w:rPr>
          <w:color w:val="000000"/>
        </w:rPr>
      </w:pPr>
    </w:p>
    <w:p>
      <w:pPr>
        <w:pStyle w:val="84"/>
        <w:spacing w:line="460" w:lineRule="exact"/>
        <w:rPr>
          <w:color w:val="000000"/>
        </w:rPr>
      </w:pPr>
    </w:p>
    <w:p>
      <w:pPr>
        <w:pStyle w:val="84"/>
        <w:spacing w:line="460" w:lineRule="exact"/>
        <w:rPr>
          <w:color w:val="000000"/>
        </w:rPr>
      </w:pPr>
    </w:p>
    <w:p>
      <w:pPr>
        <w:pStyle w:val="84"/>
        <w:spacing w:line="460" w:lineRule="exact"/>
        <w:rPr>
          <w:color w:val="000000"/>
        </w:rPr>
      </w:pPr>
    </w:p>
    <w:p>
      <w:pPr>
        <w:pStyle w:val="84"/>
        <w:spacing w:line="460" w:lineRule="exact"/>
        <w:rPr>
          <w:color w:val="000000"/>
        </w:rPr>
      </w:pPr>
    </w:p>
    <w:p>
      <w:pPr>
        <w:pStyle w:val="84"/>
        <w:spacing w:line="460" w:lineRule="exact"/>
        <w:rPr>
          <w:color w:val="000000"/>
        </w:rPr>
      </w:pPr>
    </w:p>
    <w:p>
      <w:pPr>
        <w:pStyle w:val="84"/>
        <w:spacing w:line="460" w:lineRule="exact"/>
        <w:rPr>
          <w:color w:val="000000"/>
        </w:rPr>
      </w:pPr>
    </w:p>
    <w:p>
      <w:pPr>
        <w:tabs>
          <w:tab w:val="left" w:pos="2910"/>
          <w:tab w:val="left" w:pos="5235"/>
        </w:tabs>
        <w:jc w:val="center"/>
        <w:rPr>
          <w:rFonts w:asciiTheme="minorEastAsia" w:hAnsiTheme="minorEastAsia" w:eastAsiaTheme="minorEastAsia"/>
          <w:b/>
          <w:color w:val="000000" w:themeColor="text1"/>
          <w:sz w:val="32"/>
          <w:szCs w:val="32"/>
          <w14:textFill>
            <w14:solidFill>
              <w14:schemeClr w14:val="tx1"/>
            </w14:solidFill>
          </w14:textFill>
        </w:rPr>
      </w:pPr>
    </w:p>
    <w:p>
      <w:pPr>
        <w:jc w:val="center"/>
        <w:rPr>
          <w:rFonts w:ascii="黑体" w:hAnsi="宋体" w:eastAsia="黑体" w:cs="宋体"/>
          <w:spacing w:val="40"/>
          <w:sz w:val="36"/>
          <w:szCs w:val="36"/>
        </w:rPr>
        <w:sectPr>
          <w:headerReference r:id="rId3" w:type="default"/>
          <w:footerReference r:id="rId4" w:type="default"/>
          <w:footerReference r:id="rId5" w:type="even"/>
          <w:pgSz w:w="11906" w:h="16838"/>
          <w:pgMar w:top="1440" w:right="1800" w:bottom="1440" w:left="1800" w:header="851" w:footer="992" w:gutter="0"/>
          <w:pgNumType w:fmt="upperRoman" w:start="1"/>
          <w:cols w:space="425" w:num="1"/>
          <w:titlePg/>
          <w:docGrid w:type="lines" w:linePitch="312" w:charSpace="0"/>
        </w:sectPr>
      </w:pPr>
      <w:r>
        <w:rPr>
          <w:rFonts w:hint="eastAsia" w:ascii="黑体" w:hAnsi="宋体" w:eastAsia="黑体" w:cs="宋体"/>
          <w:spacing w:val="40"/>
          <w:sz w:val="36"/>
          <w:szCs w:val="36"/>
        </w:rPr>
        <w:t>二〇二三年九</w:t>
      </w:r>
      <w:r>
        <w:rPr>
          <w:rFonts w:ascii="黑体" w:hAnsi="宋体" w:eastAsia="黑体" w:cs="宋体"/>
          <w:spacing w:val="40"/>
          <w:sz w:val="36"/>
          <w:szCs w:val="36"/>
        </w:rPr>
        <w:t>月</w:t>
      </w:r>
    </w:p>
    <w:p>
      <w:pPr>
        <w:pStyle w:val="84"/>
        <w:spacing w:line="460" w:lineRule="exact"/>
        <w:rPr>
          <w:color w:val="000000"/>
        </w:rPr>
      </w:pPr>
      <w:r>
        <w:rPr>
          <w:rFonts w:hint="eastAsia"/>
          <w:color w:val="000000"/>
        </w:rPr>
        <w:t xml:space="preserve">目 </w:t>
      </w:r>
      <w:r>
        <w:rPr>
          <w:color w:val="000000"/>
        </w:rPr>
        <w:t xml:space="preserve"> </w:t>
      </w:r>
      <w:r>
        <w:rPr>
          <w:rFonts w:hint="eastAsia"/>
          <w:color w:val="000000"/>
        </w:rPr>
        <w:t>录</w:t>
      </w:r>
    </w:p>
    <w:p>
      <w:pPr>
        <w:pStyle w:val="84"/>
        <w:spacing w:line="460" w:lineRule="exact"/>
        <w:rPr>
          <w:color w:val="000000"/>
        </w:rPr>
      </w:pPr>
    </w:p>
    <w:p>
      <w:pPr>
        <w:pStyle w:val="84"/>
        <w:spacing w:line="460" w:lineRule="exact"/>
        <w:rPr>
          <w:rFonts w:ascii="宋体" w:hAnsi="Arial" w:eastAsia="宋体" w:cs="Arial"/>
          <w:color w:val="000000"/>
          <w:sz w:val="30"/>
          <w:szCs w:val="30"/>
        </w:rPr>
      </w:pPr>
      <w:bookmarkStart w:id="0" w:name="_Toc164247489"/>
      <w:bookmarkStart w:id="1" w:name="_Toc184568966"/>
      <w:bookmarkStart w:id="2" w:name="_Toc474919673"/>
      <w:bookmarkStart w:id="3" w:name="_Toc304628960"/>
      <w:bookmarkStart w:id="4" w:name="_Toc306779777"/>
      <w:bookmarkStart w:id="5" w:name="_Toc212262063"/>
      <w:bookmarkStart w:id="6" w:name="_Toc185223135"/>
      <w:bookmarkStart w:id="7" w:name="_Toc447875760"/>
      <w:bookmarkStart w:id="8" w:name="_Toc466302884"/>
      <w:bookmarkStart w:id="9" w:name="_Toc212212684"/>
      <w:bookmarkStart w:id="10" w:name="_Toc306779719"/>
      <w:bookmarkStart w:id="11" w:name="_Toc229211563"/>
      <w:bookmarkStart w:id="12" w:name="_Toc341277606"/>
      <w:bookmarkStart w:id="13" w:name="_Toc341690978"/>
      <w:bookmarkStart w:id="14" w:name="_Toc474934273"/>
      <w:bookmarkStart w:id="15" w:name="_Toc474918768"/>
      <w:bookmarkStart w:id="16" w:name="_Toc297102470"/>
      <w:bookmarkStart w:id="17" w:name="_Toc467173211"/>
    </w:p>
    <w:p>
      <w:pPr>
        <w:pStyle w:val="31"/>
        <w:tabs>
          <w:tab w:val="right" w:leader="dot" w:pos="8920"/>
        </w:tabs>
        <w:rPr>
          <w:rFonts w:hAnsiTheme="minorHAnsi" w:eastAsiaTheme="minorEastAsia" w:cstheme="minorBidi"/>
          <w:b w:val="0"/>
          <w:bCs w:val="0"/>
          <w:caps w:val="0"/>
          <w:kern w:val="2"/>
          <w:sz w:val="21"/>
          <w:szCs w:val="22"/>
        </w:rPr>
      </w:pPr>
      <w:r>
        <w:rPr>
          <w:rFonts w:ascii="宋体" w:hAnsi="Arial" w:cs="Arial"/>
          <w:b w:val="0"/>
          <w:bCs w:val="0"/>
          <w:caps w:val="0"/>
          <w:color w:val="000000"/>
          <w:sz w:val="30"/>
          <w:szCs w:val="30"/>
        </w:rPr>
        <w:fldChar w:fldCharType="begin"/>
      </w:r>
      <w:r>
        <w:rPr>
          <w:rFonts w:ascii="宋体" w:hAnsi="Arial" w:cs="Arial"/>
          <w:b w:val="0"/>
          <w:bCs w:val="0"/>
          <w:caps w:val="0"/>
          <w:color w:val="000000"/>
          <w:sz w:val="30"/>
          <w:szCs w:val="30"/>
        </w:rPr>
        <w:instrText xml:space="preserve"> TOC \o \h \z \u </w:instrText>
      </w:r>
      <w:r>
        <w:rPr>
          <w:rFonts w:ascii="宋体" w:hAnsi="Arial" w:cs="Arial"/>
          <w:b w:val="0"/>
          <w:bCs w:val="0"/>
          <w:caps w:val="0"/>
          <w:color w:val="000000"/>
          <w:sz w:val="30"/>
          <w:szCs w:val="30"/>
        </w:rPr>
        <w:fldChar w:fldCharType="separate"/>
      </w:r>
      <w:r>
        <w:fldChar w:fldCharType="begin"/>
      </w:r>
      <w:r>
        <w:instrText xml:space="preserve"> HYPERLINK \l "_Toc2786225" </w:instrText>
      </w:r>
      <w:r>
        <w:fldChar w:fldCharType="separate"/>
      </w:r>
      <w:r>
        <w:rPr>
          <w:rStyle w:val="49"/>
          <w:rFonts w:ascii="宋体" w:hAnsi="Arial" w:eastAsia="宋体" w:cs="Arial"/>
        </w:rPr>
        <w:t>总   则</w:t>
      </w:r>
      <w:r>
        <w:tab/>
      </w:r>
      <w:r>
        <w:fldChar w:fldCharType="begin"/>
      </w:r>
      <w:r>
        <w:instrText xml:space="preserve"> PAGEREF _Toc2786225 \h </w:instrText>
      </w:r>
      <w:r>
        <w:fldChar w:fldCharType="separate"/>
      </w:r>
      <w:r>
        <w:t>2</w:t>
      </w:r>
      <w:r>
        <w:fldChar w:fldCharType="end"/>
      </w:r>
      <w:r>
        <w:fldChar w:fldCharType="end"/>
      </w:r>
    </w:p>
    <w:p>
      <w:pPr>
        <w:pStyle w:val="31"/>
        <w:tabs>
          <w:tab w:val="left" w:pos="630"/>
          <w:tab w:val="right" w:leader="dot" w:pos="8920"/>
        </w:tabs>
        <w:rPr>
          <w:rFonts w:hAnsiTheme="minorHAnsi" w:eastAsiaTheme="minorEastAsia" w:cstheme="minorBidi"/>
          <w:b w:val="0"/>
          <w:bCs w:val="0"/>
          <w:caps w:val="0"/>
          <w:kern w:val="2"/>
          <w:sz w:val="21"/>
          <w:szCs w:val="22"/>
        </w:rPr>
      </w:pPr>
      <w:r>
        <w:fldChar w:fldCharType="begin"/>
      </w:r>
      <w:r>
        <w:instrText xml:space="preserve"> HYPERLINK \l "_Toc2786226" </w:instrText>
      </w:r>
      <w:r>
        <w:fldChar w:fldCharType="separate"/>
      </w:r>
      <w:r>
        <w:rPr>
          <w:rStyle w:val="49"/>
        </w:rPr>
        <w:t>一.</w:t>
      </w:r>
      <w:r>
        <w:rPr>
          <w:rFonts w:hAnsiTheme="minorHAnsi" w:eastAsiaTheme="minorEastAsia" w:cstheme="minorBidi"/>
          <w:b w:val="0"/>
          <w:bCs w:val="0"/>
          <w:caps w:val="0"/>
          <w:kern w:val="2"/>
          <w:sz w:val="21"/>
          <w:szCs w:val="22"/>
        </w:rPr>
        <w:tab/>
      </w:r>
      <w:r>
        <w:rPr>
          <w:rStyle w:val="49"/>
        </w:rPr>
        <w:t>项目要求</w:t>
      </w:r>
      <w:r>
        <w:tab/>
      </w:r>
      <w:r>
        <w:fldChar w:fldCharType="begin"/>
      </w:r>
      <w:r>
        <w:instrText xml:space="preserve"> PAGEREF _Toc2786226 \h </w:instrText>
      </w:r>
      <w:r>
        <w:fldChar w:fldCharType="separate"/>
      </w:r>
      <w:r>
        <w:t>3</w:t>
      </w:r>
      <w:r>
        <w:fldChar w:fldCharType="end"/>
      </w:r>
      <w:r>
        <w:fldChar w:fldCharType="end"/>
      </w:r>
    </w:p>
    <w:p>
      <w:pPr>
        <w:pStyle w:val="36"/>
        <w:tabs>
          <w:tab w:val="left" w:pos="840"/>
          <w:tab w:val="right" w:leader="dot" w:pos="8920"/>
        </w:tabs>
        <w:rPr>
          <w:rFonts w:hAnsiTheme="minorHAnsi" w:eastAsiaTheme="minorEastAsia" w:cstheme="minorBidi"/>
          <w:smallCaps w:val="0"/>
          <w:kern w:val="2"/>
          <w:sz w:val="21"/>
          <w:szCs w:val="22"/>
        </w:rPr>
      </w:pPr>
      <w:r>
        <w:fldChar w:fldCharType="begin"/>
      </w:r>
      <w:r>
        <w:instrText xml:space="preserve"> HYPERLINK \l "_Toc2786227" </w:instrText>
      </w:r>
      <w:r>
        <w:fldChar w:fldCharType="separate"/>
      </w:r>
      <w:r>
        <w:rPr>
          <w:rStyle w:val="49"/>
        </w:rPr>
        <w:t>1.1.</w:t>
      </w:r>
      <w:r>
        <w:rPr>
          <w:rFonts w:hAnsiTheme="minorHAnsi" w:eastAsiaTheme="minorEastAsia" w:cstheme="minorBidi"/>
          <w:smallCaps w:val="0"/>
          <w:kern w:val="2"/>
          <w:sz w:val="21"/>
          <w:szCs w:val="22"/>
        </w:rPr>
        <w:tab/>
      </w:r>
      <w:r>
        <w:rPr>
          <w:rStyle w:val="49"/>
        </w:rPr>
        <w:t>现状</w:t>
      </w:r>
      <w:r>
        <w:tab/>
      </w:r>
      <w:r>
        <w:fldChar w:fldCharType="begin"/>
      </w:r>
      <w:r>
        <w:instrText xml:space="preserve"> PAGEREF _Toc2786227 \h </w:instrText>
      </w:r>
      <w:r>
        <w:fldChar w:fldCharType="separate"/>
      </w:r>
      <w:r>
        <w:t>3</w:t>
      </w:r>
      <w:r>
        <w:fldChar w:fldCharType="end"/>
      </w:r>
      <w:r>
        <w:fldChar w:fldCharType="end"/>
      </w:r>
    </w:p>
    <w:p>
      <w:pPr>
        <w:pStyle w:val="36"/>
        <w:tabs>
          <w:tab w:val="left" w:pos="840"/>
          <w:tab w:val="right" w:leader="dot" w:pos="8920"/>
        </w:tabs>
        <w:rPr>
          <w:rFonts w:hAnsiTheme="minorHAnsi" w:eastAsiaTheme="minorEastAsia" w:cstheme="minorBidi"/>
          <w:smallCaps w:val="0"/>
          <w:kern w:val="2"/>
          <w:sz w:val="21"/>
          <w:szCs w:val="22"/>
        </w:rPr>
      </w:pPr>
      <w:r>
        <w:fldChar w:fldCharType="begin"/>
      </w:r>
      <w:r>
        <w:instrText xml:space="preserve"> HYPERLINK \l "_Toc2786228" </w:instrText>
      </w:r>
      <w:r>
        <w:fldChar w:fldCharType="separate"/>
      </w:r>
      <w:r>
        <w:rPr>
          <w:rStyle w:val="49"/>
        </w:rPr>
        <w:t>1.2.</w:t>
      </w:r>
      <w:r>
        <w:rPr>
          <w:rFonts w:hAnsiTheme="minorHAnsi" w:eastAsiaTheme="minorEastAsia" w:cstheme="minorBidi"/>
          <w:smallCaps w:val="0"/>
          <w:kern w:val="2"/>
          <w:sz w:val="21"/>
          <w:szCs w:val="22"/>
        </w:rPr>
        <w:tab/>
      </w:r>
      <w:r>
        <w:rPr>
          <w:rStyle w:val="49"/>
        </w:rPr>
        <w:t>需求</w:t>
      </w:r>
      <w:r>
        <w:tab/>
      </w:r>
      <w:r>
        <w:fldChar w:fldCharType="begin"/>
      </w:r>
      <w:r>
        <w:instrText xml:space="preserve"> PAGEREF _Toc2786228 \h </w:instrText>
      </w:r>
      <w:r>
        <w:fldChar w:fldCharType="separate"/>
      </w:r>
      <w:r>
        <w:t>3</w:t>
      </w:r>
      <w:r>
        <w:fldChar w:fldCharType="end"/>
      </w:r>
      <w:r>
        <w:fldChar w:fldCharType="end"/>
      </w:r>
    </w:p>
    <w:p>
      <w:pPr>
        <w:pStyle w:val="36"/>
        <w:tabs>
          <w:tab w:val="left" w:pos="840"/>
          <w:tab w:val="right" w:leader="dot" w:pos="8920"/>
        </w:tabs>
        <w:rPr>
          <w:rFonts w:hAnsiTheme="minorHAnsi" w:eastAsiaTheme="minorEastAsia" w:cstheme="minorBidi"/>
          <w:smallCaps w:val="0"/>
          <w:kern w:val="2"/>
          <w:sz w:val="21"/>
          <w:szCs w:val="22"/>
        </w:rPr>
      </w:pPr>
      <w:r>
        <w:fldChar w:fldCharType="begin"/>
      </w:r>
      <w:r>
        <w:instrText xml:space="preserve"> HYPERLINK \l "_Toc2786229" </w:instrText>
      </w:r>
      <w:r>
        <w:fldChar w:fldCharType="separate"/>
      </w:r>
      <w:r>
        <w:rPr>
          <w:rStyle w:val="49"/>
        </w:rPr>
        <w:t>1.3.</w:t>
      </w:r>
      <w:r>
        <w:rPr>
          <w:rFonts w:hAnsiTheme="minorHAnsi" w:eastAsiaTheme="minorEastAsia" w:cstheme="minorBidi"/>
          <w:smallCaps w:val="0"/>
          <w:kern w:val="2"/>
          <w:sz w:val="21"/>
          <w:szCs w:val="22"/>
        </w:rPr>
        <w:tab/>
      </w:r>
      <w:r>
        <w:rPr>
          <w:rStyle w:val="49"/>
        </w:rPr>
        <w:t>目标</w:t>
      </w:r>
      <w:r>
        <w:tab/>
      </w:r>
      <w:r>
        <w:fldChar w:fldCharType="begin"/>
      </w:r>
      <w:r>
        <w:instrText xml:space="preserve"> PAGEREF _Toc2786229 \h </w:instrText>
      </w:r>
      <w:r>
        <w:fldChar w:fldCharType="separate"/>
      </w:r>
      <w:r>
        <w:t>5</w:t>
      </w:r>
      <w:r>
        <w:fldChar w:fldCharType="end"/>
      </w:r>
      <w:r>
        <w:fldChar w:fldCharType="end"/>
      </w:r>
    </w:p>
    <w:p>
      <w:pPr>
        <w:pStyle w:val="31"/>
        <w:tabs>
          <w:tab w:val="left" w:pos="630"/>
          <w:tab w:val="right" w:leader="dot" w:pos="8920"/>
        </w:tabs>
        <w:rPr>
          <w:rFonts w:hAnsiTheme="minorHAnsi" w:eastAsiaTheme="minorEastAsia" w:cstheme="minorBidi"/>
          <w:b w:val="0"/>
          <w:bCs w:val="0"/>
          <w:caps w:val="0"/>
          <w:kern w:val="2"/>
          <w:sz w:val="21"/>
          <w:szCs w:val="22"/>
        </w:rPr>
      </w:pPr>
      <w:r>
        <w:fldChar w:fldCharType="begin"/>
      </w:r>
      <w:r>
        <w:instrText xml:space="preserve"> HYPERLINK \l "_Toc2786230" </w:instrText>
      </w:r>
      <w:r>
        <w:fldChar w:fldCharType="separate"/>
      </w:r>
      <w:r>
        <w:rPr>
          <w:rStyle w:val="49"/>
        </w:rPr>
        <w:t>二.</w:t>
      </w:r>
      <w:r>
        <w:rPr>
          <w:rFonts w:hAnsiTheme="minorHAnsi" w:eastAsiaTheme="minorEastAsia" w:cstheme="minorBidi"/>
          <w:b w:val="0"/>
          <w:bCs w:val="0"/>
          <w:caps w:val="0"/>
          <w:kern w:val="2"/>
          <w:sz w:val="21"/>
          <w:szCs w:val="22"/>
        </w:rPr>
        <w:tab/>
      </w:r>
      <w:r>
        <w:rPr>
          <w:rStyle w:val="49"/>
        </w:rPr>
        <w:t>技术指标</w:t>
      </w:r>
      <w:r>
        <w:tab/>
      </w:r>
      <w:r>
        <w:fldChar w:fldCharType="begin"/>
      </w:r>
      <w:r>
        <w:instrText xml:space="preserve"> PAGEREF _Toc2786230 \h </w:instrText>
      </w:r>
      <w:r>
        <w:fldChar w:fldCharType="separate"/>
      </w:r>
      <w:r>
        <w:t>6</w:t>
      </w:r>
      <w:r>
        <w:fldChar w:fldCharType="end"/>
      </w:r>
      <w:r>
        <w:fldChar w:fldCharType="end"/>
      </w:r>
    </w:p>
    <w:p>
      <w:pPr>
        <w:pStyle w:val="36"/>
        <w:tabs>
          <w:tab w:val="left" w:pos="840"/>
          <w:tab w:val="right" w:leader="dot" w:pos="8920"/>
        </w:tabs>
        <w:rPr>
          <w:rFonts w:hAnsiTheme="minorHAnsi" w:eastAsiaTheme="minorEastAsia" w:cstheme="minorBidi"/>
          <w:smallCaps w:val="0"/>
          <w:kern w:val="2"/>
          <w:sz w:val="21"/>
          <w:szCs w:val="22"/>
        </w:rPr>
      </w:pPr>
      <w:r>
        <w:fldChar w:fldCharType="begin"/>
      </w:r>
      <w:r>
        <w:instrText xml:space="preserve"> HYPERLINK \l "_Toc2786233" </w:instrText>
      </w:r>
      <w:r>
        <w:fldChar w:fldCharType="separate"/>
      </w:r>
      <w:r>
        <w:rPr>
          <w:rStyle w:val="49"/>
        </w:rPr>
        <w:t>2.1</w:t>
      </w:r>
      <w:r>
        <w:rPr>
          <w:rFonts w:hAnsiTheme="minorHAnsi" w:eastAsiaTheme="minorEastAsia" w:cstheme="minorBidi"/>
          <w:smallCaps w:val="0"/>
          <w:kern w:val="2"/>
          <w:sz w:val="21"/>
          <w:szCs w:val="22"/>
        </w:rPr>
        <w:tab/>
      </w:r>
      <w:r>
        <w:rPr>
          <w:rStyle w:val="49"/>
        </w:rPr>
        <w:t>项目总体要求</w:t>
      </w:r>
      <w:r>
        <w:tab/>
      </w:r>
      <w:r>
        <w:fldChar w:fldCharType="begin"/>
      </w:r>
      <w:r>
        <w:instrText xml:space="preserve"> PAGEREF _Toc2786233 \h </w:instrText>
      </w:r>
      <w:r>
        <w:fldChar w:fldCharType="separate"/>
      </w:r>
      <w:r>
        <w:t>6</w:t>
      </w:r>
      <w:r>
        <w:fldChar w:fldCharType="end"/>
      </w:r>
      <w:r>
        <w:fldChar w:fldCharType="end"/>
      </w:r>
    </w:p>
    <w:p>
      <w:pPr>
        <w:pStyle w:val="36"/>
        <w:tabs>
          <w:tab w:val="left" w:pos="840"/>
          <w:tab w:val="right" w:leader="dot" w:pos="8920"/>
        </w:tabs>
        <w:rPr>
          <w:rFonts w:hAnsiTheme="minorHAnsi" w:eastAsiaTheme="minorEastAsia" w:cstheme="minorBidi"/>
          <w:smallCaps w:val="0"/>
          <w:kern w:val="2"/>
          <w:sz w:val="21"/>
          <w:szCs w:val="22"/>
        </w:rPr>
      </w:pPr>
      <w:r>
        <w:fldChar w:fldCharType="begin"/>
      </w:r>
      <w:r>
        <w:instrText xml:space="preserve"> HYPERLINK \l "_Toc2786234" </w:instrText>
      </w:r>
      <w:r>
        <w:fldChar w:fldCharType="separate"/>
      </w:r>
      <w:r>
        <w:rPr>
          <w:rStyle w:val="49"/>
        </w:rPr>
        <w:t>2.2</w:t>
      </w:r>
      <w:r>
        <w:rPr>
          <w:rFonts w:hAnsiTheme="minorHAnsi" w:eastAsiaTheme="minorEastAsia" w:cstheme="minorBidi"/>
          <w:smallCaps w:val="0"/>
          <w:kern w:val="2"/>
          <w:sz w:val="21"/>
          <w:szCs w:val="22"/>
        </w:rPr>
        <w:tab/>
      </w:r>
      <w:r>
        <w:rPr>
          <w:rStyle w:val="49"/>
        </w:rPr>
        <w:t>技术要求</w:t>
      </w:r>
      <w:r>
        <w:tab/>
      </w:r>
      <w:r>
        <w:fldChar w:fldCharType="begin"/>
      </w:r>
      <w:r>
        <w:instrText xml:space="preserve"> PAGEREF _Toc2786234 \h </w:instrText>
      </w:r>
      <w:r>
        <w:fldChar w:fldCharType="separate"/>
      </w:r>
      <w:r>
        <w:t>6</w:t>
      </w:r>
      <w:r>
        <w:fldChar w:fldCharType="end"/>
      </w:r>
      <w:r>
        <w:fldChar w:fldCharType="end"/>
      </w:r>
    </w:p>
    <w:p>
      <w:pPr>
        <w:pStyle w:val="36"/>
        <w:tabs>
          <w:tab w:val="left" w:pos="840"/>
          <w:tab w:val="right" w:leader="dot" w:pos="8920"/>
        </w:tabs>
        <w:rPr>
          <w:rFonts w:hAnsiTheme="minorHAnsi" w:eastAsiaTheme="minorEastAsia" w:cstheme="minorBidi"/>
          <w:smallCaps w:val="0"/>
          <w:kern w:val="2"/>
          <w:sz w:val="21"/>
          <w:szCs w:val="22"/>
        </w:rPr>
      </w:pPr>
      <w:r>
        <w:fldChar w:fldCharType="begin"/>
      </w:r>
      <w:r>
        <w:instrText xml:space="preserve"> HYPERLINK \l "_Toc2786235" </w:instrText>
      </w:r>
      <w:r>
        <w:fldChar w:fldCharType="separate"/>
      </w:r>
      <w:r>
        <w:rPr>
          <w:rStyle w:val="49"/>
        </w:rPr>
        <w:t>2.3</w:t>
      </w:r>
      <w:r>
        <w:rPr>
          <w:rFonts w:hAnsiTheme="minorHAnsi" w:eastAsiaTheme="minorEastAsia" w:cstheme="minorBidi"/>
          <w:smallCaps w:val="0"/>
          <w:kern w:val="2"/>
          <w:sz w:val="21"/>
          <w:szCs w:val="22"/>
        </w:rPr>
        <w:tab/>
      </w:r>
      <w:r>
        <w:rPr>
          <w:rStyle w:val="49"/>
        </w:rPr>
        <w:t>售后服务要求</w:t>
      </w:r>
      <w:r>
        <w:tab/>
      </w:r>
      <w:r>
        <w:fldChar w:fldCharType="begin"/>
      </w:r>
      <w:r>
        <w:instrText xml:space="preserve"> PAGEREF _Toc2786235 \h </w:instrText>
      </w:r>
      <w:r>
        <w:fldChar w:fldCharType="separate"/>
      </w:r>
      <w:r>
        <w:t>13</w:t>
      </w:r>
      <w:r>
        <w:fldChar w:fldCharType="end"/>
      </w:r>
      <w:r>
        <w:fldChar w:fldCharType="end"/>
      </w:r>
    </w:p>
    <w:p>
      <w:pPr>
        <w:pStyle w:val="36"/>
        <w:tabs>
          <w:tab w:val="left" w:pos="840"/>
          <w:tab w:val="right" w:leader="dot" w:pos="8920"/>
        </w:tabs>
        <w:rPr>
          <w:rFonts w:hAnsiTheme="minorHAnsi" w:eastAsiaTheme="minorEastAsia" w:cstheme="minorBidi"/>
          <w:smallCaps w:val="0"/>
          <w:kern w:val="2"/>
          <w:sz w:val="21"/>
          <w:szCs w:val="22"/>
        </w:rPr>
      </w:pPr>
      <w:r>
        <w:fldChar w:fldCharType="begin"/>
      </w:r>
      <w:r>
        <w:instrText xml:space="preserve"> HYPERLINK \l "_Toc2786236" </w:instrText>
      </w:r>
      <w:r>
        <w:fldChar w:fldCharType="separate"/>
      </w:r>
      <w:r>
        <w:rPr>
          <w:rStyle w:val="49"/>
        </w:rPr>
        <w:t>2.4</w:t>
      </w:r>
      <w:r>
        <w:rPr>
          <w:rFonts w:hAnsiTheme="minorHAnsi" w:eastAsiaTheme="minorEastAsia" w:cstheme="minorBidi"/>
          <w:smallCaps w:val="0"/>
          <w:kern w:val="2"/>
          <w:sz w:val="21"/>
          <w:szCs w:val="22"/>
        </w:rPr>
        <w:tab/>
      </w:r>
      <w:r>
        <w:rPr>
          <w:rStyle w:val="49"/>
        </w:rPr>
        <w:t>交付件要求</w:t>
      </w:r>
      <w:r>
        <w:tab/>
      </w:r>
      <w:r>
        <w:fldChar w:fldCharType="begin"/>
      </w:r>
      <w:r>
        <w:instrText xml:space="preserve"> PAGEREF _Toc2786236 \h </w:instrText>
      </w:r>
      <w:r>
        <w:fldChar w:fldCharType="separate"/>
      </w:r>
      <w:r>
        <w:t>13</w:t>
      </w:r>
      <w:r>
        <w:fldChar w:fldCharType="end"/>
      </w:r>
      <w:r>
        <w:fldChar w:fldCharType="end"/>
      </w:r>
    </w:p>
    <w:p>
      <w:pPr>
        <w:pStyle w:val="31"/>
        <w:tabs>
          <w:tab w:val="left" w:pos="630"/>
          <w:tab w:val="right" w:leader="dot" w:pos="8920"/>
        </w:tabs>
        <w:rPr>
          <w:rFonts w:hAnsiTheme="minorHAnsi" w:eastAsiaTheme="minorEastAsia" w:cstheme="minorBidi"/>
          <w:b w:val="0"/>
          <w:bCs w:val="0"/>
          <w:caps w:val="0"/>
          <w:kern w:val="2"/>
          <w:sz w:val="21"/>
          <w:szCs w:val="22"/>
        </w:rPr>
      </w:pPr>
      <w:r>
        <w:fldChar w:fldCharType="begin"/>
      </w:r>
      <w:r>
        <w:instrText xml:space="preserve"> HYPERLINK \l "_Toc2786237" </w:instrText>
      </w:r>
      <w:r>
        <w:fldChar w:fldCharType="separate"/>
      </w:r>
      <w:r>
        <w:rPr>
          <w:rStyle w:val="49"/>
        </w:rPr>
        <w:t>三.</w:t>
      </w:r>
      <w:r>
        <w:rPr>
          <w:rFonts w:hAnsiTheme="minorHAnsi" w:eastAsiaTheme="minorEastAsia" w:cstheme="minorBidi"/>
          <w:b w:val="0"/>
          <w:bCs w:val="0"/>
          <w:caps w:val="0"/>
          <w:kern w:val="2"/>
          <w:sz w:val="21"/>
          <w:szCs w:val="22"/>
        </w:rPr>
        <w:tab/>
      </w:r>
      <w:r>
        <w:rPr>
          <w:rStyle w:val="49"/>
        </w:rPr>
        <w:t>评分表</w:t>
      </w:r>
      <w:r>
        <w:tab/>
      </w:r>
      <w:r>
        <w:fldChar w:fldCharType="begin"/>
      </w:r>
      <w:r>
        <w:instrText xml:space="preserve"> PAGEREF _Toc2786237 \h </w:instrText>
      </w:r>
      <w:r>
        <w:fldChar w:fldCharType="separate"/>
      </w:r>
      <w:r>
        <w:t>14</w:t>
      </w:r>
      <w:r>
        <w:fldChar w:fldCharType="end"/>
      </w:r>
      <w:r>
        <w:fldChar w:fldCharType="end"/>
      </w:r>
    </w:p>
    <w:p>
      <w:pPr>
        <w:pStyle w:val="36"/>
        <w:tabs>
          <w:tab w:val="left" w:pos="840"/>
          <w:tab w:val="right" w:leader="dot" w:pos="8920"/>
        </w:tabs>
        <w:rPr>
          <w:rFonts w:hAnsiTheme="minorHAnsi" w:eastAsiaTheme="minorEastAsia" w:cstheme="minorBidi"/>
          <w:smallCaps w:val="0"/>
          <w:kern w:val="2"/>
          <w:sz w:val="21"/>
          <w:szCs w:val="22"/>
        </w:rPr>
      </w:pPr>
      <w:r>
        <w:fldChar w:fldCharType="begin"/>
      </w:r>
      <w:r>
        <w:instrText xml:space="preserve"> HYPERLINK \l "_Toc2786238" </w:instrText>
      </w:r>
      <w:r>
        <w:fldChar w:fldCharType="separate"/>
      </w:r>
      <w:r>
        <w:rPr>
          <w:rStyle w:val="49"/>
        </w:rPr>
        <w:t>3.1</w:t>
      </w:r>
      <w:r>
        <w:rPr>
          <w:rFonts w:hAnsiTheme="minorHAnsi" w:eastAsiaTheme="minorEastAsia" w:cstheme="minorBidi"/>
          <w:smallCaps w:val="0"/>
          <w:kern w:val="2"/>
          <w:sz w:val="21"/>
          <w:szCs w:val="22"/>
        </w:rPr>
        <w:tab/>
      </w:r>
      <w:r>
        <w:rPr>
          <w:rStyle w:val="49"/>
        </w:rPr>
        <w:t>商务评分表</w:t>
      </w:r>
      <w:r>
        <w:tab/>
      </w:r>
      <w:r>
        <w:fldChar w:fldCharType="begin"/>
      </w:r>
      <w:r>
        <w:instrText xml:space="preserve"> PAGEREF _Toc2786238 \h </w:instrText>
      </w:r>
      <w:r>
        <w:fldChar w:fldCharType="separate"/>
      </w:r>
      <w:r>
        <w:t>14</w:t>
      </w:r>
      <w:r>
        <w:fldChar w:fldCharType="end"/>
      </w:r>
      <w:r>
        <w:fldChar w:fldCharType="end"/>
      </w:r>
    </w:p>
    <w:p>
      <w:pPr>
        <w:pStyle w:val="36"/>
        <w:tabs>
          <w:tab w:val="left" w:pos="840"/>
          <w:tab w:val="right" w:leader="dot" w:pos="8920"/>
        </w:tabs>
        <w:rPr>
          <w:rFonts w:hAnsiTheme="minorHAnsi" w:eastAsiaTheme="minorEastAsia" w:cstheme="minorBidi"/>
          <w:smallCaps w:val="0"/>
          <w:kern w:val="2"/>
          <w:sz w:val="21"/>
          <w:szCs w:val="22"/>
        </w:rPr>
      </w:pPr>
      <w:r>
        <w:fldChar w:fldCharType="begin"/>
      </w:r>
      <w:r>
        <w:instrText xml:space="preserve"> HYPERLINK \l "_Toc2786239" </w:instrText>
      </w:r>
      <w:r>
        <w:fldChar w:fldCharType="separate"/>
      </w:r>
      <w:r>
        <w:rPr>
          <w:rStyle w:val="49"/>
        </w:rPr>
        <w:t>3.2</w:t>
      </w:r>
      <w:r>
        <w:rPr>
          <w:rFonts w:hAnsiTheme="minorHAnsi" w:eastAsiaTheme="minorEastAsia" w:cstheme="minorBidi"/>
          <w:smallCaps w:val="0"/>
          <w:kern w:val="2"/>
          <w:sz w:val="21"/>
          <w:szCs w:val="22"/>
        </w:rPr>
        <w:tab/>
      </w:r>
      <w:r>
        <w:rPr>
          <w:rStyle w:val="49"/>
        </w:rPr>
        <w:t>技术评分表</w:t>
      </w:r>
      <w:r>
        <w:tab/>
      </w:r>
      <w:r>
        <w:fldChar w:fldCharType="begin"/>
      </w:r>
      <w:r>
        <w:instrText xml:space="preserve"> PAGEREF _Toc2786239 \h </w:instrText>
      </w:r>
      <w:r>
        <w:fldChar w:fldCharType="separate"/>
      </w:r>
      <w:r>
        <w:t>14</w:t>
      </w:r>
      <w:r>
        <w:fldChar w:fldCharType="end"/>
      </w:r>
      <w:r>
        <w:fldChar w:fldCharType="end"/>
      </w:r>
    </w:p>
    <w:p>
      <w:pPr>
        <w:rPr>
          <w:rFonts w:ascii="宋体" w:hAnsi="Arial" w:cs="Arial"/>
          <w:color w:val="000000"/>
          <w:sz w:val="30"/>
          <w:szCs w:val="30"/>
        </w:rPr>
      </w:pPr>
      <w:r>
        <w:rPr>
          <w:rFonts w:ascii="宋体" w:hAnsi="Arial" w:cs="Arial" w:eastAsiaTheme="minorHAnsi"/>
          <w:b/>
          <w:bCs/>
          <w:caps/>
          <w:color w:val="000000"/>
          <w:sz w:val="30"/>
          <w:szCs w:val="30"/>
        </w:rPr>
        <w:fldChar w:fldCharType="end"/>
      </w:r>
      <w:r>
        <w:rPr>
          <w:rFonts w:ascii="宋体" w:hAnsi="Arial" w:cs="Arial"/>
          <w:color w:val="000000"/>
          <w:sz w:val="30"/>
          <w:szCs w:val="30"/>
        </w:rPr>
        <w:br w:type="page"/>
      </w:r>
    </w:p>
    <w:p>
      <w:pPr>
        <w:rPr>
          <w:rFonts w:ascii="宋体" w:hAnsi="Arial" w:cs="Arial"/>
          <w:b/>
          <w:color w:val="000000"/>
          <w:sz w:val="30"/>
          <w:szCs w:val="30"/>
        </w:rPr>
      </w:pPr>
    </w:p>
    <w:p>
      <w:pPr>
        <w:pStyle w:val="84"/>
        <w:spacing w:line="460" w:lineRule="exact"/>
        <w:outlineLvl w:val="0"/>
        <w:rPr>
          <w:rFonts w:ascii="宋体" w:hAnsi="Arial" w:eastAsia="宋体" w:cs="Arial"/>
          <w:color w:val="000000"/>
          <w:sz w:val="30"/>
          <w:szCs w:val="30"/>
        </w:rPr>
      </w:pPr>
      <w:bookmarkStart w:id="18" w:name="_Toc2786225"/>
      <w:r>
        <w:rPr>
          <w:rFonts w:hint="eastAsia" w:ascii="宋体" w:hAnsi="Arial" w:eastAsia="宋体" w:cs="Arial"/>
          <w:color w:val="000000"/>
          <w:sz w:val="30"/>
          <w:szCs w:val="30"/>
        </w:rPr>
        <w:t>总   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84"/>
        <w:spacing w:line="460" w:lineRule="exact"/>
        <w:rPr>
          <w:rFonts w:ascii="宋体" w:hAnsi="Arial" w:eastAsia="宋体" w:cs="Arial"/>
          <w:color w:val="000000"/>
          <w:sz w:val="28"/>
          <w:szCs w:val="28"/>
        </w:rPr>
      </w:pPr>
    </w:p>
    <w:p>
      <w:pPr>
        <w:numPr>
          <w:ilvl w:val="6"/>
          <w:numId w:val="5"/>
        </w:numPr>
        <w:tabs>
          <w:tab w:val="left" w:pos="424"/>
          <w:tab w:val="clear" w:pos="3240"/>
        </w:tabs>
        <w:spacing w:line="360" w:lineRule="auto"/>
        <w:ind w:left="425" w:hanging="425"/>
        <w:rPr>
          <w:rFonts w:ascii="宋体" w:hAnsi="宋体"/>
          <w:color w:val="000000"/>
          <w:szCs w:val="21"/>
          <w:u w:val="single"/>
        </w:rPr>
      </w:pPr>
      <w:r>
        <w:rPr>
          <w:rFonts w:hint="eastAsia" w:ascii="宋体" w:hAnsi="宋体"/>
          <w:color w:val="000000"/>
          <w:szCs w:val="21"/>
          <w:u w:val="single"/>
        </w:rPr>
        <w:t>本项目报价应包括：产品价格、专业安全服务费用及</w:t>
      </w:r>
      <w:r>
        <w:rPr>
          <w:rFonts w:hint="eastAsia" w:ascii="宋体"/>
          <w:color w:val="000000"/>
          <w:u w:val="single"/>
        </w:rPr>
        <w:t>维护期内售后服务费用、税费等在内的全包费用。</w:t>
      </w:r>
    </w:p>
    <w:p>
      <w:pPr>
        <w:numPr>
          <w:ilvl w:val="6"/>
          <w:numId w:val="5"/>
        </w:numPr>
        <w:tabs>
          <w:tab w:val="left" w:pos="424"/>
          <w:tab w:val="clear" w:pos="3240"/>
        </w:tabs>
        <w:spacing w:line="360" w:lineRule="auto"/>
        <w:ind w:left="425" w:hanging="425"/>
        <w:rPr>
          <w:rFonts w:ascii="宋体" w:hAnsi="宋体"/>
          <w:color w:val="000000"/>
          <w:szCs w:val="21"/>
        </w:rPr>
      </w:pPr>
      <w:r>
        <w:rPr>
          <w:rFonts w:hint="eastAsia" w:ascii="宋体" w:hAnsi="宋体"/>
          <w:color w:val="000000"/>
          <w:szCs w:val="21"/>
        </w:rPr>
        <w:t>项</w:t>
      </w:r>
      <w:r>
        <w:rPr>
          <w:rFonts w:ascii="宋体" w:hAnsi="宋体"/>
          <w:color w:val="000000"/>
          <w:szCs w:val="21"/>
        </w:rPr>
        <w:t>目需求书中打“★”号条款为实质性条款，凡标有"★”的地方均被视为重要的技术指标要求或性能要求。供应商要特别加以注意，必须对此应答并完全满足这些要求，若有一项带“★”的指标未响应或不满足，将按投标无效处理。用户需求书中打“▲”号条款为重要技术参数，</w:t>
      </w:r>
      <w:r>
        <w:rPr>
          <w:rFonts w:hint="eastAsia" w:ascii="宋体" w:hAnsi="宋体"/>
          <w:color w:val="000000"/>
          <w:szCs w:val="21"/>
        </w:rPr>
        <w:t>若投标人对该内容不满足或有任何偏离将被扣除技术评分，一项不满足扣5分，扣完为止。</w:t>
      </w:r>
    </w:p>
    <w:p>
      <w:pPr>
        <w:numPr>
          <w:ilvl w:val="6"/>
          <w:numId w:val="5"/>
        </w:numPr>
        <w:tabs>
          <w:tab w:val="left" w:pos="424"/>
          <w:tab w:val="clear" w:pos="3240"/>
        </w:tabs>
        <w:spacing w:line="360" w:lineRule="auto"/>
        <w:ind w:left="425" w:hanging="425"/>
        <w:rPr>
          <w:rFonts w:ascii="宋体" w:hAnsi="宋体"/>
          <w:color w:val="000000"/>
          <w:szCs w:val="21"/>
        </w:rPr>
      </w:pPr>
      <w:r>
        <w:rPr>
          <w:rFonts w:hint="eastAsia" w:ascii="Arial" w:hAnsi="Arial"/>
          <w:color w:val="000000"/>
          <w:szCs w:val="21"/>
        </w:rPr>
        <w:t>招标人有权在签订合同时对项目方案作适当修改调整。</w:t>
      </w:r>
      <w:r>
        <w:rPr>
          <w:rFonts w:hint="eastAsia" w:ascii="Arial" w:hAnsi="Arial"/>
          <w:color w:val="000000"/>
        </w:rPr>
        <w:t>除经招标人同意外，中标人</w:t>
      </w:r>
      <w:r>
        <w:rPr>
          <w:rFonts w:hint="eastAsia" w:ascii="宋体" w:hAnsi="宋体"/>
          <w:color w:val="000000"/>
        </w:rPr>
        <w:t>不得再以任何方式转包或分包。</w:t>
      </w:r>
    </w:p>
    <w:p>
      <w:pPr>
        <w:numPr>
          <w:ilvl w:val="6"/>
          <w:numId w:val="5"/>
        </w:numPr>
        <w:tabs>
          <w:tab w:val="left" w:pos="424"/>
          <w:tab w:val="clear" w:pos="3240"/>
        </w:tabs>
        <w:spacing w:line="360" w:lineRule="auto"/>
        <w:ind w:left="425" w:hanging="425"/>
        <w:rPr>
          <w:rFonts w:ascii="宋体" w:hAnsi="宋体"/>
          <w:color w:val="000000"/>
        </w:rPr>
      </w:pPr>
      <w:r>
        <w:rPr>
          <w:rFonts w:hint="eastAsia" w:ascii="宋体" w:hAnsi="宋体"/>
          <w:color w:val="000000"/>
        </w:rPr>
        <w:t>本项目由中标人承包及负责招标文件对中标人要求的一切事宜及责任。</w:t>
      </w:r>
    </w:p>
    <w:p>
      <w:pPr>
        <w:tabs>
          <w:tab w:val="left" w:pos="424"/>
        </w:tabs>
        <w:spacing w:line="360" w:lineRule="auto"/>
        <w:rPr>
          <w:rFonts w:ascii="宋体" w:hAnsi="宋体"/>
          <w:color w:val="000000"/>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tabs>
          <w:tab w:val="left" w:pos="424"/>
        </w:tabs>
        <w:spacing w:line="360" w:lineRule="auto"/>
        <w:rPr>
          <w:rFonts w:ascii="宋体" w:hAnsi="宋体" w:cs="宋体"/>
          <w:color w:val="000000"/>
          <w:szCs w:val="21"/>
        </w:rPr>
      </w:pPr>
    </w:p>
    <w:p>
      <w:pPr>
        <w:pStyle w:val="40"/>
        <w:numPr>
          <w:ilvl w:val="0"/>
          <w:numId w:val="6"/>
        </w:numPr>
        <w:spacing w:line="360" w:lineRule="auto"/>
        <w:ind w:left="709" w:hanging="709"/>
        <w:jc w:val="left"/>
      </w:pPr>
      <w:bookmarkStart w:id="19" w:name="_Toc2786226"/>
      <w:r>
        <w:rPr>
          <w:rFonts w:hint="eastAsia"/>
        </w:rPr>
        <w:t>项目要求</w:t>
      </w:r>
      <w:bookmarkEnd w:id="19"/>
    </w:p>
    <w:p>
      <w:pPr>
        <w:pStyle w:val="5"/>
      </w:pPr>
      <w:bookmarkStart w:id="20" w:name="_Toc2786227"/>
      <w:r>
        <w:rPr>
          <w:rFonts w:hint="eastAsia"/>
        </w:rPr>
        <w:t>现状</w:t>
      </w:r>
      <w:bookmarkEnd w:id="20"/>
    </w:p>
    <w:p>
      <w:pPr>
        <w:autoSpaceDN w:val="0"/>
        <w:spacing w:line="408" w:lineRule="auto"/>
        <w:ind w:firstLine="480" w:firstLineChars="200"/>
        <w:rPr>
          <w:rFonts w:ascii="宋体" w:hAnsi="宋体"/>
          <w:color w:val="333333"/>
          <w:sz w:val="24"/>
        </w:rPr>
      </w:pPr>
      <w:r>
        <w:rPr>
          <w:rFonts w:ascii="宋体" w:hAnsi="宋体"/>
          <w:color w:val="333333"/>
          <w:sz w:val="24"/>
        </w:rPr>
        <w:t>医疗信息技术应用结合计算机网络系统给</w:t>
      </w:r>
      <w:r>
        <w:rPr>
          <w:rFonts w:hint="eastAsia" w:ascii="宋体" w:hAnsi="宋体"/>
          <w:color w:val="333333"/>
          <w:sz w:val="24"/>
        </w:rPr>
        <w:t>深圳市儿童医院</w:t>
      </w:r>
      <w:r>
        <w:rPr>
          <w:rFonts w:ascii="宋体" w:hAnsi="宋体"/>
          <w:color w:val="333333"/>
          <w:sz w:val="24"/>
        </w:rPr>
        <w:t>的医疗业务带来了效率和效益，但由于计算机网络系统的开放性，也使得医院内各部门计算机操作系统及医疗业务应用系统存在一定的安全漏洞和安全隐患。医院的计算机网络系统不是无懈可击的，各种安全隐患时刻威胁着医院的信息化发展。</w:t>
      </w:r>
    </w:p>
    <w:p>
      <w:pPr>
        <w:autoSpaceDN w:val="0"/>
        <w:spacing w:line="408" w:lineRule="auto"/>
        <w:ind w:firstLine="480" w:firstLineChars="200"/>
        <w:rPr>
          <w:rFonts w:ascii="宋体" w:hAnsi="宋体"/>
          <w:color w:val="333333"/>
          <w:sz w:val="24"/>
        </w:rPr>
      </w:pPr>
      <w:r>
        <w:rPr>
          <w:rFonts w:hint="eastAsia" w:ascii="宋体" w:hAnsi="宋体"/>
          <w:color w:val="333333"/>
          <w:sz w:val="24"/>
        </w:rPr>
        <w:t>深圳市儿童医院</w:t>
      </w:r>
      <w:r>
        <w:rPr>
          <w:rFonts w:ascii="宋体" w:hAnsi="宋体"/>
          <w:color w:val="333333"/>
          <w:sz w:val="24"/>
        </w:rPr>
        <w:t>中对计算机网络安全以及病毒防御需要整体的安全策略，同时医院中的办公自动化系统、数据库系统、网站邮件系统、网络管理中心应用服务HIS、LISPACS、CIS等业务系统的安全性也非常重要。整体的病毒防御安全策略的制定和实施不仅是对医院内的业务终端算机系统，还包含医院内各个医疗业务系统以及对外应用服务系统的安全。</w:t>
      </w:r>
    </w:p>
    <w:p>
      <w:pPr>
        <w:autoSpaceDN w:val="0"/>
        <w:spacing w:line="408" w:lineRule="auto"/>
        <w:ind w:firstLine="480" w:firstLineChars="200"/>
        <w:rPr>
          <w:rFonts w:ascii="宋体" w:hAnsi="宋体"/>
          <w:color w:val="333333"/>
          <w:sz w:val="24"/>
        </w:rPr>
      </w:pPr>
      <w:r>
        <w:rPr>
          <w:rFonts w:hint="eastAsia" w:ascii="宋体" w:hAnsi="宋体"/>
          <w:color w:val="333333"/>
          <w:sz w:val="24"/>
        </w:rPr>
        <w:t>深圳市儿童医院目前</w:t>
      </w:r>
      <w:r>
        <w:rPr>
          <w:rFonts w:ascii="宋体" w:hAnsi="宋体"/>
          <w:color w:val="333333"/>
          <w:sz w:val="24"/>
        </w:rPr>
        <w:t>有大量的服务器和</w:t>
      </w:r>
      <w:r>
        <w:rPr>
          <w:rFonts w:hint="eastAsia" w:ascii="宋体" w:hAnsi="宋体"/>
          <w:color w:val="333333"/>
          <w:sz w:val="24"/>
        </w:rPr>
        <w:t>终端</w:t>
      </w:r>
      <w:r>
        <w:rPr>
          <w:rFonts w:ascii="宋体" w:hAnsi="宋体"/>
          <w:color w:val="333333"/>
          <w:sz w:val="24"/>
        </w:rPr>
        <w:t>计算机</w:t>
      </w:r>
      <w:r>
        <w:rPr>
          <w:rFonts w:ascii="宋体" w:hAnsi="宋体"/>
          <w:color w:val="000000" w:themeColor="text1"/>
          <w:sz w:val="24"/>
          <w14:textFill>
            <w14:solidFill>
              <w14:schemeClr w14:val="tx1"/>
            </w14:solidFill>
          </w14:textFill>
        </w:rPr>
        <w:t>，但</w:t>
      </w:r>
      <w:r>
        <w:rPr>
          <w:rFonts w:ascii="宋体" w:hAnsi="宋体"/>
          <w:color w:val="333333"/>
          <w:sz w:val="24"/>
        </w:rPr>
        <w:t>病毒等恶意程序通过多种途径进入到医院内网</w:t>
      </w:r>
      <w:r>
        <w:rPr>
          <w:rFonts w:hint="eastAsia" w:ascii="宋体" w:hAnsi="宋体"/>
          <w:color w:val="333333"/>
          <w:sz w:val="24"/>
        </w:rPr>
        <w:t>和外网</w:t>
      </w:r>
      <w:r>
        <w:rPr>
          <w:rFonts w:ascii="宋体" w:hAnsi="宋体"/>
          <w:color w:val="333333"/>
          <w:sz w:val="24"/>
        </w:rPr>
        <w:t>中</w:t>
      </w:r>
      <w:r>
        <w:rPr>
          <w:rFonts w:hint="eastAsia" w:ascii="宋体" w:hAnsi="宋体"/>
          <w:color w:val="333333"/>
          <w:sz w:val="24"/>
        </w:rPr>
        <w:t>，</w:t>
      </w:r>
      <w:r>
        <w:rPr>
          <w:rFonts w:ascii="宋体" w:hAnsi="宋体"/>
          <w:color w:val="333333"/>
          <w:sz w:val="24"/>
        </w:rPr>
        <w:t>院内很多计算机安装使用了杀毒软件，虽然可以对病毒起到一定的防御作用，但</w:t>
      </w:r>
      <w:r>
        <w:rPr>
          <w:rFonts w:hint="eastAsia" w:ascii="宋体" w:hAnsi="宋体"/>
          <w:color w:val="333333"/>
          <w:sz w:val="24"/>
        </w:rPr>
        <w:t>目前</w:t>
      </w:r>
      <w:r>
        <w:rPr>
          <w:rFonts w:ascii="宋体" w:hAnsi="宋体"/>
          <w:color w:val="333333"/>
          <w:sz w:val="24"/>
        </w:rPr>
        <w:t>杀毒软件在查杀病毒效果上并不理想甚至无法彻底清除恶意程序。</w:t>
      </w:r>
      <w:r>
        <w:rPr>
          <w:rFonts w:hint="eastAsia" w:ascii="宋体" w:hAnsi="宋体"/>
          <w:color w:val="333333"/>
          <w:sz w:val="24"/>
        </w:rPr>
        <w:t>为了</w:t>
      </w:r>
      <w:r>
        <w:rPr>
          <w:rFonts w:ascii="宋体" w:hAnsi="宋体"/>
          <w:color w:val="333333"/>
          <w:sz w:val="24"/>
        </w:rPr>
        <w:t>配合</w:t>
      </w:r>
      <w:r>
        <w:rPr>
          <w:rFonts w:hint="eastAsia" w:ascii="宋体" w:hAnsi="宋体"/>
          <w:color w:val="333333"/>
          <w:sz w:val="24"/>
        </w:rPr>
        <w:t>医院</w:t>
      </w:r>
      <w:r>
        <w:rPr>
          <w:rFonts w:ascii="宋体" w:hAnsi="宋体"/>
          <w:color w:val="333333"/>
          <w:sz w:val="24"/>
        </w:rPr>
        <w:t>快速发展的步伐</w:t>
      </w:r>
      <w:r>
        <w:rPr>
          <w:rFonts w:hint="eastAsia" w:ascii="宋体" w:hAnsi="宋体"/>
          <w:color w:val="333333"/>
          <w:sz w:val="24"/>
        </w:rPr>
        <w:t>和</w:t>
      </w:r>
      <w:r>
        <w:rPr>
          <w:rFonts w:ascii="宋体" w:hAnsi="宋体"/>
          <w:color w:val="333333"/>
          <w:sz w:val="24"/>
        </w:rPr>
        <w:t>业务增长的趋势</w:t>
      </w:r>
      <w:r>
        <w:rPr>
          <w:rFonts w:hint="eastAsia" w:ascii="宋体" w:hAnsi="宋体"/>
          <w:color w:val="333333"/>
          <w:sz w:val="24"/>
        </w:rPr>
        <w:t>，因此</w:t>
      </w:r>
      <w:r>
        <w:rPr>
          <w:rFonts w:ascii="宋体" w:hAnsi="宋体"/>
          <w:color w:val="333333"/>
          <w:sz w:val="24"/>
        </w:rPr>
        <w:t>需要在</w:t>
      </w:r>
      <w:r>
        <w:rPr>
          <w:rFonts w:hint="eastAsia" w:ascii="宋体" w:hAnsi="宋体"/>
          <w:color w:val="333333"/>
          <w:sz w:val="24"/>
        </w:rPr>
        <w:t>医院</w:t>
      </w:r>
      <w:r>
        <w:rPr>
          <w:rFonts w:ascii="宋体" w:hAnsi="宋体"/>
          <w:color w:val="333333"/>
          <w:sz w:val="24"/>
        </w:rPr>
        <w:t>网络</w:t>
      </w:r>
      <w:r>
        <w:rPr>
          <w:rFonts w:hint="eastAsia" w:ascii="宋体" w:hAnsi="宋体"/>
          <w:color w:val="333333"/>
          <w:sz w:val="24"/>
        </w:rPr>
        <w:t>中</w:t>
      </w:r>
      <w:r>
        <w:rPr>
          <w:rFonts w:ascii="宋体" w:hAnsi="宋体"/>
          <w:color w:val="333333"/>
          <w:sz w:val="24"/>
        </w:rPr>
        <w:t>部署</w:t>
      </w:r>
      <w:r>
        <w:rPr>
          <w:rFonts w:hint="eastAsia" w:ascii="宋体" w:hAnsi="宋体"/>
          <w:color w:val="333333"/>
          <w:sz w:val="24"/>
        </w:rPr>
        <w:t>一套安全防护解决方案，解决方案</w:t>
      </w:r>
      <w:r>
        <w:rPr>
          <w:rFonts w:ascii="宋体" w:hAnsi="宋体"/>
          <w:color w:val="333333"/>
          <w:sz w:val="24"/>
        </w:rPr>
        <w:t>可以集中管理</w:t>
      </w:r>
      <w:r>
        <w:rPr>
          <w:rFonts w:hint="eastAsia" w:ascii="宋体" w:hAnsi="宋体"/>
          <w:color w:val="333333"/>
          <w:sz w:val="24"/>
        </w:rPr>
        <w:t>和防护</w:t>
      </w:r>
      <w:r>
        <w:rPr>
          <w:rFonts w:ascii="宋体" w:hAnsi="宋体"/>
          <w:color w:val="333333"/>
          <w:sz w:val="24"/>
        </w:rPr>
        <w:t>所有物理</w:t>
      </w:r>
      <w:r>
        <w:rPr>
          <w:rFonts w:hint="eastAsia" w:ascii="宋体" w:hAnsi="宋体"/>
          <w:color w:val="333333"/>
          <w:sz w:val="24"/>
        </w:rPr>
        <w:t>终端</w:t>
      </w:r>
      <w:r>
        <w:rPr>
          <w:rFonts w:ascii="宋体" w:hAnsi="宋体"/>
          <w:color w:val="333333"/>
          <w:sz w:val="24"/>
        </w:rPr>
        <w:t>、</w:t>
      </w:r>
      <w:r>
        <w:rPr>
          <w:rFonts w:hint="eastAsia" w:ascii="宋体" w:hAnsi="宋体"/>
          <w:color w:val="333333"/>
          <w:sz w:val="24"/>
        </w:rPr>
        <w:t>服务器等</w:t>
      </w:r>
      <w:r>
        <w:rPr>
          <w:rFonts w:ascii="宋体" w:hAnsi="宋体"/>
          <w:color w:val="333333"/>
          <w:sz w:val="24"/>
        </w:rPr>
        <w:t>系统</w:t>
      </w:r>
      <w:r>
        <w:rPr>
          <w:rFonts w:hint="eastAsia" w:ascii="宋体" w:hAnsi="宋体"/>
          <w:color w:val="333333"/>
          <w:sz w:val="24"/>
        </w:rPr>
        <w:t>安全</w:t>
      </w:r>
      <w:r>
        <w:rPr>
          <w:rFonts w:ascii="宋体" w:hAnsi="宋体"/>
          <w:color w:val="333333"/>
          <w:sz w:val="24"/>
        </w:rPr>
        <w:t>。</w:t>
      </w:r>
    </w:p>
    <w:p>
      <w:pPr>
        <w:pStyle w:val="5"/>
      </w:pPr>
      <w:bookmarkStart w:id="21" w:name="_Toc521937661"/>
      <w:bookmarkStart w:id="22" w:name="_Toc2786228"/>
      <w:r>
        <w:rPr>
          <w:rFonts w:hint="eastAsia"/>
        </w:rPr>
        <w:t>需求</w:t>
      </w:r>
      <w:bookmarkEnd w:id="21"/>
      <w:bookmarkEnd w:id="22"/>
    </w:p>
    <w:p>
      <w:pPr>
        <w:autoSpaceDN w:val="0"/>
        <w:spacing w:line="408" w:lineRule="auto"/>
        <w:ind w:firstLine="480" w:firstLineChars="200"/>
        <w:rPr>
          <w:rFonts w:ascii="宋体" w:hAnsi="宋体"/>
          <w:color w:val="333333"/>
          <w:sz w:val="24"/>
        </w:rPr>
      </w:pPr>
      <w:r>
        <w:rPr>
          <w:rFonts w:hint="eastAsia" w:ascii="宋体" w:hAnsi="宋体"/>
          <w:color w:val="333333"/>
          <w:sz w:val="24"/>
        </w:rPr>
        <w:t>针对杀毒项目建设，概括汇总需求如下：</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满足用户需求为第一</w:t>
      </w:r>
    </w:p>
    <w:p>
      <w:pPr>
        <w:spacing w:before="120" w:beforeLines="50" w:after="120" w:afterLines="50" w:line="360" w:lineRule="auto"/>
        <w:ind w:firstLine="480" w:firstLineChars="200"/>
        <w:rPr>
          <w:rFonts w:ascii="新宋体" w:hAnsi="新宋体" w:eastAsia="新宋体"/>
          <w:sz w:val="24"/>
        </w:rPr>
      </w:pPr>
      <w:r>
        <w:rPr>
          <w:rFonts w:hint="eastAsia" w:ascii="新宋体" w:hAnsi="新宋体" w:eastAsia="新宋体"/>
          <w:sz w:val="24"/>
        </w:rPr>
        <w:t>针对</w:t>
      </w:r>
      <w:r>
        <w:rPr>
          <w:rFonts w:hint="eastAsia" w:ascii="宋体" w:hAnsi="宋体"/>
          <w:color w:val="333333"/>
          <w:sz w:val="24"/>
        </w:rPr>
        <w:t>深圳市儿童医院</w:t>
      </w:r>
      <w:r>
        <w:rPr>
          <w:rFonts w:hint="eastAsia" w:ascii="新宋体" w:hAnsi="新宋体" w:eastAsia="新宋体"/>
          <w:sz w:val="24"/>
        </w:rPr>
        <w:t>的具体应用情况，建立全方位的基础安全防护体系。</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简易的安装和配置操作</w:t>
      </w:r>
    </w:p>
    <w:p>
      <w:pPr>
        <w:spacing w:before="120" w:beforeLines="50" w:after="120" w:afterLines="50" w:line="360" w:lineRule="auto"/>
        <w:ind w:firstLine="480" w:firstLineChars="200"/>
        <w:rPr>
          <w:rFonts w:ascii="新宋体" w:hAnsi="新宋体" w:eastAsia="新宋体"/>
          <w:sz w:val="24"/>
        </w:rPr>
      </w:pPr>
      <w:r>
        <w:rPr>
          <w:rFonts w:hint="eastAsia" w:ascii="宋体" w:hAnsi="宋体"/>
          <w:color w:val="333333"/>
          <w:sz w:val="24"/>
        </w:rPr>
        <w:t>深圳市儿童医院的</w:t>
      </w:r>
      <w:r>
        <w:rPr>
          <w:rFonts w:hint="eastAsia" w:ascii="新宋体" w:hAnsi="新宋体" w:eastAsia="新宋体"/>
          <w:sz w:val="24"/>
        </w:rPr>
        <w:t>业务访问的稳定性、安全性十分重要，杀毒产品的安装和设置应尽量简易，充分考虑系统数据、文件的安全可靠性，所选产品与现有系统具有良好的一致性和兼容性，以及最低的系统资源占用，保证不对现有系统运行产生不良影响。</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可管理性</w:t>
      </w:r>
    </w:p>
    <w:p>
      <w:pPr>
        <w:spacing w:before="120" w:beforeLines="50" w:after="120" w:afterLines="50" w:line="360" w:lineRule="auto"/>
        <w:ind w:firstLine="480" w:firstLineChars="200"/>
        <w:rPr>
          <w:rFonts w:ascii="新宋体" w:hAnsi="新宋体" w:eastAsia="新宋体"/>
          <w:sz w:val="24"/>
        </w:rPr>
      </w:pPr>
      <w:r>
        <w:rPr>
          <w:rFonts w:hint="eastAsia" w:ascii="宋体" w:hAnsi="宋体"/>
          <w:color w:val="333333"/>
          <w:sz w:val="24"/>
        </w:rPr>
        <w:t>深圳市儿童医院</w:t>
      </w:r>
      <w:r>
        <w:rPr>
          <w:rFonts w:hint="eastAsia" w:ascii="新宋体" w:hAnsi="新宋体" w:eastAsia="新宋体"/>
          <w:sz w:val="24"/>
        </w:rPr>
        <w:t>日益重视其</w:t>
      </w:r>
      <w:r>
        <w:rPr>
          <w:rFonts w:ascii="新宋体" w:hAnsi="新宋体" w:eastAsia="新宋体"/>
          <w:sz w:val="24"/>
        </w:rPr>
        <w:t>IT</w:t>
      </w:r>
      <w:r>
        <w:rPr>
          <w:rFonts w:hint="eastAsia" w:ascii="新宋体" w:hAnsi="新宋体" w:eastAsia="新宋体"/>
          <w:sz w:val="24"/>
        </w:rPr>
        <w:t>环境的总体拥有成本（TCO）。在有限的人力资源情况下，IT管理员的工作是非常复杂和繁忙的，要管理好杀毒系统的安装、升级、配置和工作报告是一个非常繁琐的事情，因此产品本身应带有集成的、易用的管理工具，管理员可以从一个集中管理控制中心对整个杀毒系统进行监控管理和维护。</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软件的可升级性</w:t>
      </w:r>
    </w:p>
    <w:p>
      <w:pPr>
        <w:spacing w:before="120" w:beforeLines="50" w:after="120" w:afterLines="50" w:line="360" w:lineRule="auto"/>
        <w:ind w:firstLine="480" w:firstLineChars="200"/>
        <w:rPr>
          <w:rFonts w:ascii="新宋体" w:hAnsi="新宋体" w:eastAsia="新宋体"/>
          <w:sz w:val="24"/>
        </w:rPr>
      </w:pPr>
      <w:r>
        <w:rPr>
          <w:rFonts w:hint="eastAsia" w:ascii="新宋体" w:hAnsi="新宋体" w:eastAsia="新宋体"/>
          <w:sz w:val="24"/>
        </w:rPr>
        <w:t>可升级能力是衡量杀毒系统是否具有生命力的重要指标。杀毒软件的特点是随着各类新威胁的出现而必须尽快进行更新和升级，其中包括杀毒数据库和产品组件的更新。</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系统的可扩展性</w:t>
      </w:r>
    </w:p>
    <w:p>
      <w:pPr>
        <w:spacing w:before="120" w:beforeLines="50" w:after="120" w:afterLines="50" w:line="360" w:lineRule="auto"/>
        <w:ind w:firstLine="480" w:firstLineChars="200"/>
        <w:rPr>
          <w:rFonts w:ascii="新宋体" w:hAnsi="新宋体" w:eastAsia="新宋体"/>
          <w:sz w:val="24"/>
        </w:rPr>
      </w:pPr>
      <w:r>
        <w:rPr>
          <w:rFonts w:hint="eastAsia" w:ascii="新宋体" w:hAnsi="新宋体" w:eastAsia="新宋体"/>
          <w:sz w:val="24"/>
        </w:rPr>
        <w:t>在信息时代，</w:t>
      </w:r>
      <w:r>
        <w:rPr>
          <w:rFonts w:hint="eastAsia" w:ascii="宋体" w:hAnsi="宋体"/>
          <w:color w:val="333333"/>
          <w:sz w:val="24"/>
        </w:rPr>
        <w:t>深圳市儿童医院</w:t>
      </w:r>
      <w:r>
        <w:rPr>
          <w:rFonts w:hint="eastAsia" w:ascii="新宋体" w:hAnsi="新宋体" w:eastAsia="新宋体"/>
          <w:sz w:val="24"/>
        </w:rPr>
        <w:t>的信息系统都处于飞速膨胀的过程之中。杀毒系统也应适应企业的发展趋势，自身具有较大的可扩展能力。充分保护</w:t>
      </w:r>
      <w:r>
        <w:rPr>
          <w:rFonts w:hint="eastAsia" w:ascii="宋体" w:hAnsi="宋体"/>
          <w:color w:val="333333"/>
          <w:sz w:val="24"/>
        </w:rPr>
        <w:t>深圳市儿童医院</w:t>
      </w:r>
      <w:r>
        <w:rPr>
          <w:rFonts w:hint="eastAsia" w:ascii="新宋体" w:hAnsi="新宋体" w:eastAsia="新宋体"/>
          <w:sz w:val="24"/>
        </w:rPr>
        <w:t xml:space="preserve">的现有投资，适应计算机系统发展的需要。 </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降低系统总体成本</w:t>
      </w:r>
    </w:p>
    <w:p>
      <w:pPr>
        <w:spacing w:before="120" w:beforeLines="50" w:after="120" w:afterLines="50" w:line="360" w:lineRule="auto"/>
        <w:ind w:firstLine="480" w:firstLineChars="200"/>
        <w:rPr>
          <w:rFonts w:ascii="新宋体" w:hAnsi="新宋体" w:eastAsia="新宋体"/>
          <w:sz w:val="24"/>
        </w:rPr>
      </w:pPr>
      <w:r>
        <w:rPr>
          <w:rFonts w:hint="eastAsia" w:ascii="新宋体" w:hAnsi="新宋体" w:eastAsia="新宋体"/>
          <w:sz w:val="24"/>
        </w:rPr>
        <w:t>在让客户获得优质杀毒服务的同时，能够尽量减少所需增加的费用支出。可以在主管理服务器中建立多个虚拟管理服务器，全面而独立的管理子网络系统。</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强大的威胁清除能力</w:t>
      </w:r>
    </w:p>
    <w:p>
      <w:pPr>
        <w:spacing w:before="120" w:beforeLines="50" w:after="120" w:afterLines="50" w:line="360" w:lineRule="auto"/>
        <w:ind w:firstLine="480" w:firstLineChars="200"/>
        <w:rPr>
          <w:rFonts w:ascii="新宋体" w:hAnsi="新宋体" w:eastAsia="新宋体"/>
        </w:rPr>
      </w:pPr>
      <w:r>
        <w:rPr>
          <w:rFonts w:hint="eastAsia" w:ascii="新宋体" w:hAnsi="新宋体" w:eastAsia="新宋体"/>
          <w:sz w:val="24"/>
        </w:rPr>
        <w:t>如果选用的杀毒软件威胁清除能力较弱，在威胁爆发的情况下，管理员会为了彻底清除网络中的威胁而疲于奔命，即使采用威胁专用清除工具，在城域网或广域网中也存在工具的分发和终端用户是否使用的问题，这样在较长时间内整个城域网或广域网中威胁会一直存在。采用世界最先进的清除威胁能力较强的杀毒产品，可确保计算机网络系统具有最佳的威胁、黑客软件防护能力。同时也降低了管理人员的工作量和杀毒产品的维护成本。</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灵活的终端管理</w:t>
      </w:r>
    </w:p>
    <w:p>
      <w:pPr>
        <w:spacing w:before="120" w:beforeLines="50" w:after="120" w:afterLines="50" w:line="360" w:lineRule="auto"/>
        <w:ind w:firstLine="480" w:firstLineChars="200"/>
        <w:rPr>
          <w:rFonts w:ascii="新宋体" w:hAnsi="新宋体" w:eastAsia="新宋体"/>
          <w:sz w:val="24"/>
        </w:rPr>
      </w:pPr>
      <w:r>
        <w:rPr>
          <w:rFonts w:hint="eastAsia" w:ascii="新宋体" w:hAnsi="新宋体" w:eastAsia="新宋体"/>
          <w:sz w:val="24"/>
        </w:rPr>
        <w:t>对系统中的应用程序，外接设备，员工上网行为进行详细而灵活的管理。避免恶意程序通过外接设备在网络中传播，增强企业数据安全性，并提高员工的工作效率。</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优秀的产品性能</w:t>
      </w:r>
    </w:p>
    <w:p>
      <w:pPr>
        <w:spacing w:before="120" w:beforeLines="50" w:after="120" w:afterLines="50" w:line="360" w:lineRule="auto"/>
        <w:ind w:firstLine="480" w:firstLineChars="200"/>
        <w:rPr>
          <w:rFonts w:ascii="新宋体" w:hAnsi="新宋体" w:eastAsia="新宋体"/>
          <w:sz w:val="24"/>
        </w:rPr>
      </w:pPr>
      <w:r>
        <w:rPr>
          <w:rFonts w:hint="eastAsia" w:ascii="新宋体" w:hAnsi="新宋体" w:eastAsia="新宋体"/>
          <w:sz w:val="24"/>
        </w:rPr>
        <w:t>选用产品应具备对多种文件格式、多层压缩文件的威胁检测。对包括各种宏病毒、变种病毒和黑客程序等已知威胁具有最佳的威胁 检测率，对未知威胁亦有良好的检测能力。在提高威胁检测力的同时，对检测出的威胁也有很高的清除能力，依靠程序本身就可彻底清除感染文件的威胁，减轻管理人员对中毒事件的介入，把更多的精力放在构建完整的威胁防护体系和管理工作上。</w:t>
      </w:r>
    </w:p>
    <w:p>
      <w:pPr>
        <w:pStyle w:val="113"/>
        <w:numPr>
          <w:ilvl w:val="0"/>
          <w:numId w:val="7"/>
        </w:numPr>
        <w:spacing w:before="120" w:beforeLines="50" w:after="120" w:afterLines="50" w:line="360" w:lineRule="auto"/>
        <w:ind w:firstLine="6" w:firstLineChars="0"/>
        <w:rPr>
          <w:rFonts w:ascii="新宋体" w:hAnsi="新宋体" w:eastAsia="新宋体"/>
          <w:b/>
          <w:sz w:val="24"/>
        </w:rPr>
      </w:pPr>
      <w:r>
        <w:rPr>
          <w:rFonts w:hint="eastAsia" w:ascii="新宋体" w:hAnsi="新宋体" w:eastAsia="新宋体"/>
          <w:b/>
          <w:sz w:val="24"/>
        </w:rPr>
        <w:t>新威胁的快速响应</w:t>
      </w:r>
    </w:p>
    <w:p>
      <w:pPr>
        <w:spacing w:before="120" w:beforeLines="50" w:after="120" w:afterLines="50" w:line="360" w:lineRule="auto"/>
        <w:ind w:firstLine="480" w:firstLineChars="200"/>
        <w:rPr>
          <w:rFonts w:ascii="新宋体" w:hAnsi="新宋体" w:eastAsia="新宋体"/>
          <w:sz w:val="24"/>
        </w:rPr>
      </w:pPr>
      <w:r>
        <w:rPr>
          <w:rFonts w:ascii="新宋体" w:hAnsi="新宋体" w:eastAsia="新宋体"/>
          <w:sz w:val="24"/>
        </w:rPr>
        <w:t>全世界每天都在出现数以万计的新</w:t>
      </w:r>
      <w:r>
        <w:rPr>
          <w:rFonts w:hint="eastAsia" w:ascii="新宋体" w:hAnsi="新宋体" w:eastAsia="新宋体"/>
          <w:sz w:val="24"/>
        </w:rPr>
        <w:t>威胁</w:t>
      </w:r>
      <w:r>
        <w:rPr>
          <w:rFonts w:ascii="新宋体" w:hAnsi="新宋体" w:eastAsia="新宋体"/>
          <w:sz w:val="24"/>
        </w:rPr>
        <w:t>。新的木马和</w:t>
      </w:r>
      <w:r>
        <w:rPr>
          <w:rFonts w:hint="eastAsia" w:ascii="新宋体" w:hAnsi="新宋体" w:eastAsia="新宋体"/>
          <w:sz w:val="24"/>
        </w:rPr>
        <w:t>威胁</w:t>
      </w:r>
      <w:r>
        <w:rPr>
          <w:rFonts w:ascii="新宋体" w:hAnsi="新宋体" w:eastAsia="新宋体"/>
          <w:sz w:val="24"/>
        </w:rPr>
        <w:t>组成的每日常规威胁超过了数以万计电脑受到入侵而形成的僵尸网络的危害。</w:t>
      </w:r>
      <w:r>
        <w:rPr>
          <w:rFonts w:hint="eastAsia" w:ascii="新宋体" w:hAnsi="新宋体" w:eastAsia="新宋体"/>
          <w:sz w:val="24"/>
        </w:rPr>
        <w:t>而杀毒数据库达到每小时更新的频率，紧急情况下26分钟的全球用户更新，同时，结合先进的云技术，确保在任何新威胁出现的情况下通过快速高效的杀毒更新机制，使所有用户得到最大程度的杀毒保护。</w:t>
      </w:r>
    </w:p>
    <w:p>
      <w:pPr>
        <w:autoSpaceDN w:val="0"/>
        <w:spacing w:line="408" w:lineRule="auto"/>
        <w:ind w:firstLine="480" w:firstLineChars="200"/>
        <w:rPr>
          <w:rFonts w:ascii="新宋体" w:hAnsi="新宋体" w:eastAsia="新宋体"/>
          <w:sz w:val="24"/>
        </w:rPr>
      </w:pPr>
      <w:r>
        <w:rPr>
          <w:rFonts w:hint="eastAsia" w:ascii="新宋体" w:hAnsi="新宋体" w:eastAsia="新宋体"/>
          <w:sz w:val="24"/>
        </w:rPr>
        <w:t>因此对于整个网络而言，需要采取综合的防护措施，构筑全方位的安全保护系统，才能得到真正有效的系统安全。</w:t>
      </w:r>
    </w:p>
    <w:p>
      <w:pPr>
        <w:widowControl w:val="0"/>
        <w:autoSpaceDN w:val="0"/>
        <w:spacing w:line="408" w:lineRule="auto"/>
        <w:jc w:val="both"/>
        <w:rPr>
          <w:rFonts w:ascii="宋体" w:hAnsi="宋体"/>
          <w:sz w:val="24"/>
        </w:rPr>
      </w:pPr>
    </w:p>
    <w:p>
      <w:pPr>
        <w:pStyle w:val="5"/>
      </w:pPr>
      <w:bookmarkStart w:id="23" w:name="_Toc2786229"/>
      <w:r>
        <w:rPr>
          <w:rFonts w:hint="eastAsia"/>
        </w:rPr>
        <w:t>目标</w:t>
      </w:r>
      <w:bookmarkEnd w:id="23"/>
    </w:p>
    <w:p>
      <w:pPr>
        <w:spacing w:before="120" w:beforeLines="50" w:after="120" w:afterLines="50" w:line="360" w:lineRule="auto"/>
        <w:ind w:firstLine="480" w:firstLineChars="200"/>
        <w:rPr>
          <w:rFonts w:ascii="新宋体" w:hAnsi="新宋体" w:eastAsia="新宋体"/>
          <w:sz w:val="24"/>
        </w:rPr>
      </w:pPr>
      <w:r>
        <w:rPr>
          <w:rFonts w:hint="eastAsia" w:ascii="新宋体" w:hAnsi="新宋体" w:eastAsia="新宋体"/>
          <w:sz w:val="24"/>
        </w:rPr>
        <w:t>能够提供一个</w:t>
      </w:r>
      <w:r>
        <w:rPr>
          <w:rFonts w:ascii="新宋体" w:hAnsi="新宋体" w:eastAsia="新宋体"/>
          <w:sz w:val="24"/>
        </w:rPr>
        <w:t>创造性的解决方案，集中</w:t>
      </w:r>
      <w:r>
        <w:rPr>
          <w:rFonts w:hint="eastAsia" w:ascii="宋体" w:hAnsi="宋体"/>
          <w:color w:val="333333"/>
          <w:sz w:val="24"/>
        </w:rPr>
        <w:t>深圳市儿童医院</w:t>
      </w:r>
      <w:r>
        <w:rPr>
          <w:rFonts w:ascii="新宋体" w:hAnsi="新宋体" w:eastAsia="新宋体"/>
          <w:sz w:val="24"/>
        </w:rPr>
        <w:t>的所有系统安全操作管理之外，还可以自动化帮助IT管理员处理大部分日常工作，简化了IT管理员在安全方面的工作负载，使其从濒于应付日常繁杂的应急工作转变为对医院安全策略的定制工作中来。如精细化灵活的三大控制（应用程序、网页和外接设备），操作系统的部署和迁移（包括容易迁移到Windows 8/8.1/10），硬件和软件清单，机密数据加密，网络准入、漏洞扫描、补丁更新和其他IT操作，管理员可以在自己的工作地点通过最小的努力让这些工作自动执行，加固</w:t>
      </w:r>
      <w:r>
        <w:rPr>
          <w:rFonts w:hint="eastAsia" w:ascii="宋体" w:hAnsi="宋体"/>
          <w:color w:val="333333"/>
          <w:sz w:val="24"/>
        </w:rPr>
        <w:t>深圳市儿童医院</w:t>
      </w:r>
      <w:r>
        <w:rPr>
          <w:rFonts w:ascii="新宋体" w:hAnsi="新宋体" w:eastAsia="新宋体"/>
          <w:sz w:val="24"/>
        </w:rPr>
        <w:t>全网系统安全等级的同时提高工作效率。</w:t>
      </w:r>
    </w:p>
    <w:p>
      <w:pPr>
        <w:widowControl w:val="0"/>
        <w:spacing w:line="360" w:lineRule="auto"/>
        <w:ind w:left="709"/>
        <w:jc w:val="both"/>
        <w:rPr>
          <w:rFonts w:ascii="宋体" w:hAnsi="宋体"/>
          <w:szCs w:val="21"/>
        </w:rPr>
      </w:pPr>
    </w:p>
    <w:p>
      <w:pPr>
        <w:pStyle w:val="40"/>
        <w:numPr>
          <w:ilvl w:val="0"/>
          <w:numId w:val="6"/>
        </w:numPr>
        <w:spacing w:line="360" w:lineRule="auto"/>
        <w:ind w:left="709" w:hanging="709"/>
        <w:jc w:val="left"/>
      </w:pPr>
      <w:bookmarkStart w:id="24" w:name="_Toc2786230"/>
      <w:r>
        <w:rPr>
          <w:rFonts w:hint="eastAsia"/>
        </w:rPr>
        <w:t>技术指标</w:t>
      </w:r>
      <w:bookmarkEnd w:id="24"/>
    </w:p>
    <w:p>
      <w:pPr>
        <w:pStyle w:val="113"/>
        <w:keepNext/>
        <w:keepLines/>
        <w:numPr>
          <w:ilvl w:val="0"/>
          <w:numId w:val="2"/>
        </w:numPr>
        <w:adjustRightInd w:val="0"/>
        <w:snapToGrid w:val="0"/>
        <w:spacing w:before="120" w:beforeLines="50" w:after="120" w:afterLines="50" w:line="360" w:lineRule="exact"/>
        <w:ind w:firstLineChars="0"/>
        <w:outlineLvl w:val="1"/>
        <w:rPr>
          <w:rFonts w:ascii="宋体" w:hAnsi="宋体" w:cs="Arial"/>
          <w:b/>
          <w:vanish/>
          <w:sz w:val="28"/>
          <w:szCs w:val="24"/>
        </w:rPr>
      </w:pPr>
      <w:bookmarkStart w:id="25" w:name="_Toc510976388"/>
      <w:bookmarkEnd w:id="25"/>
      <w:bookmarkStart w:id="26" w:name="_Toc529175881"/>
      <w:bookmarkEnd w:id="26"/>
      <w:bookmarkStart w:id="27" w:name="_Toc529175781"/>
      <w:bookmarkEnd w:id="27"/>
      <w:bookmarkStart w:id="28" w:name="_Toc2785819"/>
      <w:bookmarkEnd w:id="28"/>
      <w:bookmarkStart w:id="29" w:name="_Toc2785841"/>
      <w:bookmarkEnd w:id="29"/>
      <w:bookmarkStart w:id="30" w:name="_Toc2786231"/>
      <w:bookmarkEnd w:id="30"/>
      <w:bookmarkStart w:id="31" w:name="_Toc529175927"/>
      <w:bookmarkEnd w:id="31"/>
      <w:bookmarkStart w:id="32" w:name="_Toc2786097"/>
      <w:bookmarkEnd w:id="32"/>
    </w:p>
    <w:p>
      <w:pPr>
        <w:pStyle w:val="113"/>
        <w:keepNext/>
        <w:keepLines/>
        <w:numPr>
          <w:ilvl w:val="0"/>
          <w:numId w:val="2"/>
        </w:numPr>
        <w:adjustRightInd w:val="0"/>
        <w:snapToGrid w:val="0"/>
        <w:spacing w:before="120" w:beforeLines="50" w:after="120" w:afterLines="50" w:line="360" w:lineRule="exact"/>
        <w:ind w:firstLineChars="0"/>
        <w:outlineLvl w:val="1"/>
        <w:rPr>
          <w:rFonts w:ascii="宋体" w:hAnsi="宋体" w:cs="Arial"/>
          <w:b/>
          <w:vanish/>
          <w:sz w:val="28"/>
          <w:szCs w:val="24"/>
        </w:rPr>
      </w:pPr>
      <w:bookmarkStart w:id="33" w:name="_Toc529175782"/>
      <w:bookmarkEnd w:id="33"/>
      <w:bookmarkStart w:id="34" w:name="_Toc529175882"/>
      <w:bookmarkEnd w:id="34"/>
      <w:bookmarkStart w:id="35" w:name="_Toc529175928"/>
      <w:bookmarkEnd w:id="35"/>
      <w:bookmarkStart w:id="36" w:name="_Toc2785820"/>
      <w:bookmarkEnd w:id="36"/>
      <w:bookmarkStart w:id="37" w:name="_Toc2785842"/>
      <w:bookmarkEnd w:id="37"/>
      <w:bookmarkStart w:id="38" w:name="_Toc510976389"/>
      <w:bookmarkEnd w:id="38"/>
      <w:bookmarkStart w:id="39" w:name="_Toc2786232"/>
      <w:bookmarkEnd w:id="39"/>
      <w:bookmarkStart w:id="40" w:name="_Toc2786098"/>
      <w:bookmarkEnd w:id="40"/>
    </w:p>
    <w:p>
      <w:pPr>
        <w:pStyle w:val="5"/>
        <w:numPr>
          <w:ilvl w:val="1"/>
          <w:numId w:val="8"/>
        </w:numPr>
      </w:pPr>
      <w:bookmarkStart w:id="41" w:name="_Toc2786233"/>
      <w:r>
        <w:rPr>
          <w:rFonts w:hint="eastAsia"/>
        </w:rPr>
        <w:t>项目总体要求</w:t>
      </w:r>
      <w:bookmarkEnd w:id="41"/>
    </w:p>
    <w:p>
      <w:pPr>
        <w:pStyle w:val="113"/>
        <w:spacing w:line="360" w:lineRule="auto"/>
        <w:ind w:left="456" w:firstLine="0" w:firstLineChars="0"/>
        <w:rPr>
          <w:rFonts w:ascii="宋体" w:hAnsi="宋体"/>
          <w:bCs/>
          <w:sz w:val="24"/>
        </w:rPr>
      </w:pPr>
      <w:r>
        <w:rPr>
          <w:rFonts w:ascii="Arial" w:hAnsi="宋体" w:cs="Arial"/>
          <w:color w:val="000000"/>
          <w:sz w:val="24"/>
          <w:szCs w:val="24"/>
        </w:rPr>
        <w:t>1</w:t>
      </w:r>
      <w:r>
        <w:rPr>
          <w:rFonts w:hint="eastAsia" w:ascii="Arial" w:hAnsi="宋体" w:cs="Arial"/>
          <w:color w:val="000000"/>
          <w:sz w:val="24"/>
          <w:szCs w:val="24"/>
        </w:rPr>
        <w:t>．▲</w:t>
      </w:r>
      <w:r>
        <w:rPr>
          <w:rFonts w:hint="eastAsia" w:ascii="宋体" w:hAnsi="宋体"/>
          <w:bCs/>
          <w:sz w:val="24"/>
        </w:rPr>
        <w:t>要求针对深圳市儿童医院提供完整的杀毒整体解决方案。</w:t>
      </w:r>
    </w:p>
    <w:p>
      <w:pPr>
        <w:pStyle w:val="113"/>
        <w:spacing w:line="360" w:lineRule="auto"/>
        <w:ind w:left="456" w:firstLine="0" w:firstLineChars="0"/>
        <w:rPr>
          <w:rFonts w:ascii="Arial" w:hAnsi="宋体" w:cs="Arial"/>
          <w:color w:val="000000"/>
          <w:sz w:val="24"/>
          <w:szCs w:val="24"/>
        </w:rPr>
      </w:pPr>
      <w:r>
        <w:rPr>
          <w:rFonts w:ascii="Arial" w:hAnsi="宋体" w:cs="Arial"/>
          <w:color w:val="000000"/>
          <w:sz w:val="24"/>
          <w:szCs w:val="24"/>
        </w:rPr>
        <w:t>2</w:t>
      </w:r>
      <w:r>
        <w:rPr>
          <w:rFonts w:hint="eastAsia" w:ascii="Arial" w:hAnsi="宋体" w:cs="Arial"/>
          <w:color w:val="000000"/>
          <w:sz w:val="24"/>
          <w:szCs w:val="24"/>
        </w:rPr>
        <w:t>．▲项目实施团队要全部具有杀毒产品的专业技术</w:t>
      </w:r>
      <w:r>
        <w:rPr>
          <w:rFonts w:ascii="Arial" w:hAnsi="宋体" w:cs="Arial"/>
          <w:color w:val="000000"/>
          <w:sz w:val="24"/>
          <w:szCs w:val="24"/>
        </w:rPr>
        <w:t>认证</w:t>
      </w:r>
      <w:r>
        <w:rPr>
          <w:rFonts w:hint="eastAsia" w:ascii="Arial" w:hAnsi="宋体" w:cs="Arial"/>
          <w:color w:val="000000"/>
          <w:sz w:val="24"/>
          <w:szCs w:val="24"/>
        </w:rPr>
        <w:t>证书</w:t>
      </w:r>
      <w:r>
        <w:rPr>
          <w:rFonts w:ascii="Arial" w:hAnsi="宋体" w:cs="Arial"/>
          <w:color w:val="000000"/>
          <w:sz w:val="24"/>
          <w:szCs w:val="24"/>
        </w:rPr>
        <w:t>（须提供相关人员在</w:t>
      </w:r>
      <w:r>
        <w:rPr>
          <w:rFonts w:hint="eastAsia" w:ascii="Arial" w:hAnsi="宋体" w:cs="Arial"/>
          <w:color w:val="000000"/>
          <w:sz w:val="24"/>
          <w:szCs w:val="24"/>
        </w:rPr>
        <w:t>投标人或所投软件厂商的</w:t>
      </w:r>
      <w:r>
        <w:rPr>
          <w:rFonts w:ascii="Arial" w:hAnsi="宋体" w:cs="Arial"/>
          <w:color w:val="000000"/>
          <w:sz w:val="24"/>
          <w:szCs w:val="24"/>
        </w:rPr>
        <w:t>投标截止日之前六个月以内</w:t>
      </w:r>
      <w:r>
        <w:rPr>
          <w:rFonts w:hint="eastAsia" w:ascii="Arial" w:hAnsi="宋体" w:cs="Arial"/>
          <w:color w:val="000000"/>
          <w:sz w:val="24"/>
          <w:szCs w:val="24"/>
        </w:rPr>
        <w:t>的</w:t>
      </w:r>
      <w:r>
        <w:rPr>
          <w:rFonts w:ascii="Arial" w:hAnsi="宋体" w:cs="Arial"/>
          <w:color w:val="000000"/>
          <w:sz w:val="24"/>
          <w:szCs w:val="24"/>
        </w:rPr>
        <w:t>《社会保险参保人员证明》</w:t>
      </w:r>
      <w:r>
        <w:rPr>
          <w:rFonts w:hint="eastAsia" w:ascii="Arial" w:hAnsi="宋体" w:cs="Arial"/>
          <w:color w:val="000000"/>
          <w:sz w:val="24"/>
          <w:szCs w:val="24"/>
        </w:rPr>
        <w:t>扫描件</w:t>
      </w:r>
      <w:r>
        <w:rPr>
          <w:rFonts w:ascii="Arial" w:hAnsi="宋体" w:cs="Arial"/>
          <w:color w:val="000000"/>
          <w:sz w:val="24"/>
          <w:szCs w:val="24"/>
        </w:rPr>
        <w:t>）</w:t>
      </w:r>
      <w:r>
        <w:rPr>
          <w:rFonts w:hint="eastAsia" w:ascii="Arial" w:hAnsi="宋体" w:cs="Arial"/>
          <w:color w:val="000000"/>
          <w:sz w:val="24"/>
          <w:szCs w:val="24"/>
        </w:rPr>
        <w:t>。</w:t>
      </w:r>
    </w:p>
    <w:p/>
    <w:p>
      <w:pPr>
        <w:pStyle w:val="5"/>
        <w:numPr>
          <w:ilvl w:val="1"/>
          <w:numId w:val="8"/>
        </w:numPr>
      </w:pPr>
      <w:bookmarkStart w:id="42" w:name="OLE_LINK1"/>
      <w:r>
        <w:rPr>
          <w:rFonts w:hint="eastAsia"/>
        </w:rPr>
        <w:t>项目交付清单</w:t>
      </w:r>
    </w:p>
    <w:tbl>
      <w:tblPr>
        <w:tblStyle w:val="43"/>
        <w:tblW w:w="7118" w:type="dxa"/>
        <w:jc w:val="center"/>
        <w:tblLayout w:type="fixed"/>
        <w:tblCellMar>
          <w:top w:w="0" w:type="dxa"/>
          <w:left w:w="108" w:type="dxa"/>
          <w:bottom w:w="0" w:type="dxa"/>
          <w:right w:w="108" w:type="dxa"/>
        </w:tblCellMar>
      </w:tblPr>
      <w:tblGrid>
        <w:gridCol w:w="667"/>
        <w:gridCol w:w="4020"/>
        <w:gridCol w:w="2431"/>
      </w:tblGrid>
      <w:tr>
        <w:tblPrEx>
          <w:tblCellMar>
            <w:top w:w="0" w:type="dxa"/>
            <w:left w:w="108" w:type="dxa"/>
            <w:bottom w:w="0" w:type="dxa"/>
            <w:right w:w="108" w:type="dxa"/>
          </w:tblCellMar>
        </w:tblPrEx>
        <w:trPr>
          <w:trHeight w:val="353"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序号</w:t>
            </w:r>
          </w:p>
        </w:tc>
        <w:tc>
          <w:tcPr>
            <w:tcW w:w="4020" w:type="dxa"/>
            <w:tcBorders>
              <w:top w:val="single" w:color="auto" w:sz="4" w:space="0"/>
              <w:left w:val="nil"/>
              <w:bottom w:val="single" w:color="auto" w:sz="4" w:space="0"/>
              <w:right w:val="single" w:color="auto" w:sz="4" w:space="0"/>
            </w:tcBorders>
            <w:shd w:val="clear" w:color="auto" w:fill="auto"/>
            <w:vAlign w:val="bottom"/>
          </w:tcPr>
          <w:p>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项目清单</w:t>
            </w:r>
          </w:p>
        </w:tc>
        <w:tc>
          <w:tcPr>
            <w:tcW w:w="2431" w:type="dxa"/>
            <w:tcBorders>
              <w:top w:val="single" w:color="auto" w:sz="4" w:space="0"/>
              <w:left w:val="nil"/>
              <w:bottom w:val="single" w:color="auto" w:sz="4" w:space="0"/>
              <w:right w:val="single" w:color="auto" w:sz="4" w:space="0"/>
            </w:tcBorders>
          </w:tcPr>
          <w:p>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数量</w:t>
            </w:r>
          </w:p>
        </w:tc>
      </w:tr>
      <w:tr>
        <w:tblPrEx>
          <w:tblCellMar>
            <w:top w:w="0" w:type="dxa"/>
            <w:left w:w="108" w:type="dxa"/>
            <w:bottom w:w="0" w:type="dxa"/>
            <w:right w:w="108" w:type="dxa"/>
          </w:tblCellMar>
        </w:tblPrEx>
        <w:trPr>
          <w:trHeight w:val="353"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w:t>
            </w:r>
          </w:p>
        </w:tc>
        <w:tc>
          <w:tcPr>
            <w:tcW w:w="40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卡巴斯基杀毒软件</w:t>
            </w:r>
          </w:p>
        </w:tc>
        <w:tc>
          <w:tcPr>
            <w:tcW w:w="2431" w:type="dxa"/>
            <w:tcBorders>
              <w:top w:val="single" w:color="auto" w:sz="4" w:space="0"/>
              <w:left w:val="nil"/>
              <w:bottom w:val="single" w:color="auto" w:sz="4" w:space="0"/>
              <w:right w:val="single" w:color="auto" w:sz="4" w:space="0"/>
            </w:tcBorders>
          </w:tcPr>
          <w:p>
            <w:pPr>
              <w:rPr>
                <w:rFonts w:ascii="宋体" w:hAnsi="宋体" w:cs="宋体"/>
                <w:color w:val="000000" w:themeColor="text1"/>
                <w:sz w:val="22"/>
                <w14:textFill>
                  <w14:solidFill>
                    <w14:schemeClr w14:val="tx1"/>
                  </w14:solidFill>
                </w14:textFill>
              </w:rPr>
            </w:pPr>
            <w:r>
              <w:rPr>
                <w:rFonts w:ascii="宋体" w:hAnsi="宋体" w:cs="宋体"/>
                <w:color w:val="000000" w:themeColor="text1"/>
                <w:sz w:val="22"/>
                <w14:textFill>
                  <w14:solidFill>
                    <w14:schemeClr w14:val="tx1"/>
                  </w14:solidFill>
                </w14:textFill>
              </w:rPr>
              <w:t>2000</w:t>
            </w:r>
            <w:r>
              <w:rPr>
                <w:rFonts w:hint="eastAsia" w:ascii="宋体" w:hAnsi="宋体" w:cs="宋体"/>
                <w:color w:val="000000" w:themeColor="text1"/>
                <w:sz w:val="22"/>
                <w14:textFill>
                  <w14:solidFill>
                    <w14:schemeClr w14:val="tx1"/>
                  </w14:solidFill>
                </w14:textFill>
              </w:rPr>
              <w:t>点 三年维保</w:t>
            </w:r>
          </w:p>
        </w:tc>
      </w:tr>
      <w:tr>
        <w:tblPrEx>
          <w:tblCellMar>
            <w:top w:w="0" w:type="dxa"/>
            <w:left w:w="108" w:type="dxa"/>
            <w:bottom w:w="0" w:type="dxa"/>
            <w:right w:w="108" w:type="dxa"/>
          </w:tblCellMar>
        </w:tblPrEx>
        <w:trPr>
          <w:trHeight w:val="353"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w:t>
            </w:r>
          </w:p>
        </w:tc>
        <w:tc>
          <w:tcPr>
            <w:tcW w:w="40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原厂软件升级服务及技术支持</w:t>
            </w:r>
          </w:p>
        </w:tc>
        <w:tc>
          <w:tcPr>
            <w:tcW w:w="2431" w:type="dxa"/>
            <w:tcBorders>
              <w:top w:val="single" w:color="auto" w:sz="4" w:space="0"/>
              <w:left w:val="nil"/>
              <w:bottom w:val="single" w:color="auto" w:sz="4" w:space="0"/>
              <w:right w:val="single" w:color="auto" w:sz="4" w:space="0"/>
            </w:tcBorders>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3年</w:t>
            </w:r>
          </w:p>
        </w:tc>
      </w:tr>
      <w:tr>
        <w:tblPrEx>
          <w:tblCellMar>
            <w:top w:w="0" w:type="dxa"/>
            <w:left w:w="108" w:type="dxa"/>
            <w:bottom w:w="0" w:type="dxa"/>
            <w:right w:w="108" w:type="dxa"/>
          </w:tblCellMar>
        </w:tblPrEx>
        <w:trPr>
          <w:trHeight w:val="353"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14:textFill>
                  <w14:solidFill>
                    <w14:schemeClr w14:val="tx1"/>
                  </w14:solidFill>
                </w14:textFill>
              </w:rPr>
            </w:pPr>
            <w:r>
              <w:rPr>
                <w:rFonts w:ascii="宋体" w:hAnsi="宋体" w:cs="宋体"/>
                <w:color w:val="000000" w:themeColor="text1"/>
                <w:sz w:val="22"/>
                <w14:textFill>
                  <w14:solidFill>
                    <w14:schemeClr w14:val="tx1"/>
                  </w14:solidFill>
                </w14:textFill>
              </w:rPr>
              <w:t>4</w:t>
            </w:r>
          </w:p>
        </w:tc>
        <w:tc>
          <w:tcPr>
            <w:tcW w:w="40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现场服务（提供一周一次现场服务以及应急响应服务。）</w:t>
            </w:r>
          </w:p>
        </w:tc>
        <w:tc>
          <w:tcPr>
            <w:tcW w:w="2431" w:type="dxa"/>
            <w:vMerge w:val="restart"/>
            <w:tcBorders>
              <w:top w:val="single" w:color="auto" w:sz="4" w:space="0"/>
              <w:left w:val="nil"/>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ascii="宋体" w:hAnsi="宋体" w:cs="宋体"/>
                <w:color w:val="000000" w:themeColor="text1"/>
                <w:sz w:val="22"/>
                <w14:textFill>
                  <w14:solidFill>
                    <w14:schemeClr w14:val="tx1"/>
                  </w14:solidFill>
                </w14:textFill>
              </w:rPr>
              <w:t>3</w:t>
            </w:r>
            <w:r>
              <w:rPr>
                <w:rFonts w:hint="eastAsia" w:ascii="宋体" w:hAnsi="宋体" w:cs="宋体"/>
                <w:color w:val="000000" w:themeColor="text1"/>
                <w:sz w:val="22"/>
                <w14:textFill>
                  <w14:solidFill>
                    <w14:schemeClr w14:val="tx1"/>
                  </w14:solidFill>
                </w14:textFill>
              </w:rPr>
              <w:t>年</w:t>
            </w:r>
          </w:p>
        </w:tc>
      </w:tr>
      <w:tr>
        <w:tblPrEx>
          <w:tblCellMar>
            <w:top w:w="0" w:type="dxa"/>
            <w:left w:w="108" w:type="dxa"/>
            <w:bottom w:w="0" w:type="dxa"/>
            <w:right w:w="108" w:type="dxa"/>
          </w:tblCellMar>
        </w:tblPrEx>
        <w:trPr>
          <w:trHeight w:val="353"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14:textFill>
                  <w14:solidFill>
                    <w14:schemeClr w14:val="tx1"/>
                  </w14:solidFill>
                </w14:textFill>
              </w:rPr>
            </w:pPr>
            <w:r>
              <w:rPr>
                <w:rFonts w:ascii="宋体" w:hAnsi="宋体" w:cs="宋体"/>
                <w:color w:val="000000" w:themeColor="text1"/>
                <w:sz w:val="22"/>
                <w14:textFill>
                  <w14:solidFill>
                    <w14:schemeClr w14:val="tx1"/>
                  </w14:solidFill>
                </w14:textFill>
              </w:rPr>
              <w:t>5</w:t>
            </w:r>
          </w:p>
        </w:tc>
        <w:tc>
          <w:tcPr>
            <w:tcW w:w="40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常规技术支持服务。</w:t>
            </w:r>
          </w:p>
        </w:tc>
        <w:tc>
          <w:tcPr>
            <w:tcW w:w="2431" w:type="dxa"/>
            <w:vMerge w:val="continue"/>
            <w:tcBorders>
              <w:left w:val="nil"/>
              <w:bottom w:val="single" w:color="auto" w:sz="4" w:space="0"/>
              <w:right w:val="single" w:color="auto" w:sz="4" w:space="0"/>
            </w:tcBorders>
          </w:tcPr>
          <w:p>
            <w:pPr>
              <w:rPr>
                <w:rFonts w:ascii="宋体" w:hAnsi="宋体" w:cs="宋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53"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14:textFill>
                  <w14:solidFill>
                    <w14:schemeClr w14:val="tx1"/>
                  </w14:solidFill>
                </w14:textFill>
              </w:rPr>
            </w:pPr>
            <w:r>
              <w:rPr>
                <w:rFonts w:ascii="宋体" w:hAnsi="宋体" w:cs="宋体"/>
                <w:color w:val="000000" w:themeColor="text1"/>
                <w:sz w:val="22"/>
                <w14:textFill>
                  <w14:solidFill>
                    <w14:schemeClr w14:val="tx1"/>
                  </w14:solidFill>
                </w14:textFill>
              </w:rPr>
              <w:t>6</w:t>
            </w:r>
          </w:p>
        </w:tc>
        <w:tc>
          <w:tcPr>
            <w:tcW w:w="40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原厂安全专家全院信息安全知识</w:t>
            </w:r>
          </w:p>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培训服务</w:t>
            </w:r>
          </w:p>
        </w:tc>
        <w:tc>
          <w:tcPr>
            <w:tcW w:w="2431" w:type="dxa"/>
            <w:tcBorders>
              <w:top w:val="single" w:color="auto" w:sz="4" w:space="0"/>
              <w:left w:val="nil"/>
              <w:bottom w:val="single" w:color="auto" w:sz="4" w:space="0"/>
              <w:right w:val="single" w:color="auto" w:sz="4" w:space="0"/>
            </w:tcBorders>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一共三年，每年一次</w:t>
            </w:r>
          </w:p>
        </w:tc>
      </w:tr>
    </w:tbl>
    <w:p>
      <w:pPr>
        <w:pStyle w:val="5"/>
        <w:numPr>
          <w:ilvl w:val="1"/>
          <w:numId w:val="8"/>
        </w:numPr>
      </w:pPr>
      <w:r>
        <w:rPr>
          <w:rFonts w:hint="eastAsia"/>
        </w:rPr>
        <w:t>技术要求</w:t>
      </w:r>
    </w:p>
    <w:p>
      <w:pPr>
        <w:pStyle w:val="113"/>
        <w:numPr>
          <w:ilvl w:val="0"/>
          <w:numId w:val="8"/>
        </w:numPr>
        <w:spacing w:line="360" w:lineRule="auto"/>
        <w:ind w:firstLineChars="0"/>
        <w:rPr>
          <w:rFonts w:ascii="宋体" w:hAnsi="宋体" w:cs="宋体"/>
        </w:rPr>
      </w:pPr>
      <w:r>
        <w:rPr>
          <w:rFonts w:hint="eastAsia" w:ascii="宋体" w:hAnsi="宋体" w:cs="宋体"/>
          <w:szCs w:val="21"/>
        </w:rPr>
        <w:t>项</w:t>
      </w:r>
      <w:r>
        <w:rPr>
          <w:rFonts w:hint="eastAsia" w:ascii="宋体" w:hAnsi="宋体" w:cs="宋体"/>
        </w:rPr>
        <w:t>目详细技术要求如下：</w:t>
      </w:r>
    </w:p>
    <w:tbl>
      <w:tblPr>
        <w:tblStyle w:val="43"/>
        <w:tblW w:w="8217" w:type="dxa"/>
        <w:tblInd w:w="0" w:type="dxa"/>
        <w:tblLayout w:type="autofit"/>
        <w:tblCellMar>
          <w:top w:w="0" w:type="dxa"/>
          <w:left w:w="108" w:type="dxa"/>
          <w:bottom w:w="0" w:type="dxa"/>
          <w:right w:w="108" w:type="dxa"/>
        </w:tblCellMar>
      </w:tblPr>
      <w:tblGrid>
        <w:gridCol w:w="880"/>
        <w:gridCol w:w="1040"/>
        <w:gridCol w:w="6297"/>
      </w:tblGrid>
      <w:tr>
        <w:tblPrEx>
          <w:tblCellMar>
            <w:top w:w="0" w:type="dxa"/>
            <w:left w:w="108" w:type="dxa"/>
            <w:bottom w:w="0" w:type="dxa"/>
            <w:right w:w="108" w:type="dxa"/>
          </w:tblCellMar>
        </w:tblPrEx>
        <w:trPr>
          <w:trHeight w:val="280" w:hRule="atLeast"/>
        </w:trPr>
        <w:tc>
          <w:tcPr>
            <w:tcW w:w="880" w:type="dxa"/>
            <w:tcBorders>
              <w:top w:val="single" w:color="auto" w:sz="4" w:space="0"/>
              <w:left w:val="single" w:color="auto" w:sz="4" w:space="0"/>
              <w:bottom w:val="single" w:color="auto" w:sz="4" w:space="0"/>
              <w:right w:val="single" w:color="auto" w:sz="4" w:space="0"/>
            </w:tcBorders>
            <w:shd w:val="clear" w:color="000000" w:fill="E6E6E6"/>
            <w:vAlign w:val="center"/>
          </w:tcPr>
          <w:p>
            <w:pPr>
              <w:jc w:val="center"/>
              <w:rPr>
                <w:rFonts w:ascii="宋体" w:hAnsi="宋体" w:cs="宋体"/>
                <w:b/>
                <w:bCs/>
                <w:szCs w:val="21"/>
              </w:rPr>
            </w:pPr>
            <w:r>
              <w:rPr>
                <w:rFonts w:hint="eastAsia" w:ascii="宋体" w:hAnsi="宋体" w:cs="宋体"/>
                <w:b/>
                <w:bCs/>
                <w:szCs w:val="21"/>
              </w:rPr>
              <w:t>序号</w:t>
            </w:r>
          </w:p>
        </w:tc>
        <w:tc>
          <w:tcPr>
            <w:tcW w:w="1040" w:type="dxa"/>
            <w:tcBorders>
              <w:top w:val="single" w:color="auto" w:sz="4" w:space="0"/>
              <w:left w:val="nil"/>
              <w:bottom w:val="single" w:color="auto" w:sz="4" w:space="0"/>
              <w:right w:val="single" w:color="auto" w:sz="4" w:space="0"/>
            </w:tcBorders>
            <w:shd w:val="clear" w:color="000000" w:fill="E6E6E6"/>
            <w:vAlign w:val="center"/>
          </w:tcPr>
          <w:p>
            <w:pPr>
              <w:jc w:val="center"/>
              <w:rPr>
                <w:rFonts w:ascii="宋体" w:hAnsi="宋体" w:cs="宋体"/>
                <w:b/>
                <w:bCs/>
                <w:szCs w:val="21"/>
              </w:rPr>
            </w:pPr>
            <w:r>
              <w:rPr>
                <w:rFonts w:hint="eastAsia" w:ascii="宋体" w:hAnsi="宋体" w:cs="宋体"/>
                <w:b/>
                <w:bCs/>
                <w:szCs w:val="21"/>
              </w:rPr>
              <w:t>功能项</w:t>
            </w:r>
          </w:p>
        </w:tc>
        <w:tc>
          <w:tcPr>
            <w:tcW w:w="6297" w:type="dxa"/>
            <w:tcBorders>
              <w:top w:val="single" w:color="auto" w:sz="4" w:space="0"/>
              <w:left w:val="nil"/>
              <w:bottom w:val="single" w:color="auto" w:sz="4" w:space="0"/>
              <w:right w:val="single" w:color="auto" w:sz="4" w:space="0"/>
            </w:tcBorders>
            <w:shd w:val="clear" w:color="000000" w:fill="E6E6E6"/>
            <w:vAlign w:val="center"/>
          </w:tcPr>
          <w:p>
            <w:pPr>
              <w:jc w:val="center"/>
              <w:rPr>
                <w:rFonts w:ascii="宋体" w:hAnsi="宋体" w:cs="宋体"/>
                <w:b/>
                <w:bCs/>
                <w:szCs w:val="21"/>
              </w:rPr>
            </w:pPr>
            <w:r>
              <w:rPr>
                <w:rFonts w:hint="eastAsia" w:ascii="宋体" w:hAnsi="宋体" w:cs="宋体"/>
                <w:b/>
                <w:bCs/>
                <w:szCs w:val="21"/>
              </w:rPr>
              <w:t>指标要求</w:t>
            </w:r>
          </w:p>
        </w:tc>
      </w:tr>
      <w:tr>
        <w:tblPrEx>
          <w:tblCellMar>
            <w:top w:w="0" w:type="dxa"/>
            <w:left w:w="108" w:type="dxa"/>
            <w:bottom w:w="0" w:type="dxa"/>
            <w:right w:w="108" w:type="dxa"/>
          </w:tblCellMar>
        </w:tblPrEx>
        <w:trPr>
          <w:trHeight w:val="280" w:hRule="atLeast"/>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1</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杀毒软件维保</w:t>
            </w: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b/>
                <w:bCs/>
                <w:szCs w:val="21"/>
              </w:rPr>
            </w:pPr>
            <w:r>
              <w:rPr>
                <w:rFonts w:hint="eastAsia" w:ascii="宋体" w:hAnsi="宋体" w:cs="宋体"/>
                <w:b/>
                <w:bCs/>
                <w:szCs w:val="21"/>
              </w:rPr>
              <w:t>（一）维保要求</w:t>
            </w:r>
          </w:p>
        </w:tc>
      </w:tr>
      <w:tr>
        <w:tblPrEx>
          <w:tblCellMar>
            <w:top w:w="0" w:type="dxa"/>
            <w:left w:w="108" w:type="dxa"/>
            <w:bottom w:w="0" w:type="dxa"/>
            <w:right w:w="108" w:type="dxa"/>
          </w:tblCellMar>
        </w:tblPrEx>
        <w:trPr>
          <w:trHeight w:val="28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w:t>
            </w:r>
            <w:r>
              <w:rPr>
                <w:rFonts w:hint="eastAsia" w:ascii="宋体" w:hAnsi="宋体" w:cs="宋体"/>
                <w:b/>
                <w:bCs/>
                <w:szCs w:val="21"/>
              </w:rPr>
              <w:t>卡巴斯基杀毒软件三年维保</w:t>
            </w:r>
          </w:p>
        </w:tc>
      </w:tr>
      <w:tr>
        <w:tblPrEx>
          <w:tblCellMar>
            <w:top w:w="0" w:type="dxa"/>
            <w:left w:w="108" w:type="dxa"/>
            <w:bottom w:w="0" w:type="dxa"/>
            <w:right w:w="108" w:type="dxa"/>
          </w:tblCellMar>
        </w:tblPrEx>
        <w:trPr>
          <w:trHeight w:val="28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b/>
                <w:bCs/>
                <w:szCs w:val="21"/>
              </w:rPr>
            </w:pPr>
            <w:r>
              <w:rPr>
                <w:rFonts w:hint="eastAsia" w:ascii="宋体" w:hAnsi="宋体" w:cs="宋体"/>
                <w:b/>
                <w:bCs/>
                <w:szCs w:val="21"/>
              </w:rPr>
              <w:t>（二）版本和数量要求</w:t>
            </w:r>
          </w:p>
        </w:tc>
      </w:tr>
      <w:tr>
        <w:tblPrEx>
          <w:tblCellMar>
            <w:top w:w="0" w:type="dxa"/>
            <w:left w:w="108" w:type="dxa"/>
            <w:bottom w:w="0" w:type="dxa"/>
            <w:right w:w="108" w:type="dxa"/>
          </w:tblCellMar>
        </w:tblPrEx>
        <w:trPr>
          <w:trHeight w:val="28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★提供不少于2</w:t>
            </w:r>
            <w:r>
              <w:rPr>
                <w:rFonts w:ascii="宋体" w:hAnsi="宋体" w:cs="宋体"/>
                <w:szCs w:val="21"/>
              </w:rPr>
              <w:t>0</w:t>
            </w:r>
            <w:r>
              <w:rPr>
                <w:rFonts w:hint="eastAsia" w:ascii="宋体" w:hAnsi="宋体" w:cs="宋体"/>
                <w:szCs w:val="21"/>
              </w:rPr>
              <w:t>00个终端高级版续期授权许可</w:t>
            </w:r>
          </w:p>
        </w:tc>
      </w:tr>
      <w:tr>
        <w:tblPrEx>
          <w:tblCellMar>
            <w:top w:w="0" w:type="dxa"/>
            <w:left w:w="108" w:type="dxa"/>
            <w:bottom w:w="0" w:type="dxa"/>
            <w:right w:w="108" w:type="dxa"/>
          </w:tblCellMar>
        </w:tblPrEx>
        <w:trPr>
          <w:trHeight w:val="28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b/>
                <w:bCs/>
                <w:szCs w:val="21"/>
              </w:rPr>
            </w:pPr>
            <w:r>
              <w:rPr>
                <w:rFonts w:hint="eastAsia" w:ascii="宋体" w:hAnsi="宋体" w:cs="宋体"/>
                <w:b/>
                <w:bCs/>
                <w:szCs w:val="21"/>
              </w:rPr>
              <w:t>（三） 授权函要求</w:t>
            </w:r>
          </w:p>
        </w:tc>
      </w:tr>
      <w:tr>
        <w:tblPrEx>
          <w:tblCellMar>
            <w:top w:w="0" w:type="dxa"/>
            <w:left w:w="108" w:type="dxa"/>
            <w:bottom w:w="0" w:type="dxa"/>
            <w:right w:w="108" w:type="dxa"/>
          </w:tblCellMar>
        </w:tblPrEx>
        <w:trPr>
          <w:trHeight w:val="54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★提供原厂项目授权函及售后服务承诺函，并加盖公章。（不提供或者无法提供视为无效投标）</w:t>
            </w:r>
          </w:p>
        </w:tc>
      </w:tr>
      <w:tr>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2</w:t>
            </w:r>
          </w:p>
        </w:tc>
        <w:tc>
          <w:tcPr>
            <w:tcW w:w="10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b/>
                <w:bCs/>
                <w:szCs w:val="21"/>
              </w:rPr>
              <w:t>▲产品成熟度</w:t>
            </w: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通过防病毒认证机构VB100的认证，且连续通过5次或以上(提供佐证材料)。</w:t>
            </w:r>
          </w:p>
        </w:tc>
      </w:tr>
      <w:tr>
        <w:tblPrEx>
          <w:tblCellMar>
            <w:top w:w="0" w:type="dxa"/>
            <w:left w:w="108" w:type="dxa"/>
            <w:bottom w:w="0" w:type="dxa"/>
            <w:right w:w="108" w:type="dxa"/>
          </w:tblCellMar>
        </w:tblPrEx>
        <w:trPr>
          <w:trHeight w:val="810" w:hRule="atLeast"/>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3</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b/>
                <w:bCs/>
                <w:szCs w:val="21"/>
              </w:rPr>
              <w:t>安装部署</w:t>
            </w: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b/>
                <w:bCs/>
                <w:szCs w:val="21"/>
              </w:rPr>
            </w:pPr>
            <w:r>
              <w:rPr>
                <w:rFonts w:hint="eastAsia" w:ascii="宋体" w:hAnsi="宋体" w:cs="宋体"/>
                <w:b/>
                <w:bCs/>
                <w:szCs w:val="21"/>
              </w:rPr>
              <w:t>▲</w:t>
            </w:r>
            <w:r>
              <w:rPr>
                <w:rFonts w:hint="eastAsia" w:ascii="宋体" w:hAnsi="宋体" w:cs="宋体"/>
                <w:szCs w:val="21"/>
              </w:rPr>
              <w:t>轻代理软件具备从安全虚拟机自动获取授权功能，无须另行创建授权安装任务（提供佐证材料）。</w:t>
            </w:r>
          </w:p>
        </w:tc>
      </w:tr>
      <w:tr>
        <w:tblPrEx>
          <w:tblCellMar>
            <w:top w:w="0" w:type="dxa"/>
            <w:left w:w="108" w:type="dxa"/>
            <w:bottom w:w="0" w:type="dxa"/>
            <w:right w:w="108" w:type="dxa"/>
          </w:tblCellMar>
        </w:tblPrEx>
        <w:trPr>
          <w:trHeight w:val="81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管理中心可以通过打包防病毒轻代理客户端和其他应用软件安装包（如：WINRAR、Office等软件），并在需要时推送安装到目前Windows操作系统里。</w:t>
            </w:r>
          </w:p>
        </w:tc>
      </w:tr>
      <w:tr>
        <w:tblPrEx>
          <w:tblCellMar>
            <w:top w:w="0" w:type="dxa"/>
            <w:left w:w="108" w:type="dxa"/>
            <w:bottom w:w="0" w:type="dxa"/>
            <w:right w:w="108" w:type="dxa"/>
          </w:tblCellMar>
        </w:tblPrEx>
        <w:trPr>
          <w:trHeight w:val="540" w:hRule="atLeast"/>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4</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b/>
                <w:bCs/>
                <w:szCs w:val="21"/>
              </w:rPr>
              <w:t>病毒查杀</w:t>
            </w: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b/>
                <w:bCs/>
                <w:szCs w:val="21"/>
              </w:rPr>
            </w:pPr>
            <w:r>
              <w:rPr>
                <w:rFonts w:hint="eastAsia" w:ascii="宋体" w:hAnsi="宋体" w:cs="宋体"/>
                <w:b/>
                <w:bCs/>
                <w:szCs w:val="21"/>
              </w:rPr>
              <w:t>▲</w:t>
            </w:r>
            <w:r>
              <w:rPr>
                <w:rFonts w:hint="eastAsia" w:ascii="宋体" w:hAnsi="宋体" w:cs="宋体"/>
                <w:szCs w:val="21"/>
              </w:rPr>
              <w:t>具备iSwift扫描技术，以大幅减少扫描时间和资源占用（提供佐证材料）。</w:t>
            </w:r>
          </w:p>
        </w:tc>
      </w:tr>
      <w:tr>
        <w:tblPrEx>
          <w:tblCellMar>
            <w:top w:w="0" w:type="dxa"/>
            <w:left w:w="108" w:type="dxa"/>
            <w:bottom w:w="0" w:type="dxa"/>
            <w:right w:w="108" w:type="dxa"/>
          </w:tblCellMar>
        </w:tblPrEx>
        <w:trPr>
          <w:trHeight w:val="81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b/>
                <w:bCs/>
                <w:szCs w:val="21"/>
              </w:rPr>
            </w:pPr>
            <w:r>
              <w:rPr>
                <w:rFonts w:hint="eastAsia" w:ascii="宋体" w:hAnsi="宋体" w:cs="宋体"/>
                <w:b/>
                <w:bCs/>
                <w:szCs w:val="21"/>
              </w:rPr>
              <w:t>▲</w:t>
            </w:r>
            <w:r>
              <w:rPr>
                <w:rFonts w:hint="eastAsia" w:ascii="宋体" w:hAnsi="宋体" w:cs="宋体"/>
                <w:szCs w:val="21"/>
              </w:rPr>
              <w:t>支持主动防御技术，主动防御使用BSS行为流特征码，检测到恶意软件活动时可选择操作（提供系统截图）。</w:t>
            </w:r>
          </w:p>
        </w:tc>
      </w:tr>
      <w:tr>
        <w:tblPrEx>
          <w:tblCellMar>
            <w:top w:w="0" w:type="dxa"/>
            <w:left w:w="108" w:type="dxa"/>
            <w:bottom w:w="0" w:type="dxa"/>
            <w:right w:w="108" w:type="dxa"/>
          </w:tblCellMar>
        </w:tblPrEx>
        <w:trPr>
          <w:trHeight w:val="54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支持反网络攻击，检测到攻击时可将攻击计算机加入到阻止计算机列表，可自定义阻止的时间。</w:t>
            </w:r>
          </w:p>
        </w:tc>
      </w:tr>
      <w:tr>
        <w:tblPrEx>
          <w:tblCellMar>
            <w:top w:w="0" w:type="dxa"/>
            <w:left w:w="108" w:type="dxa"/>
            <w:bottom w:w="0" w:type="dxa"/>
            <w:right w:w="108" w:type="dxa"/>
          </w:tblCellMar>
        </w:tblPrEx>
        <w:trPr>
          <w:trHeight w:val="54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具备启发式检测功能，可对文件、邮件、网页和即时通信等进行检测。</w:t>
            </w:r>
          </w:p>
        </w:tc>
      </w:tr>
      <w:tr>
        <w:tblPrEx>
          <w:tblCellMar>
            <w:top w:w="0" w:type="dxa"/>
            <w:left w:w="108" w:type="dxa"/>
            <w:bottom w:w="0" w:type="dxa"/>
            <w:right w:w="108" w:type="dxa"/>
          </w:tblCellMar>
        </w:tblPrEx>
        <w:trPr>
          <w:trHeight w:val="810" w:hRule="atLeast"/>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5</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b/>
                <w:bCs/>
                <w:szCs w:val="21"/>
              </w:rPr>
              <w:t>▲端点控制</w:t>
            </w: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支持按设备类型、总线类型对外接设备进行精细化控制，包括：移动存储设备、CD/DVD设备、串行总线、并行总线、USB总线等（提供佐证材料）。</w:t>
            </w:r>
          </w:p>
        </w:tc>
      </w:tr>
      <w:tr>
        <w:tblPrEx>
          <w:tblCellMar>
            <w:top w:w="0" w:type="dxa"/>
            <w:left w:w="108" w:type="dxa"/>
            <w:bottom w:w="0" w:type="dxa"/>
            <w:right w:w="108" w:type="dxa"/>
          </w:tblCellMar>
        </w:tblPrEx>
        <w:trPr>
          <w:trHeight w:val="81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授权指定的程序对文档的创建、读取、修改、删除的权限，防止勒索病毒对重要文档加密（提供系统截图）。</w:t>
            </w:r>
          </w:p>
        </w:tc>
      </w:tr>
      <w:tr>
        <w:tblPrEx>
          <w:tblCellMar>
            <w:top w:w="0" w:type="dxa"/>
            <w:left w:w="108" w:type="dxa"/>
            <w:bottom w:w="0" w:type="dxa"/>
            <w:right w:w="108" w:type="dxa"/>
          </w:tblCellMar>
        </w:tblPrEx>
        <w:trPr>
          <w:trHeight w:val="810" w:hRule="atLeast"/>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6</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b/>
                <w:bCs/>
                <w:szCs w:val="21"/>
              </w:rPr>
              <w:t>▲管理控制</w:t>
            </w: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管理控制中心必须具备统一配置客户端应用程序启动规则、应用程序权限规则、设备接入规则、网页浏览规则功能（提供系统截图）。</w:t>
            </w:r>
          </w:p>
        </w:tc>
      </w:tr>
      <w:tr>
        <w:tblPrEx>
          <w:tblCellMar>
            <w:top w:w="0" w:type="dxa"/>
            <w:left w:w="108" w:type="dxa"/>
            <w:bottom w:w="0" w:type="dxa"/>
            <w:right w:w="108" w:type="dxa"/>
          </w:tblCellMar>
        </w:tblPrEx>
        <w:trPr>
          <w:trHeight w:val="1080" w:hRule="atLeast"/>
        </w:trPr>
        <w:tc>
          <w:tcPr>
            <w:tcW w:w="88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一个管理控制中心能够管理包括物理平台（Windows、Linux等操作系统）、移动平台和虚拟化平台（VMware、Citrix、Hyper-V、OpenStack）在内的所有终端防护产品（提供系统截图）。</w:t>
            </w:r>
          </w:p>
        </w:tc>
      </w:tr>
      <w:tr>
        <w:tblPrEx>
          <w:tblCellMar>
            <w:top w:w="0" w:type="dxa"/>
            <w:left w:w="108" w:type="dxa"/>
            <w:bottom w:w="0" w:type="dxa"/>
            <w:right w:w="108" w:type="dxa"/>
          </w:tblCellMar>
        </w:tblPrEx>
        <w:trPr>
          <w:trHeight w:val="7380" w:hRule="atLeast"/>
        </w:trPr>
        <w:tc>
          <w:tcPr>
            <w:tcW w:w="880" w:type="dxa"/>
            <w:tcBorders>
              <w:top w:val="nil"/>
              <w:left w:val="single" w:color="auto" w:sz="4" w:space="0"/>
              <w:bottom w:val="nil"/>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7</w:t>
            </w:r>
          </w:p>
        </w:tc>
        <w:tc>
          <w:tcPr>
            <w:tcW w:w="1040" w:type="dxa"/>
            <w:tcBorders>
              <w:top w:val="nil"/>
              <w:left w:val="nil"/>
              <w:bottom w:val="nil"/>
              <w:right w:val="single" w:color="auto" w:sz="4" w:space="0"/>
            </w:tcBorders>
            <w:shd w:val="clear" w:color="auto" w:fill="auto"/>
            <w:vAlign w:val="center"/>
          </w:tcPr>
          <w:p>
            <w:pPr>
              <w:rPr>
                <w:rFonts w:ascii="宋体" w:hAnsi="宋体" w:cs="宋体"/>
                <w:b/>
                <w:bCs/>
                <w:szCs w:val="21"/>
              </w:rPr>
            </w:pPr>
            <w:r>
              <w:rPr>
                <w:rFonts w:hint="eastAsia" w:ascii="宋体" w:hAnsi="宋体" w:cs="宋体"/>
                <w:b/>
                <w:bCs/>
                <w:szCs w:val="21"/>
              </w:rPr>
              <w:t>维保服务要求</w:t>
            </w:r>
          </w:p>
        </w:tc>
        <w:tc>
          <w:tcPr>
            <w:tcW w:w="6297" w:type="dxa"/>
            <w:tcBorders>
              <w:top w:val="nil"/>
              <w:left w:val="nil"/>
              <w:bottom w:val="nil"/>
              <w:right w:val="single" w:color="auto" w:sz="4" w:space="0"/>
            </w:tcBorders>
            <w:shd w:val="clear" w:color="auto" w:fill="auto"/>
            <w:vAlign w:val="center"/>
          </w:tcPr>
          <w:p>
            <w:pPr>
              <w:spacing w:line="360" w:lineRule="exact"/>
              <w:rPr>
                <w:rFonts w:ascii="宋体" w:hAnsi="宋体"/>
                <w:szCs w:val="21"/>
              </w:rPr>
            </w:pPr>
            <w:r>
              <w:rPr>
                <w:rFonts w:hint="eastAsia" w:ascii="宋体" w:hAnsi="宋体" w:cs="宋体"/>
                <w:b/>
                <w:bCs/>
                <w:szCs w:val="21"/>
              </w:rPr>
              <w:t>（一） 人员资质</w:t>
            </w:r>
            <w:r>
              <w:rPr>
                <w:rFonts w:hint="eastAsia" w:ascii="宋体" w:hAnsi="宋体" w:cs="宋体"/>
                <w:szCs w:val="21"/>
              </w:rPr>
              <w:br w:type="textWrapping"/>
            </w:r>
            <w:r>
              <w:rPr>
                <w:rFonts w:hint="eastAsia" w:ascii="宋体" w:hAnsi="宋体" w:cs="宋体"/>
                <w:szCs w:val="21"/>
              </w:rPr>
              <w:t>▲实施团队至少一人具有CISP证书，至少一人具有PMP证书。</w:t>
            </w:r>
          </w:p>
          <w:p>
            <w:pPr>
              <w:spacing w:line="360" w:lineRule="exact"/>
              <w:rPr>
                <w:rFonts w:ascii="宋体" w:hAnsi="宋体" w:cs="Arial"/>
                <w:bCs/>
                <w:szCs w:val="21"/>
              </w:rPr>
            </w:pPr>
            <w:r>
              <w:rPr>
                <w:rFonts w:hint="eastAsia" w:ascii="宋体" w:hAnsi="宋体"/>
                <w:szCs w:val="21"/>
              </w:rPr>
              <w:t>（二） 项目整体售后服务</w:t>
            </w:r>
          </w:p>
          <w:p>
            <w:pPr>
              <w:spacing w:line="360" w:lineRule="exact"/>
              <w:rPr>
                <w:rFonts w:ascii="宋体" w:hAnsi="宋体"/>
                <w:szCs w:val="21"/>
              </w:rPr>
            </w:pPr>
            <w:r>
              <w:rPr>
                <w:rFonts w:ascii="宋体" w:hAnsi="宋体"/>
                <w:szCs w:val="21"/>
              </w:rPr>
              <w:t>2.2.1</w:t>
            </w:r>
            <w:r>
              <w:rPr>
                <w:rFonts w:hint="eastAsia" w:ascii="宋体" w:hAnsi="宋体" w:cs="Arial"/>
                <w:bCs/>
                <w:szCs w:val="21"/>
              </w:rPr>
              <w:t>★</w:t>
            </w:r>
            <w:r>
              <w:rPr>
                <w:rFonts w:hint="eastAsia" w:ascii="宋体" w:hAnsi="宋体"/>
                <w:szCs w:val="21"/>
              </w:rPr>
              <w:t>需提供防病毒系统整体原厂质保期3年。</w:t>
            </w:r>
          </w:p>
          <w:p>
            <w:pPr>
              <w:spacing w:line="360" w:lineRule="exact"/>
              <w:rPr>
                <w:rFonts w:ascii="宋体" w:hAnsi="宋体"/>
                <w:szCs w:val="21"/>
              </w:rPr>
            </w:pPr>
            <w:r>
              <w:rPr>
                <w:rFonts w:ascii="宋体" w:hAnsi="宋体"/>
                <w:szCs w:val="21"/>
              </w:rPr>
              <w:t>2</w:t>
            </w:r>
            <w:r>
              <w:rPr>
                <w:rFonts w:hint="eastAsia" w:ascii="宋体" w:hAnsi="宋体"/>
                <w:szCs w:val="21"/>
              </w:rPr>
              <w:t>.2</w:t>
            </w:r>
            <w:r>
              <w:rPr>
                <w:rFonts w:ascii="宋体" w:hAnsi="宋体"/>
                <w:szCs w:val="21"/>
              </w:rPr>
              <w:t>.2</w:t>
            </w:r>
            <w:r>
              <w:rPr>
                <w:rFonts w:hint="eastAsia" w:ascii="宋体" w:hAnsi="宋体" w:cs="Arial"/>
                <w:bCs/>
                <w:szCs w:val="21"/>
              </w:rPr>
              <w:t>★</w:t>
            </w:r>
            <w:r>
              <w:rPr>
                <w:rFonts w:hint="eastAsia" w:ascii="宋体" w:hAnsi="宋体"/>
                <w:szCs w:val="21"/>
              </w:rPr>
              <w:t>需提供杀毒软件的原厂售后服务承诺函。</w:t>
            </w:r>
          </w:p>
          <w:p>
            <w:pPr>
              <w:spacing w:line="360" w:lineRule="exact"/>
              <w:rPr>
                <w:rFonts w:ascii="宋体" w:hAnsi="宋体"/>
                <w:szCs w:val="21"/>
              </w:rPr>
            </w:pPr>
            <w:r>
              <w:rPr>
                <w:rFonts w:ascii="宋体" w:hAnsi="宋体"/>
                <w:szCs w:val="21"/>
              </w:rPr>
              <w:t>2.2.3</w:t>
            </w:r>
            <w:r>
              <w:rPr>
                <w:rFonts w:hint="eastAsia" w:ascii="宋体" w:hAnsi="宋体" w:cs="Arial"/>
                <w:bCs/>
                <w:szCs w:val="21"/>
              </w:rPr>
              <w:t>★</w:t>
            </w:r>
            <w:r>
              <w:rPr>
                <w:rFonts w:hint="eastAsia" w:ascii="宋体" w:hAnsi="宋体"/>
                <w:szCs w:val="21"/>
              </w:rPr>
              <w:t>需提供3年原厂技术支持和系统免费升级服务。</w:t>
            </w:r>
          </w:p>
          <w:p>
            <w:pPr>
              <w:spacing w:line="360" w:lineRule="exact"/>
              <w:rPr>
                <w:rFonts w:ascii="宋体" w:hAnsi="宋体"/>
                <w:szCs w:val="21"/>
              </w:rPr>
            </w:pPr>
            <w:r>
              <w:rPr>
                <w:rFonts w:ascii="宋体" w:hAnsi="宋体"/>
                <w:szCs w:val="21"/>
              </w:rPr>
              <w:t>2.2.4</w:t>
            </w:r>
            <w:r>
              <w:rPr>
                <w:rFonts w:hint="eastAsia" w:ascii="宋体" w:hAnsi="宋体" w:cs="Arial"/>
                <w:bCs/>
                <w:szCs w:val="21"/>
              </w:rPr>
              <w:t>★</w:t>
            </w:r>
            <w:r>
              <w:rPr>
                <w:rFonts w:hint="eastAsia" w:ascii="宋体" w:hAnsi="宋体"/>
                <w:szCs w:val="21"/>
              </w:rPr>
              <w:t>需提供3年每周一次现场技术支持服务以及应急响应服务。</w:t>
            </w:r>
          </w:p>
          <w:p>
            <w:pPr>
              <w:spacing w:line="360" w:lineRule="exact"/>
              <w:ind w:firstLine="210" w:firstLineChars="100"/>
              <w:rPr>
                <w:rFonts w:ascii="宋体" w:hAnsi="宋体"/>
                <w:szCs w:val="21"/>
              </w:rPr>
            </w:pPr>
            <w:r>
              <w:rPr>
                <w:rFonts w:ascii="宋体" w:hAnsi="宋体"/>
                <w:szCs w:val="21"/>
              </w:rPr>
              <w:t>2.2.4.1</w:t>
            </w:r>
            <w:r>
              <w:rPr>
                <w:rFonts w:hint="eastAsia" w:ascii="宋体" w:hAnsi="宋体" w:cs="Arial"/>
                <w:bCs/>
                <w:szCs w:val="21"/>
              </w:rPr>
              <w:t>▲</w:t>
            </w:r>
            <w:r>
              <w:rPr>
                <w:rFonts w:hint="eastAsia" w:ascii="宋体" w:hAnsi="宋体"/>
                <w:szCs w:val="21"/>
              </w:rPr>
              <w:t>需提供7×24小时电话技术支持，五分钟内电话响应，1小时内提供应急技术支持响应，紧急情况下</w:t>
            </w:r>
            <w:r>
              <w:rPr>
                <w:rFonts w:ascii="宋体" w:hAnsi="宋体"/>
                <w:szCs w:val="21"/>
              </w:rPr>
              <w:t>2</w:t>
            </w:r>
            <w:r>
              <w:rPr>
                <w:rFonts w:hint="eastAsia" w:ascii="宋体" w:hAnsi="宋体"/>
                <w:szCs w:val="21"/>
              </w:rPr>
              <w:t>小时内到达现场处理，对安全事件进行及时处理。</w:t>
            </w:r>
          </w:p>
          <w:p>
            <w:pPr>
              <w:spacing w:line="360" w:lineRule="exact"/>
              <w:ind w:firstLine="210" w:firstLineChars="100"/>
              <w:rPr>
                <w:rFonts w:ascii="宋体" w:hAnsi="宋体"/>
                <w:szCs w:val="21"/>
              </w:rPr>
            </w:pPr>
            <w:r>
              <w:rPr>
                <w:rFonts w:ascii="宋体" w:hAnsi="宋体"/>
                <w:szCs w:val="21"/>
              </w:rPr>
              <w:t>2.2.4.2</w:t>
            </w:r>
            <w:r>
              <w:rPr>
                <w:rFonts w:hint="eastAsia" w:ascii="宋体" w:hAnsi="宋体" w:cs="Arial"/>
                <w:bCs/>
                <w:szCs w:val="21"/>
              </w:rPr>
              <w:t>▲</w:t>
            </w:r>
            <w:r>
              <w:rPr>
                <w:rFonts w:hint="eastAsia" w:ascii="宋体" w:hAnsi="宋体"/>
                <w:szCs w:val="21"/>
              </w:rPr>
              <w:t>需提供一年每季度一次的杀毒服务器和客户端系统巡检服务，巡检报告发送给深圳市儿童医院信息科指定电子邮箱，每次具体巡检时间由双方共同约定协商。</w:t>
            </w:r>
          </w:p>
          <w:p>
            <w:pPr>
              <w:spacing w:line="360" w:lineRule="exact"/>
              <w:ind w:firstLine="210" w:firstLineChars="100"/>
              <w:rPr>
                <w:rFonts w:ascii="宋体" w:hAnsi="宋体"/>
                <w:szCs w:val="21"/>
              </w:rPr>
            </w:pPr>
            <w:r>
              <w:rPr>
                <w:rFonts w:ascii="宋体" w:hAnsi="宋体"/>
                <w:szCs w:val="21"/>
              </w:rPr>
              <w:t>2.2.4.3</w:t>
            </w:r>
            <w:r>
              <w:rPr>
                <w:rFonts w:hint="eastAsia" w:ascii="宋体" w:hAnsi="宋体" w:cs="Arial"/>
                <w:bCs/>
                <w:szCs w:val="21"/>
              </w:rPr>
              <w:t>★需</w:t>
            </w:r>
            <w:r>
              <w:rPr>
                <w:rFonts w:hint="eastAsia" w:ascii="宋体" w:hAnsi="宋体"/>
                <w:szCs w:val="21"/>
              </w:rPr>
              <w:t>一年提供不低于二次的每次1天，每天1人的现场值守服务，以配合病毒突发和升级视察工作。</w:t>
            </w:r>
          </w:p>
          <w:p>
            <w:pPr>
              <w:spacing w:line="360" w:lineRule="exact"/>
              <w:ind w:firstLine="210" w:firstLineChars="100"/>
              <w:rPr>
                <w:rFonts w:ascii="宋体" w:hAnsi="宋体"/>
                <w:szCs w:val="21"/>
              </w:rPr>
            </w:pP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4.4</w:t>
            </w:r>
            <w:r>
              <w:rPr>
                <w:rFonts w:hint="eastAsia" w:ascii="宋体" w:hAnsi="宋体"/>
                <w:szCs w:val="21"/>
              </w:rPr>
              <w:t>从项目验收合格之日起计算，提供三年防病毒软件的远程技术支持的防病毒服务。</w:t>
            </w:r>
          </w:p>
          <w:p>
            <w:pPr>
              <w:spacing w:line="360" w:lineRule="exact"/>
              <w:ind w:firstLine="210" w:firstLineChars="100"/>
              <w:rPr>
                <w:rFonts w:ascii="宋体" w:hAnsi="宋体"/>
                <w:szCs w:val="21"/>
              </w:rPr>
            </w:pPr>
            <w:r>
              <w:rPr>
                <w:rFonts w:ascii="宋体" w:hAnsi="宋体"/>
                <w:szCs w:val="21"/>
              </w:rPr>
              <w:t>2.2.4.5</w:t>
            </w:r>
            <w:r>
              <w:rPr>
                <w:rFonts w:hint="eastAsia" w:ascii="宋体" w:hAnsi="宋体" w:cs="Arial"/>
                <w:bCs/>
                <w:szCs w:val="21"/>
              </w:rPr>
              <w:t>▲</w:t>
            </w:r>
            <w:r>
              <w:rPr>
                <w:rFonts w:hint="eastAsia" w:ascii="宋体" w:hAnsi="宋体"/>
                <w:szCs w:val="21"/>
              </w:rPr>
              <w:t>一年中针对紧急安全事件，向深圳市儿童医院提供事件调查服务，并出具事件调查报告（RCA报告）；</w:t>
            </w:r>
            <w:r>
              <w:rPr>
                <w:rFonts w:ascii="宋体" w:hAnsi="宋体"/>
                <w:szCs w:val="21"/>
              </w:rPr>
              <w:t xml:space="preserve"> </w:t>
            </w:r>
          </w:p>
          <w:p>
            <w:pPr>
              <w:spacing w:line="360" w:lineRule="exact"/>
              <w:ind w:firstLine="210" w:firstLineChars="100"/>
              <w:rPr>
                <w:rFonts w:ascii="宋体" w:hAnsi="宋体"/>
                <w:szCs w:val="21"/>
              </w:rPr>
            </w:pPr>
            <w:r>
              <w:rPr>
                <w:rFonts w:ascii="宋体" w:hAnsi="宋体"/>
                <w:szCs w:val="21"/>
              </w:rPr>
              <w:t>2.2.4.6</w:t>
            </w:r>
            <w:r>
              <w:rPr>
                <w:rFonts w:hint="eastAsia" w:ascii="宋体" w:hAnsi="宋体" w:cs="Arial"/>
                <w:bCs/>
                <w:szCs w:val="21"/>
              </w:rPr>
              <w:t>▲</w:t>
            </w:r>
            <w:r>
              <w:rPr>
                <w:rFonts w:hint="eastAsia" w:ascii="宋体" w:hAnsi="宋体"/>
                <w:szCs w:val="21"/>
              </w:rPr>
              <w:t>一年中当大规模病毒安全事件出现时，需要派出1到8人安全应急团队，2小时之内到达现场。</w:t>
            </w:r>
          </w:p>
          <w:p>
            <w:pPr>
              <w:spacing w:line="360" w:lineRule="exact"/>
              <w:ind w:firstLine="210" w:firstLineChars="100"/>
              <w:rPr>
                <w:rFonts w:ascii="宋体" w:hAnsi="宋体"/>
                <w:szCs w:val="21"/>
              </w:rPr>
            </w:pPr>
            <w:r>
              <w:rPr>
                <w:rFonts w:ascii="宋体" w:hAnsi="宋体"/>
                <w:szCs w:val="21"/>
              </w:rPr>
              <w:t>2.2.4.7</w:t>
            </w:r>
            <w:r>
              <w:rPr>
                <w:rFonts w:hint="eastAsia" w:ascii="宋体" w:hAnsi="宋体"/>
                <w:szCs w:val="21"/>
              </w:rPr>
              <w:t>满意度调查服务：一年中每月提供一次满意度调查服务。</w:t>
            </w:r>
          </w:p>
          <w:p>
            <w:pPr>
              <w:spacing w:line="360" w:lineRule="exact"/>
              <w:rPr>
                <w:rFonts w:ascii="宋体" w:hAnsi="宋体"/>
                <w:szCs w:val="21"/>
              </w:rPr>
            </w:pPr>
            <w:r>
              <w:rPr>
                <w:rFonts w:ascii="宋体" w:hAnsi="宋体"/>
                <w:szCs w:val="21"/>
              </w:rPr>
              <w:t>2.2.6</w:t>
            </w:r>
            <w:r>
              <w:rPr>
                <w:rFonts w:hint="eastAsia" w:ascii="宋体" w:hAnsi="宋体" w:cs="Arial"/>
                <w:bCs/>
                <w:szCs w:val="21"/>
              </w:rPr>
              <w:t>★</w:t>
            </w:r>
            <w:r>
              <w:rPr>
                <w:rFonts w:hint="eastAsia" w:ascii="宋体" w:hAnsi="宋体"/>
                <w:szCs w:val="21"/>
              </w:rPr>
              <w:t>需提供原厂专家全院信息安全知识培训服务，一共三年，每年一次。</w:t>
            </w:r>
          </w:p>
          <w:p>
            <w:pPr>
              <w:rPr>
                <w:rFonts w:ascii="宋体" w:hAnsi="宋体" w:cs="宋体"/>
                <w:szCs w:val="21"/>
              </w:rPr>
            </w:pPr>
          </w:p>
        </w:tc>
      </w:tr>
      <w:tr>
        <w:tblPrEx>
          <w:tblCellMar>
            <w:top w:w="0" w:type="dxa"/>
            <w:left w:w="108" w:type="dxa"/>
            <w:bottom w:w="0" w:type="dxa"/>
            <w:right w:w="108" w:type="dxa"/>
          </w:tblCellMar>
        </w:tblPrEx>
        <w:trPr>
          <w:trHeight w:val="96" w:hRule="atLeast"/>
        </w:trPr>
        <w:tc>
          <w:tcPr>
            <w:tcW w:w="880" w:type="dxa"/>
            <w:tcBorders>
              <w:top w:val="nil"/>
              <w:left w:val="single" w:color="auto" w:sz="4" w:space="0"/>
              <w:bottom w:val="nil"/>
              <w:right w:val="single" w:color="auto" w:sz="4" w:space="0"/>
            </w:tcBorders>
            <w:shd w:val="clear" w:color="auto" w:fill="auto"/>
            <w:vAlign w:val="center"/>
          </w:tcPr>
          <w:p>
            <w:pPr>
              <w:jc w:val="center"/>
              <w:rPr>
                <w:rFonts w:ascii="宋体" w:hAnsi="宋体" w:cs="宋体"/>
                <w:szCs w:val="21"/>
              </w:rPr>
            </w:pPr>
          </w:p>
        </w:tc>
        <w:tc>
          <w:tcPr>
            <w:tcW w:w="1040" w:type="dxa"/>
            <w:tcBorders>
              <w:top w:val="nil"/>
              <w:left w:val="nil"/>
              <w:bottom w:val="single" w:color="auto" w:sz="4" w:space="0"/>
              <w:right w:val="single" w:color="auto" w:sz="4" w:space="0"/>
            </w:tcBorders>
            <w:shd w:val="clear" w:color="auto" w:fill="auto"/>
            <w:vAlign w:val="center"/>
          </w:tcPr>
          <w:p>
            <w:pPr>
              <w:rPr>
                <w:rFonts w:ascii="宋体" w:hAnsi="宋体" w:cs="宋体"/>
                <w:b/>
                <w:bCs/>
                <w:szCs w:val="21"/>
              </w:rPr>
            </w:pPr>
          </w:p>
        </w:tc>
        <w:tc>
          <w:tcPr>
            <w:tcW w:w="6297" w:type="dxa"/>
            <w:tcBorders>
              <w:top w:val="nil"/>
              <w:left w:val="nil"/>
              <w:bottom w:val="single" w:color="auto" w:sz="4" w:space="0"/>
              <w:right w:val="single" w:color="auto" w:sz="4" w:space="0"/>
            </w:tcBorders>
            <w:shd w:val="clear" w:color="auto" w:fill="auto"/>
            <w:vAlign w:val="center"/>
          </w:tcPr>
          <w:p>
            <w:pPr>
              <w:rPr>
                <w:rFonts w:ascii="宋体" w:hAnsi="宋体" w:cs="宋体"/>
                <w:b/>
                <w:bCs/>
                <w:szCs w:val="21"/>
              </w:rPr>
            </w:pPr>
          </w:p>
        </w:tc>
      </w:tr>
    </w:tbl>
    <w:p>
      <w:pPr>
        <w:pStyle w:val="7"/>
      </w:pPr>
    </w:p>
    <w:p>
      <w:pPr>
        <w:pStyle w:val="113"/>
        <w:spacing w:line="360" w:lineRule="auto"/>
        <w:ind w:left="360" w:firstLine="0" w:firstLineChars="0"/>
        <w:rPr>
          <w:rFonts w:ascii="宋体" w:hAnsi="宋体"/>
          <w:sz w:val="24"/>
          <w:szCs w:val="24"/>
        </w:rPr>
      </w:pPr>
    </w:p>
    <w:p>
      <w:pPr>
        <w:pStyle w:val="5"/>
        <w:numPr>
          <w:ilvl w:val="1"/>
          <w:numId w:val="8"/>
        </w:numPr>
      </w:pPr>
      <w:bookmarkStart w:id="43" w:name="_Toc2786235"/>
      <w:r>
        <w:rPr>
          <w:rFonts w:hint="eastAsia"/>
        </w:rPr>
        <w:t>售后服务要求</w:t>
      </w:r>
      <w:bookmarkEnd w:id="43"/>
    </w:p>
    <w:bookmarkEnd w:id="42"/>
    <w:p>
      <w:pPr>
        <w:spacing w:line="360" w:lineRule="auto"/>
        <w:ind w:firstLine="840" w:firstLineChars="350"/>
        <w:rPr>
          <w:rFonts w:ascii="宋体" w:hAnsi="宋体"/>
          <w:sz w:val="24"/>
          <w:szCs w:val="24"/>
        </w:rPr>
      </w:pPr>
      <w:r>
        <w:rPr>
          <w:rFonts w:hint="eastAsia"/>
          <w:sz w:val="24"/>
          <w:szCs w:val="24"/>
        </w:rPr>
        <w:t>2</w:t>
      </w:r>
      <w:r>
        <w:rPr>
          <w:rFonts w:ascii="宋体" w:hAnsi="宋体"/>
          <w:sz w:val="24"/>
          <w:szCs w:val="24"/>
        </w:rPr>
        <w:t>.</w:t>
      </w:r>
      <w:r>
        <w:rPr>
          <w:sz w:val="24"/>
          <w:szCs w:val="24"/>
        </w:rPr>
        <w:t>4</w:t>
      </w:r>
      <w:r>
        <w:rPr>
          <w:rFonts w:ascii="宋体" w:hAnsi="宋体"/>
          <w:sz w:val="24"/>
          <w:szCs w:val="24"/>
        </w:rPr>
        <w:t>.</w:t>
      </w:r>
      <w:r>
        <w:rPr>
          <w:sz w:val="24"/>
          <w:szCs w:val="24"/>
        </w:rPr>
        <w:t>1</w:t>
      </w:r>
      <w:r>
        <w:rPr>
          <w:rFonts w:hint="eastAsia" w:ascii="宋体" w:hAnsi="宋体"/>
          <w:sz w:val="24"/>
          <w:szCs w:val="24"/>
        </w:rPr>
        <w:t>软件系统整体原厂质保期三年。</w:t>
      </w:r>
    </w:p>
    <w:p>
      <w:pPr>
        <w:spacing w:line="360" w:lineRule="auto"/>
        <w:ind w:firstLine="840" w:firstLineChars="350"/>
        <w:rPr>
          <w:rFonts w:ascii="宋体" w:hAnsi="宋体"/>
          <w:sz w:val="24"/>
          <w:szCs w:val="24"/>
        </w:rPr>
      </w:pPr>
      <w:r>
        <w:rPr>
          <w:rFonts w:hint="eastAsia" w:ascii="宋体" w:hAnsi="宋体"/>
          <w:sz w:val="24"/>
          <w:szCs w:val="24"/>
        </w:rPr>
        <w:t>2</w:t>
      </w:r>
      <w:r>
        <w:rPr>
          <w:rFonts w:ascii="宋体" w:hAnsi="宋体"/>
          <w:sz w:val="24"/>
          <w:szCs w:val="24"/>
        </w:rPr>
        <w:t>.4.2</w:t>
      </w:r>
      <w:r>
        <w:rPr>
          <w:rFonts w:hint="eastAsia" w:ascii="宋体" w:hAnsi="宋体"/>
          <w:sz w:val="24"/>
          <w:szCs w:val="24"/>
        </w:rPr>
        <w:t>提供杀毒软件的原厂售后服务承诺函。</w:t>
      </w:r>
    </w:p>
    <w:p>
      <w:pPr>
        <w:spacing w:line="360" w:lineRule="auto"/>
        <w:ind w:firstLine="840" w:firstLineChars="350"/>
        <w:rPr>
          <w:rFonts w:ascii="宋体" w:hAnsi="宋体"/>
          <w:sz w:val="24"/>
          <w:szCs w:val="24"/>
        </w:rPr>
      </w:pPr>
      <w:r>
        <w:rPr>
          <w:rFonts w:hint="eastAsia" w:ascii="宋体" w:hAnsi="宋体"/>
          <w:sz w:val="24"/>
          <w:szCs w:val="24"/>
        </w:rPr>
        <w:t>2</w:t>
      </w:r>
      <w:r>
        <w:rPr>
          <w:rFonts w:ascii="宋体" w:hAnsi="宋体"/>
          <w:sz w:val="24"/>
          <w:szCs w:val="24"/>
        </w:rPr>
        <w:t>.4.3</w:t>
      </w:r>
      <w:r>
        <w:rPr>
          <w:rFonts w:hint="eastAsia" w:ascii="宋体" w:hAnsi="宋体"/>
          <w:sz w:val="24"/>
          <w:szCs w:val="24"/>
        </w:rPr>
        <w:t>需要提供7×24小时电话技术支持，五分钟内电话响应，1小时内提供应急技术支持响应，紧急情况下</w:t>
      </w:r>
      <w:r>
        <w:rPr>
          <w:rFonts w:ascii="宋体" w:hAnsi="宋体"/>
          <w:sz w:val="24"/>
          <w:szCs w:val="24"/>
        </w:rPr>
        <w:t>2</w:t>
      </w:r>
      <w:r>
        <w:rPr>
          <w:rFonts w:hint="eastAsia" w:ascii="宋体" w:hAnsi="宋体"/>
          <w:sz w:val="24"/>
          <w:szCs w:val="24"/>
        </w:rPr>
        <w:t>小时内到达现场处理，对安全事件进行及时处理。</w:t>
      </w:r>
    </w:p>
    <w:p>
      <w:pPr>
        <w:pStyle w:val="113"/>
        <w:spacing w:line="360" w:lineRule="auto"/>
        <w:ind w:left="851" w:firstLine="0" w:firstLineChars="0"/>
        <w:rPr>
          <w:rFonts w:ascii="宋体" w:hAnsi="宋体"/>
          <w:sz w:val="24"/>
          <w:szCs w:val="24"/>
        </w:rPr>
      </w:pPr>
      <w:r>
        <w:rPr>
          <w:rFonts w:ascii="宋体" w:hAnsi="宋体"/>
          <w:sz w:val="24"/>
          <w:szCs w:val="24"/>
        </w:rPr>
        <w:t>2.4.5</w:t>
      </w:r>
      <w:r>
        <w:rPr>
          <w:rFonts w:hint="eastAsia" w:ascii="宋体" w:hAnsi="宋体"/>
          <w:sz w:val="24"/>
          <w:szCs w:val="24"/>
        </w:rPr>
        <w:t>需提供1年每周一次现场技术支持服务以及应急响应服务。</w:t>
      </w:r>
    </w:p>
    <w:p>
      <w:pPr>
        <w:spacing w:line="360" w:lineRule="auto"/>
        <w:ind w:left="420"/>
        <w:rPr>
          <w:szCs w:val="21"/>
        </w:rPr>
      </w:pPr>
    </w:p>
    <w:p>
      <w:pPr>
        <w:pStyle w:val="5"/>
        <w:numPr>
          <w:ilvl w:val="1"/>
          <w:numId w:val="8"/>
        </w:numPr>
      </w:pPr>
      <w:bookmarkStart w:id="44" w:name="_Toc2786236"/>
      <w:r>
        <w:rPr>
          <w:rFonts w:hint="eastAsia"/>
        </w:rPr>
        <w:t>交付件要求</w:t>
      </w:r>
      <w:bookmarkEnd w:id="44"/>
    </w:p>
    <w:p>
      <w:pPr>
        <w:pStyle w:val="113"/>
        <w:spacing w:line="360" w:lineRule="auto"/>
        <w:ind w:left="456" w:firstLine="0" w:firstLineChars="0"/>
        <w:rPr>
          <w:sz w:val="24"/>
          <w:szCs w:val="24"/>
        </w:rPr>
      </w:pPr>
      <w:bookmarkStart w:id="45" w:name="OLE_LINK36"/>
      <w:r>
        <w:rPr>
          <w:rFonts w:hint="eastAsia"/>
          <w:sz w:val="24"/>
          <w:szCs w:val="24"/>
        </w:rPr>
        <w:t>《防病毒系统服务器巡检报告》</w:t>
      </w:r>
    </w:p>
    <w:p>
      <w:pPr>
        <w:pStyle w:val="113"/>
        <w:spacing w:line="360" w:lineRule="auto"/>
        <w:ind w:left="456" w:firstLine="0" w:firstLineChars="0"/>
        <w:rPr>
          <w:sz w:val="24"/>
          <w:szCs w:val="24"/>
        </w:rPr>
      </w:pPr>
      <w:r>
        <w:rPr>
          <w:rFonts w:hint="eastAsia"/>
          <w:sz w:val="24"/>
          <w:szCs w:val="24"/>
        </w:rPr>
        <w:t>《防病毒系统服务器变更报告》</w:t>
      </w:r>
    </w:p>
    <w:p>
      <w:pPr>
        <w:pStyle w:val="113"/>
        <w:spacing w:line="360" w:lineRule="auto"/>
        <w:ind w:left="456" w:firstLine="0" w:firstLineChars="0"/>
        <w:rPr>
          <w:sz w:val="24"/>
          <w:szCs w:val="24"/>
        </w:rPr>
      </w:pPr>
      <w:r>
        <w:rPr>
          <w:rFonts w:hint="eastAsia"/>
          <w:sz w:val="24"/>
          <w:szCs w:val="24"/>
        </w:rPr>
        <w:t>《防病毒系统服务器事件响应报告》</w:t>
      </w:r>
    </w:p>
    <w:p>
      <w:pPr>
        <w:pStyle w:val="113"/>
        <w:spacing w:line="360" w:lineRule="auto"/>
        <w:ind w:left="456" w:firstLine="0" w:firstLineChars="0"/>
        <w:rPr>
          <w:sz w:val="24"/>
          <w:szCs w:val="24"/>
        </w:rPr>
      </w:pPr>
      <w:r>
        <w:rPr>
          <w:rFonts w:hint="eastAsia"/>
          <w:sz w:val="24"/>
          <w:szCs w:val="24"/>
        </w:rPr>
        <w:t>《防病毒系统服务器事件调查报告》</w:t>
      </w:r>
    </w:p>
    <w:bookmarkEnd w:id="45"/>
    <w:p>
      <w:pPr>
        <w:tabs>
          <w:tab w:val="left" w:pos="709"/>
        </w:tabs>
        <w:spacing w:line="360" w:lineRule="auto"/>
        <w:ind w:left="709"/>
        <w:rPr>
          <w:rFonts w:ascii="宋体" w:hAnsi="宋体"/>
          <w:color w:val="000000"/>
          <w:sz w:val="24"/>
          <w:szCs w:val="24"/>
        </w:rPr>
      </w:pPr>
      <w:r>
        <w:rPr>
          <w:rFonts w:hint="eastAsia" w:ascii="宋体" w:hAnsi="宋体"/>
          <w:color w:val="000000"/>
          <w:sz w:val="24"/>
          <w:szCs w:val="24"/>
        </w:rPr>
        <w:t>三、商务指标</w:t>
      </w:r>
    </w:p>
    <w:p>
      <w:pPr>
        <w:tabs>
          <w:tab w:val="left" w:pos="709"/>
        </w:tabs>
        <w:spacing w:line="360" w:lineRule="auto"/>
        <w:ind w:left="709"/>
        <w:rPr>
          <w:rFonts w:ascii="宋体" w:hAnsi="宋体"/>
          <w:color w:val="000000"/>
          <w:sz w:val="24"/>
          <w:szCs w:val="24"/>
        </w:rPr>
      </w:pPr>
    </w:p>
    <w:tbl>
      <w:tblPr>
        <w:tblStyle w:val="4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710"/>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jc w:val="center"/>
              <w:rPr>
                <w:rFonts w:cs="宋体" w:asciiTheme="minorEastAsia" w:hAnsiTheme="minorEastAsia" w:eastAsiaTheme="minorEastAsia"/>
                <w:sz w:val="24"/>
                <w:szCs w:val="24"/>
              </w:rPr>
            </w:pPr>
            <w:r>
              <w:rPr>
                <w:rFonts w:cs="宋体" w:asciiTheme="minorEastAsia" w:hAnsiTheme="minorEastAsia" w:eastAsiaTheme="minorEastAsia"/>
                <w:b/>
                <w:bCs/>
                <w:color w:val="000000"/>
                <w:sz w:val="24"/>
                <w:szCs w:val="24"/>
              </w:rPr>
              <w:t>序号</w:t>
            </w:r>
          </w:p>
        </w:tc>
        <w:tc>
          <w:tcPr>
            <w:tcW w:w="13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jc w:val="center"/>
              <w:rPr>
                <w:rFonts w:cs="宋体" w:asciiTheme="minorEastAsia" w:hAnsiTheme="minorEastAsia" w:eastAsiaTheme="minorEastAsia"/>
                <w:sz w:val="24"/>
                <w:szCs w:val="24"/>
              </w:rPr>
            </w:pPr>
            <w:r>
              <w:rPr>
                <w:rFonts w:cs="宋体" w:asciiTheme="minorEastAsia" w:hAnsiTheme="minorEastAsia" w:eastAsiaTheme="minorEastAsia"/>
                <w:b/>
                <w:bCs/>
                <w:color w:val="000000"/>
                <w:sz w:val="24"/>
                <w:szCs w:val="24"/>
              </w:rPr>
              <w:t>目录</w:t>
            </w:r>
          </w:p>
        </w:tc>
        <w:tc>
          <w:tcPr>
            <w:tcW w:w="6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jc w:val="center"/>
              <w:rPr>
                <w:rFonts w:cs="宋体" w:asciiTheme="minorEastAsia" w:hAnsiTheme="minorEastAsia" w:eastAsiaTheme="minorEastAsia"/>
                <w:sz w:val="24"/>
                <w:szCs w:val="24"/>
              </w:rPr>
            </w:pPr>
            <w:r>
              <w:rPr>
                <w:rFonts w:cs="宋体" w:asciiTheme="minorEastAsia" w:hAnsiTheme="minorEastAsia" w:eastAsiaTheme="minorEastAsia"/>
                <w:b/>
                <w:bCs/>
                <w:color w:val="FF0000"/>
                <w:sz w:val="24"/>
                <w:szCs w:val="24"/>
              </w:rPr>
              <w:t>商务需求</w:t>
            </w:r>
            <w:r>
              <w:rPr>
                <w:rFonts w:hint="eastAsia" w:cs="宋体" w:asciiTheme="minorEastAsia" w:hAnsiTheme="minorEastAsia" w:eastAsiaTheme="minorEastAsia"/>
                <w:b/>
                <w:bCs/>
                <w:color w:val="FF000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b/>
                <w:bCs/>
                <w:color w:val="00000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b/>
                <w:bCs/>
                <w:sz w:val="24"/>
                <w:szCs w:val="24"/>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免费保</w:t>
            </w:r>
            <w:r>
              <w:rPr>
                <w:rFonts w:hint="eastAsia" w:cs="宋体" w:asciiTheme="minorEastAsia" w:hAnsiTheme="minorEastAsia" w:eastAsiaTheme="minorEastAsia"/>
                <w:sz w:val="24"/>
                <w:szCs w:val="24"/>
              </w:rPr>
              <w:t>护</w:t>
            </w:r>
            <w:r>
              <w:rPr>
                <w:rFonts w:cs="宋体" w:asciiTheme="minorEastAsia" w:hAnsiTheme="minorEastAsia" w:eastAsiaTheme="minorEastAsia"/>
                <w:sz w:val="24"/>
                <w:szCs w:val="24"/>
              </w:rPr>
              <w:t>期</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软件</w:t>
            </w:r>
            <w:r>
              <w:rPr>
                <w:rFonts w:cs="宋体" w:asciiTheme="minorEastAsia" w:hAnsiTheme="minorEastAsia" w:eastAsiaTheme="minorEastAsia"/>
                <w:sz w:val="24"/>
                <w:szCs w:val="24"/>
              </w:rPr>
              <w:t>免费</w:t>
            </w:r>
            <w:r>
              <w:rPr>
                <w:rFonts w:hint="eastAsia" w:cs="宋体" w:asciiTheme="minorEastAsia" w:hAnsiTheme="minorEastAsia" w:eastAsiaTheme="minorEastAsia"/>
                <w:sz w:val="24"/>
                <w:szCs w:val="24"/>
              </w:rPr>
              <w:t>维保</w:t>
            </w:r>
            <w:r>
              <w:rPr>
                <w:rFonts w:cs="宋体" w:asciiTheme="minorEastAsia" w:hAnsiTheme="minorEastAsia" w:eastAsiaTheme="minorEastAsia"/>
                <w:sz w:val="24"/>
                <w:szCs w:val="24"/>
              </w:rPr>
              <w:t>期</w:t>
            </w:r>
            <w:r>
              <w:rPr>
                <w:rFonts w:hint="eastAsia" w:cs="宋体" w:asciiTheme="minorEastAsia" w:hAnsiTheme="minorEastAsia" w:eastAsiaTheme="minorEastAsia"/>
                <w:color w:val="000000" w:themeColor="text1"/>
                <w:sz w:val="24"/>
                <w:szCs w:val="24"/>
                <w14:textFill>
                  <w14:solidFill>
                    <w14:schemeClr w14:val="tx1"/>
                  </w14:solidFill>
                </w14:textFill>
              </w:rPr>
              <w:t xml:space="preserve"> 三</w:t>
            </w:r>
            <w:r>
              <w:rPr>
                <w:rFonts w:cs="宋体" w:asciiTheme="minorEastAsia" w:hAnsiTheme="minorEastAsia" w:eastAsiaTheme="minorEastAsia"/>
                <w:color w:val="000000" w:themeColor="text1"/>
                <w:sz w:val="24"/>
                <w:szCs w:val="24"/>
                <w14:textFill>
                  <w14:solidFill>
                    <w14:schemeClr w14:val="tx1"/>
                  </w14:solidFill>
                </w14:textFill>
              </w:rPr>
              <w:t>年，时</w:t>
            </w:r>
            <w:r>
              <w:rPr>
                <w:rFonts w:cs="宋体" w:asciiTheme="minorEastAsia" w:hAnsiTheme="minorEastAsia" w:eastAsiaTheme="minorEastAsia"/>
                <w:sz w:val="24"/>
                <w:szCs w:val="24"/>
              </w:rPr>
              <w:t>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line="150" w:lineRule="atLeast"/>
              <w:rPr>
                <w:rFonts w:cs="宋体" w:asciiTheme="minorEastAsia" w:hAnsiTheme="minorEastAsia" w:eastAsiaTheme="minorEastAsia"/>
                <w:sz w:val="24"/>
                <w:szCs w:val="24"/>
              </w:rPr>
            </w:pPr>
            <w:r>
              <w:rPr>
                <w:rFonts w:cs="宋体" w:asciiTheme="minorEastAsia" w:hAnsiTheme="minorEastAsia" w:eastAsiaTheme="minorEastAsia"/>
                <w:b/>
                <w:bCs/>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line="15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维</w:t>
            </w:r>
            <w:r>
              <w:rPr>
                <w:rFonts w:hint="eastAsia" w:cs="宋体" w:asciiTheme="minorEastAsia" w:hAnsiTheme="minorEastAsia" w:eastAsiaTheme="minorEastAsia"/>
                <w:sz w:val="24"/>
                <w:szCs w:val="24"/>
              </w:rPr>
              <w:t>护</w:t>
            </w:r>
            <w:r>
              <w:rPr>
                <w:rFonts w:cs="宋体" w:asciiTheme="minorEastAsia" w:hAnsiTheme="minorEastAsia" w:eastAsiaTheme="minorEastAsia"/>
                <w:sz w:val="24"/>
                <w:szCs w:val="24"/>
              </w:rPr>
              <w:t>响应及故障解决时间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line="15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在保修期内，</w:t>
            </w:r>
            <w:r>
              <w:rPr>
                <w:rFonts w:hint="eastAsia" w:cs="仿宋" w:asciiTheme="minorEastAsia" w:hAnsiTheme="minorEastAsia" w:eastAsiaTheme="minorEastAsia"/>
                <w:sz w:val="24"/>
                <w:szCs w:val="24"/>
              </w:rPr>
              <w:t>提供</w:t>
            </w:r>
            <w:r>
              <w:rPr>
                <w:rFonts w:cs="仿宋" w:asciiTheme="minorEastAsia" w:hAnsiTheme="minorEastAsia" w:eastAsiaTheme="minorEastAsia"/>
                <w:sz w:val="24"/>
                <w:szCs w:val="24"/>
              </w:rPr>
              <w:t>7*24小时</w:t>
            </w:r>
            <w:r>
              <w:rPr>
                <w:rFonts w:hint="eastAsia" w:cs="仿宋" w:asciiTheme="minorEastAsia" w:hAnsiTheme="minorEastAsia" w:eastAsiaTheme="minorEastAsia"/>
                <w:sz w:val="24"/>
                <w:szCs w:val="24"/>
              </w:rPr>
              <w:t>远程服务</w:t>
            </w:r>
            <w:r>
              <w:rPr>
                <w:rFonts w:cs="仿宋" w:asciiTheme="minorEastAsia" w:hAnsiTheme="minorEastAsia" w:eastAsiaTheme="minorEastAsia"/>
                <w:sz w:val="24"/>
                <w:szCs w:val="24"/>
              </w:rPr>
              <w:t>，解答使用中遇到的问题，对于通过电话、网络、远程手段无法解决的紧急问题，</w:t>
            </w:r>
            <w:r>
              <w:rPr>
                <w:rFonts w:hint="eastAsia" w:cs="仿宋" w:asciiTheme="minorEastAsia" w:hAnsiTheme="minorEastAsia" w:eastAsiaTheme="minorEastAsia"/>
                <w:sz w:val="24"/>
                <w:szCs w:val="24"/>
              </w:rPr>
              <w:t>2</w:t>
            </w:r>
            <w:r>
              <w:rPr>
                <w:rFonts w:cs="仿宋" w:asciiTheme="minorEastAsia" w:hAnsiTheme="minorEastAsia" w:eastAsiaTheme="minorEastAsia"/>
                <w:sz w:val="24"/>
                <w:szCs w:val="24"/>
              </w:rPr>
              <w:t>4小时</w:t>
            </w:r>
            <w:r>
              <w:rPr>
                <w:rFonts w:hint="eastAsia" w:cs="仿宋" w:asciiTheme="minorEastAsia" w:hAnsiTheme="minorEastAsia" w:eastAsiaTheme="minorEastAsia"/>
                <w:sz w:val="24"/>
                <w:szCs w:val="24"/>
              </w:rPr>
              <w:t>内到达现场解决问题。</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line="15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line="15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line="15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4</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有专业人员对</w:t>
            </w:r>
            <w:r>
              <w:rPr>
                <w:rFonts w:hint="eastAsia" w:cs="宋体" w:asciiTheme="minorEastAsia" w:hAnsiTheme="minorEastAsia" w:eastAsiaTheme="minorEastAsia"/>
                <w:sz w:val="24"/>
                <w:szCs w:val="24"/>
              </w:rPr>
              <w:t>软件使用人员</w:t>
            </w:r>
            <w:r>
              <w:rPr>
                <w:rFonts w:cs="宋体" w:asciiTheme="minorEastAsia" w:hAnsiTheme="minorEastAsia" w:eastAsiaTheme="minorEastAsia"/>
                <w:sz w:val="24"/>
                <w:szCs w:val="24"/>
              </w:rPr>
              <w:t>进行专业的培训，并对维</w:t>
            </w:r>
            <w:r>
              <w:rPr>
                <w:rFonts w:hint="eastAsia" w:cs="宋体" w:asciiTheme="minorEastAsia" w:hAnsiTheme="minorEastAsia" w:eastAsiaTheme="minorEastAsia"/>
                <w:sz w:val="24"/>
                <w:szCs w:val="24"/>
              </w:rPr>
              <w:t>护</w:t>
            </w:r>
            <w:r>
              <w:rPr>
                <w:rFonts w:cs="宋体" w:asciiTheme="minorEastAsia" w:hAnsiTheme="minorEastAsia" w:eastAsiaTheme="minorEastAsia"/>
                <w:sz w:val="24"/>
                <w:szCs w:val="24"/>
              </w:rPr>
              <w:t>工程师进行维护培训。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b/>
                <w:bCs/>
                <w:sz w:val="24"/>
                <w:szCs w:val="24"/>
              </w:rPr>
              <w:t>6</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投标人应按其投标文件中的承诺，进行其他售后服务工作。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line="300" w:lineRule="atLeast"/>
              <w:rPr>
                <w:rFonts w:cs="宋体" w:asciiTheme="minorEastAsia" w:hAnsiTheme="minorEastAsia" w:eastAsiaTheme="minorEastAsia"/>
                <w:sz w:val="24"/>
                <w:szCs w:val="24"/>
              </w:rPr>
            </w:pPr>
            <w:r>
              <w:rPr>
                <w:rFonts w:cs="宋体" w:asciiTheme="minorEastAsia" w:hAnsiTheme="minorEastAsia" w:eastAsiaTheme="minorEastAsia"/>
                <w:b/>
                <w:bCs/>
                <w:color w:val="000000"/>
                <w:sz w:val="24"/>
                <w:szCs w:val="24"/>
              </w:rPr>
              <w:t>（二）免费</w:t>
            </w:r>
            <w:r>
              <w:rPr>
                <w:rFonts w:hint="eastAsia" w:cs="宋体" w:asciiTheme="minorEastAsia" w:hAnsiTheme="minorEastAsia" w:eastAsiaTheme="minorEastAsia"/>
                <w:b/>
                <w:bCs/>
                <w:color w:val="000000"/>
                <w:sz w:val="24"/>
                <w:szCs w:val="24"/>
              </w:rPr>
              <w:t>维护</w:t>
            </w:r>
            <w:r>
              <w:rPr>
                <w:rFonts w:cs="宋体" w:asciiTheme="minorEastAsia" w:hAnsiTheme="minorEastAsia" w:eastAsiaTheme="minorEastAsia"/>
                <w:b/>
                <w:bCs/>
                <w:color w:val="000000"/>
                <w:sz w:val="24"/>
                <w:szCs w:val="24"/>
              </w:rPr>
              <w:t>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b/>
                <w:bCs/>
                <w:sz w:val="24"/>
                <w:szCs w:val="24"/>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b/>
                <w:bCs/>
                <w:sz w:val="24"/>
                <w:szCs w:val="24"/>
              </w:rPr>
              <w:t> </w:t>
            </w:r>
            <w:r>
              <w:rPr>
                <w:rFonts w:cs="宋体" w:asciiTheme="minorEastAsia" w:hAnsiTheme="minorEastAsia" w:eastAsiaTheme="minorEastAsia"/>
                <w:sz w:val="24"/>
                <w:szCs w:val="24"/>
              </w:rPr>
              <w:t>维</w:t>
            </w:r>
            <w:r>
              <w:rPr>
                <w:rFonts w:hint="eastAsia" w:cs="宋体" w:asciiTheme="minorEastAsia" w:hAnsiTheme="minorEastAsia" w:eastAsiaTheme="minorEastAsia"/>
                <w:sz w:val="24"/>
                <w:szCs w:val="24"/>
              </w:rPr>
              <w:t>护</w:t>
            </w:r>
            <w:r>
              <w:rPr>
                <w:rFonts w:cs="宋体" w:asciiTheme="minorEastAsia" w:hAnsiTheme="minorEastAsia" w:eastAsiaTheme="minorEastAsia"/>
                <w:sz w:val="24"/>
                <w:szCs w:val="24"/>
              </w:rPr>
              <w:t>响应</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 </w:t>
            </w:r>
            <w:r>
              <w:rPr>
                <w:rFonts w:hint="eastAsia" w:cs="宋体" w:asciiTheme="minorEastAsia" w:hAnsiTheme="minorEastAsia" w:eastAsiaTheme="minorEastAsia"/>
                <w:sz w:val="24"/>
                <w:szCs w:val="24"/>
              </w:rPr>
              <w:t>免费维护期后，如需乙方进行维护，维护费用另行再议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 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 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 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 </w:t>
            </w:r>
            <w:r>
              <w:rPr>
                <w:rFonts w:hint="eastAsia" w:cs="宋体" w:asciiTheme="minorEastAsia" w:hAnsiTheme="minorEastAsia" w:eastAsiaTheme="minorEastAsia"/>
                <w:sz w:val="24"/>
                <w:szCs w:val="24"/>
              </w:rPr>
              <w:t>免费维保期后，如需乙方专</w:t>
            </w:r>
            <w:r>
              <w:rPr>
                <w:rFonts w:cs="宋体" w:asciiTheme="minorEastAsia" w:hAnsiTheme="minorEastAsia" w:eastAsiaTheme="minorEastAsia"/>
                <w:sz w:val="24"/>
                <w:szCs w:val="24"/>
              </w:rPr>
              <w:t>业人员对</w:t>
            </w:r>
            <w:r>
              <w:rPr>
                <w:rFonts w:hint="eastAsia" w:cs="宋体" w:asciiTheme="minorEastAsia" w:hAnsiTheme="minorEastAsia" w:eastAsiaTheme="minorEastAsia"/>
                <w:sz w:val="24"/>
                <w:szCs w:val="24"/>
              </w:rPr>
              <w:t>软件使用人员</w:t>
            </w:r>
            <w:r>
              <w:rPr>
                <w:rFonts w:cs="宋体" w:asciiTheme="minorEastAsia" w:hAnsiTheme="minorEastAsia" w:eastAsiaTheme="minorEastAsia"/>
                <w:sz w:val="24"/>
                <w:szCs w:val="24"/>
              </w:rPr>
              <w:t>进行专业的培训，并对维</w:t>
            </w:r>
            <w:r>
              <w:rPr>
                <w:rFonts w:hint="eastAsia" w:cs="宋体" w:asciiTheme="minorEastAsia" w:hAnsiTheme="minorEastAsia" w:eastAsiaTheme="minorEastAsia"/>
                <w:sz w:val="24"/>
                <w:szCs w:val="24"/>
              </w:rPr>
              <w:t>护</w:t>
            </w:r>
            <w:r>
              <w:rPr>
                <w:rFonts w:cs="宋体" w:asciiTheme="minorEastAsia" w:hAnsiTheme="minorEastAsia" w:eastAsiaTheme="minorEastAsia"/>
                <w:sz w:val="24"/>
                <w:szCs w:val="24"/>
              </w:rPr>
              <w:t>工程师进行维护培训。</w:t>
            </w:r>
            <w:r>
              <w:rPr>
                <w:rFonts w:hint="eastAsia" w:cs="宋体" w:asciiTheme="minorEastAsia" w:hAnsiTheme="minorEastAsia" w:eastAsiaTheme="minorEastAsia"/>
                <w:sz w:val="24"/>
                <w:szCs w:val="24"/>
              </w:rPr>
              <w:t>培训费用另行再议。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b/>
                <w:bCs/>
                <w:color w:val="00000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1</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关于交货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1.1签订合同后</w:t>
            </w:r>
            <w:r>
              <w:rPr>
                <w:rFonts w:cs="宋体" w:asciiTheme="minorEastAsia" w:hAnsiTheme="minorEastAsia" w:eastAsiaTheme="minorEastAsia"/>
                <w:sz w:val="24"/>
                <w:szCs w:val="24"/>
                <w:u w:val="single"/>
              </w:rPr>
              <w:t> 30</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76" w:hRule="atLeast"/>
        </w:trPr>
        <w:tc>
          <w:tcPr>
            <w:tcW w:w="710" w:type="dxa"/>
            <w:vMerge w:val="continue"/>
            <w:tcBorders>
              <w:top w:val="nil"/>
              <w:left w:val="single" w:color="auto" w:sz="8" w:space="0"/>
              <w:bottom w:val="single" w:color="auto" w:sz="8" w:space="0"/>
              <w:right w:val="single" w:color="auto" w:sz="8" w:space="0"/>
            </w:tcBorders>
            <w:vAlign w:val="center"/>
          </w:tcPr>
          <w:p>
            <w:pPr>
              <w:rPr>
                <w:rFonts w:cs="宋体" w:asciiTheme="minorEastAsia" w:hAnsiTheme="minorEastAsia" w:eastAsiaTheme="minorEastAsia"/>
                <w:sz w:val="24"/>
                <w:szCs w:val="24"/>
              </w:rPr>
            </w:pPr>
          </w:p>
        </w:tc>
        <w:tc>
          <w:tcPr>
            <w:tcW w:w="1373" w:type="dxa"/>
            <w:vMerge w:val="continue"/>
            <w:tcBorders>
              <w:top w:val="nil"/>
              <w:left w:val="nil"/>
              <w:bottom w:val="single" w:color="auto" w:sz="8" w:space="0"/>
              <w:right w:val="single" w:color="auto" w:sz="8" w:space="0"/>
            </w:tcBorders>
            <w:vAlign w:val="center"/>
          </w:tcPr>
          <w:p>
            <w:pPr>
              <w:rPr>
                <w:rFonts w:cs="宋体" w:asciiTheme="minorEastAsia" w:hAnsiTheme="minorEastAsia" w:eastAsiaTheme="minorEastAsia"/>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1.2</w:t>
            </w:r>
            <w:r>
              <w:rPr>
                <w:rFonts w:hint="eastAsia" w:cs="宋体" w:asciiTheme="minorEastAsia" w:hAnsiTheme="minorEastAsia" w:eastAsiaTheme="minorEastAsia"/>
                <w:sz w:val="24"/>
                <w:szCs w:val="24"/>
              </w:rPr>
              <w:t>投标人按要求完成软件安装、调试、上线运行。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26"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2</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关于验收</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line="34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1.1</w:t>
            </w:r>
            <w:r>
              <w:rPr>
                <w:rFonts w:hint="eastAsia"/>
              </w:rPr>
              <w:t xml:space="preserve"> </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在乙方安装实施完成软件正式投入运行一个月后进行项目验收，甲方接到申请验收报告后10个工作日内无正当理由不组织验收，或验收后5个工作日内不予批准且不能提出修改意见，视作验收报告已被批准，即应办理结算手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467" w:hRule="atLeast"/>
        </w:trPr>
        <w:tc>
          <w:tcPr>
            <w:tcW w:w="710" w:type="dxa"/>
            <w:vMerge w:val="continue"/>
            <w:tcBorders>
              <w:top w:val="nil"/>
              <w:left w:val="single" w:color="auto" w:sz="8" w:space="0"/>
              <w:bottom w:val="single" w:color="auto" w:sz="8" w:space="0"/>
              <w:right w:val="single" w:color="auto" w:sz="8" w:space="0"/>
            </w:tcBorders>
            <w:vAlign w:val="center"/>
          </w:tcPr>
          <w:p>
            <w:pPr>
              <w:rPr>
                <w:rFonts w:cs="宋体" w:asciiTheme="minorEastAsia" w:hAnsiTheme="minorEastAsia" w:eastAsiaTheme="minorEastAsia"/>
                <w:sz w:val="24"/>
                <w:szCs w:val="24"/>
              </w:rPr>
            </w:pPr>
          </w:p>
        </w:tc>
        <w:tc>
          <w:tcPr>
            <w:tcW w:w="1373" w:type="dxa"/>
            <w:vMerge w:val="continue"/>
            <w:tcBorders>
              <w:top w:val="nil"/>
              <w:left w:val="nil"/>
              <w:bottom w:val="single" w:color="auto" w:sz="8" w:space="0"/>
              <w:right w:val="single" w:color="auto" w:sz="8" w:space="0"/>
            </w:tcBorders>
            <w:vAlign w:val="center"/>
          </w:tcPr>
          <w:p>
            <w:pPr>
              <w:rPr>
                <w:rFonts w:cs="宋体" w:asciiTheme="minorEastAsia" w:hAnsiTheme="minorEastAsia" w:eastAsiaTheme="minorEastAsia"/>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line="34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1.2当满足以下条件时，采购人才向中标人签发货物验收报告：</w:t>
            </w:r>
          </w:p>
          <w:p>
            <w:pPr>
              <w:spacing w:before="100" w:beforeAutospacing="1" w:after="100" w:afterAutospacing="1" w:line="34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a、中标人已按照合同规定提供了全部产品及完整的技术资料。</w:t>
            </w:r>
          </w:p>
          <w:p>
            <w:pPr>
              <w:spacing w:before="100" w:beforeAutospacing="1" w:after="100" w:afterAutospacing="1" w:line="34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b、货物符合招标文件技术规格书的要求，性能满足要求。</w:t>
            </w:r>
          </w:p>
          <w:p>
            <w:pPr>
              <w:spacing w:before="100" w:beforeAutospacing="1" w:after="100" w:afterAutospacing="1" w:line="34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c、货物具备产品合格证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3</w:t>
            </w:r>
          </w:p>
        </w:tc>
        <w:tc>
          <w:tcPr>
            <w:tcW w:w="137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r>
              <w:rPr>
                <w:rFonts w:cs="宋体" w:asciiTheme="minorEastAsia" w:hAnsiTheme="minorEastAsia" w:eastAsiaTheme="minorEastAsia"/>
                <w:sz w:val="24"/>
                <w:szCs w:val="24"/>
              </w:rPr>
              <w:t>关于付款</w:t>
            </w:r>
          </w:p>
        </w:tc>
        <w:tc>
          <w:tcPr>
            <w:tcW w:w="6257" w:type="dxa"/>
            <w:tcBorders>
              <w:top w:val="nil"/>
              <w:left w:val="nil"/>
              <w:bottom w:val="nil"/>
              <w:right w:val="single" w:color="auto" w:sz="8" w:space="0"/>
            </w:tcBorders>
            <w:shd w:val="clear" w:color="auto" w:fill="auto"/>
            <w:tcMar>
              <w:top w:w="0" w:type="dxa"/>
              <w:left w:w="108" w:type="dxa"/>
              <w:bottom w:w="0" w:type="dxa"/>
              <w:right w:w="108" w:type="dxa"/>
            </w:tcMar>
          </w:tcPr>
          <w:p>
            <w:pPr>
              <w:spacing w:before="100" w:beforeAutospacing="1" w:after="100" w:afterAutospacing="1" w:line="30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1、付款条件：</w:t>
            </w:r>
            <w:r>
              <w:rPr>
                <w:rFonts w:hint="eastAsia" w:cs="宋体" w:asciiTheme="minorEastAsia" w:hAnsiTheme="minorEastAsia" w:eastAsiaTheme="minorEastAsia"/>
                <w:sz w:val="24"/>
                <w:szCs w:val="24"/>
              </w:rPr>
              <w:t>合同签订并收到</w:t>
            </w:r>
            <w:r>
              <w:rPr>
                <w:rFonts w:cs="宋体" w:asciiTheme="minorEastAsia" w:hAnsiTheme="minorEastAsia" w:eastAsiaTheme="minorEastAsia"/>
                <w:sz w:val="24"/>
                <w:szCs w:val="24"/>
              </w:rPr>
              <w:t>全额发票后30天内</w:t>
            </w:r>
            <w:r>
              <w:rPr>
                <w:rFonts w:hint="eastAsia" w:cs="宋体" w:asciiTheme="minorEastAsia" w:hAnsiTheme="minorEastAsia" w:eastAsiaTheme="minorEastAsia"/>
                <w:sz w:val="24"/>
                <w:szCs w:val="24"/>
              </w:rPr>
              <w:t>向中标方</w:t>
            </w:r>
            <w:r>
              <w:rPr>
                <w:rFonts w:cs="宋体" w:asciiTheme="minorEastAsia" w:hAnsiTheme="minorEastAsia" w:eastAsiaTheme="minorEastAsia"/>
                <w:sz w:val="24"/>
                <w:szCs w:val="24"/>
              </w:rPr>
              <w:t>方</w:t>
            </w:r>
            <w:r>
              <w:rPr>
                <w:rFonts w:hint="eastAsia" w:cs="宋体" w:asciiTheme="minorEastAsia" w:hAnsiTheme="minorEastAsia" w:eastAsiaTheme="minorEastAsia"/>
                <w:sz w:val="24"/>
                <w:szCs w:val="24"/>
              </w:rPr>
              <w:t>支付</w:t>
            </w:r>
            <w:r>
              <w:rPr>
                <w:rFonts w:cs="宋体" w:asciiTheme="minorEastAsia" w:hAnsiTheme="minorEastAsia" w:eastAsiaTheme="minorEastAsia"/>
                <w:sz w:val="24"/>
                <w:szCs w:val="24"/>
              </w:rPr>
              <w:t>货款</w:t>
            </w:r>
            <w:r>
              <w:rPr>
                <w:rFonts w:hint="eastAsia" w:cs="宋体" w:asciiTheme="minorEastAsia" w:hAnsiTheme="minorEastAsia" w:eastAsiaTheme="minorEastAsia"/>
                <w:sz w:val="24"/>
                <w:szCs w:val="24"/>
              </w:rPr>
              <w:t>30</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预付</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系统上线并验收合格后凭验收单支付至全款的95%，验收合格一年后支付余款5%。</w:t>
            </w:r>
          </w:p>
          <w:p>
            <w:pPr>
              <w:spacing w:before="100" w:beforeAutospacing="1" w:after="100" w:afterAutospacing="1" w:line="300" w:lineRule="atLeast"/>
              <w:rPr>
                <w:rFonts w:cs="宋体" w:asciiTheme="minorEastAsia" w:hAnsiTheme="minorEastAsia" w:eastAsiaTheme="minorEastAsia"/>
                <w:sz w:val="24"/>
                <w:szCs w:val="24"/>
              </w:rPr>
            </w:pPr>
            <w:r>
              <w:rPr>
                <w:rFonts w:cs="宋体" w:asciiTheme="minorEastAsia" w:hAnsiTheme="minorEastAsia" w:eastAsiaTheme="minorEastAsia"/>
                <w:sz w:val="24"/>
                <w:szCs w:val="24"/>
              </w:rPr>
              <w:t>2、由于供应商的原因，</w:t>
            </w:r>
            <w:r>
              <w:rPr>
                <w:rFonts w:hint="eastAsia" w:cs="宋体" w:asciiTheme="minorEastAsia" w:hAnsiTheme="minorEastAsia" w:eastAsiaTheme="minorEastAsia"/>
                <w:sz w:val="24"/>
                <w:szCs w:val="24"/>
              </w:rPr>
              <w:t>未能按照约定工期完成上线</w:t>
            </w:r>
            <w:r>
              <w:rPr>
                <w:rFonts w:cs="宋体" w:asciiTheme="minorEastAsia" w:hAnsiTheme="minorEastAsia" w:eastAsiaTheme="minorEastAsia"/>
                <w:sz w:val="24"/>
                <w:szCs w:val="24"/>
              </w:rPr>
              <w:t>，</w:t>
            </w:r>
            <w:r>
              <w:rPr>
                <w:rFonts w:hint="eastAsia" w:ascii="宋体" w:hAnsi="宋体" w:cs="宋体"/>
                <w:sz w:val="24"/>
                <w:lang w:val="zh-CN"/>
              </w:rPr>
              <w:t>导致项目延期，</w:t>
            </w:r>
            <w:r>
              <w:rPr>
                <w:rFonts w:cs="宋体" w:asciiTheme="minorEastAsia" w:hAnsiTheme="minorEastAsia" w:eastAsiaTheme="minorEastAsia"/>
                <w:sz w:val="24"/>
                <w:szCs w:val="24"/>
              </w:rPr>
              <w:t xml:space="preserve">每迟一天罚款合同总额的0.5%； </w:t>
            </w:r>
          </w:p>
          <w:p>
            <w:pPr>
              <w:rPr>
                <w:rFonts w:cs="宋体" w:asciiTheme="minorEastAsia" w:hAnsiTheme="minorEastAsia" w:eastAsiaTheme="minorEastAsia"/>
                <w:sz w:val="24"/>
                <w:szCs w:val="24"/>
              </w:rPr>
            </w:pPr>
            <w:r>
              <w:rPr>
                <w:rFonts w:cs="宋体" w:asciiTheme="minorEastAsia" w:hAnsiTheme="minorEastAsia" w:eastAsiaTheme="minorEastAsia"/>
                <w:sz w:val="24"/>
                <w:szCs w:val="24"/>
              </w:rPr>
              <w:t>3、由于</w:t>
            </w:r>
            <w:r>
              <w:rPr>
                <w:rFonts w:hint="eastAsia" w:cs="宋体" w:asciiTheme="minorEastAsia" w:hAnsiTheme="minorEastAsia" w:eastAsiaTheme="minorEastAsia"/>
                <w:sz w:val="24"/>
                <w:szCs w:val="24"/>
              </w:rPr>
              <w:t>采购人</w:t>
            </w:r>
            <w:r>
              <w:rPr>
                <w:rFonts w:cs="宋体" w:asciiTheme="minorEastAsia" w:hAnsiTheme="minorEastAsia" w:eastAsiaTheme="minorEastAsia"/>
                <w:sz w:val="24"/>
                <w:szCs w:val="24"/>
              </w:rPr>
              <w:t>的原因，</w:t>
            </w:r>
            <w:r>
              <w:rPr>
                <w:rFonts w:hint="eastAsia" w:cs="宋体" w:asciiTheme="minorEastAsia" w:hAnsiTheme="minorEastAsia" w:eastAsiaTheme="minorEastAsia"/>
                <w:sz w:val="24"/>
                <w:szCs w:val="24"/>
              </w:rPr>
              <w:t>未按约定条款向供货商支付,则须按约定的付款时间起算,每迟一天罚款拖欠金额的0.5%；</w:t>
            </w:r>
          </w:p>
          <w:p>
            <w:pPr>
              <w:spacing w:before="100" w:beforeAutospacing="1" w:after="100" w:afterAutospacing="1" w:line="300" w:lineRule="atLeast"/>
              <w:rPr>
                <w:rFonts w:cs="宋体" w:asciiTheme="minorEastAsia" w:hAnsiTheme="minorEastAsia" w:eastAsiaTheme="minorEastAsia"/>
                <w:sz w:val="24"/>
                <w:szCs w:val="24"/>
                <w:highlight w:val="yellow"/>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p>
          <w:p>
            <w:pPr>
              <w:spacing w:before="100" w:beforeAutospacing="1" w:after="100" w:afterAutospacing="1"/>
              <w:rPr>
                <w:rFonts w:cs="宋体" w:asciiTheme="minorEastAsia" w:hAnsiTheme="minorEastAsia" w:eastAsiaTheme="minorEastAsia"/>
                <w:sz w:val="24"/>
                <w:szCs w:val="24"/>
              </w:rPr>
            </w:pP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100" w:beforeAutospacing="1" w:after="100" w:afterAutospacing="1"/>
              <w:rPr>
                <w:rFonts w:cs="宋体" w:asciiTheme="minorEastAsia" w:hAnsiTheme="minorEastAsia" w:eastAsiaTheme="minorEastAsia"/>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before="100" w:beforeAutospacing="1" w:after="100" w:afterAutospacing="1" w:line="300" w:lineRule="atLeast"/>
              <w:rPr>
                <w:rFonts w:cs="宋体" w:asciiTheme="minorEastAsia" w:hAnsiTheme="minorEastAsia" w:eastAsiaTheme="minorEastAsia"/>
                <w:sz w:val="24"/>
                <w:szCs w:val="24"/>
              </w:rPr>
            </w:pPr>
          </w:p>
        </w:tc>
      </w:tr>
    </w:tbl>
    <w:p>
      <w:pPr>
        <w:tabs>
          <w:tab w:val="left" w:pos="709"/>
        </w:tabs>
        <w:spacing w:line="360" w:lineRule="auto"/>
        <w:ind w:left="709"/>
        <w:rPr>
          <w:rFonts w:ascii="宋体" w:hAnsi="宋体"/>
          <w:color w:val="000000"/>
          <w:sz w:val="24"/>
          <w:szCs w:val="24"/>
        </w:rPr>
      </w:pPr>
    </w:p>
    <w:p>
      <w:pPr>
        <w:tabs>
          <w:tab w:val="left" w:pos="709"/>
        </w:tabs>
        <w:spacing w:line="360" w:lineRule="auto"/>
        <w:ind w:left="709"/>
        <w:rPr>
          <w:rFonts w:ascii="宋体" w:hAnsi="宋体"/>
          <w:color w:val="000000"/>
          <w:sz w:val="24"/>
          <w:szCs w:val="24"/>
        </w:rPr>
      </w:pPr>
    </w:p>
    <w:p>
      <w:pPr>
        <w:pStyle w:val="40"/>
        <w:numPr>
          <w:ilvl w:val="0"/>
          <w:numId w:val="6"/>
        </w:numPr>
        <w:spacing w:line="360" w:lineRule="auto"/>
        <w:ind w:left="709" w:hanging="709"/>
        <w:jc w:val="left"/>
        <w:rPr>
          <w:color w:val="FF0000"/>
        </w:rPr>
      </w:pPr>
      <w:bookmarkStart w:id="46" w:name="_Toc2786237"/>
      <w:r>
        <w:rPr>
          <w:rFonts w:hint="eastAsia"/>
          <w:color w:val="FF0000"/>
        </w:rPr>
        <w:t>评分表</w:t>
      </w:r>
      <w:bookmarkEnd w:id="46"/>
    </w:p>
    <w:p>
      <w:pPr>
        <w:spacing w:line="360" w:lineRule="auto"/>
        <w:ind w:firstLine="420" w:firstLineChars="200"/>
        <w:rPr>
          <w:rFonts w:asciiTheme="minorEastAsia" w:hAnsiTheme="minorEastAsia" w:eastAsiaTheme="minorEastAsia"/>
          <w:b/>
          <w:sz w:val="24"/>
          <w:szCs w:val="24"/>
        </w:rPr>
      </w:pPr>
      <w:bookmarkStart w:id="47" w:name="_Toc2786238"/>
      <w:r>
        <w:rPr>
          <w:rFonts w:hint="eastAsia"/>
        </w:rPr>
        <w:t>商务评分表</w:t>
      </w:r>
      <w:bookmarkEnd w:id="47"/>
    </w:p>
    <w:tbl>
      <w:tblPr>
        <w:tblStyle w:val="43"/>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评分项</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技术响应情况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投标人应如实填写《技术规格偏离表》，评审委员会根据技术需求参数响应情况进行打分，各项技术参数指标及要求全部满足的得45分，带“</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”为重要参数，每负偏离一项扣10分，其他参数（每个最小排号的参数）每负偏离一项扣5分，扣完为止。正偏离不加分。（重要参数不能超过参数总项的10%）</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w:t>
            </w:r>
            <w:r>
              <w:rPr>
                <w:rFonts w:cs="宋体" w:asciiTheme="minorEastAsia" w:hAnsiTheme="minorEastAsia" w:eastAsiaTheme="minorEastAsia"/>
                <w:sz w:val="24"/>
                <w:szCs w:val="24"/>
              </w:rPr>
              <w:t>对带三角号（</w:t>
            </w:r>
            <w:r>
              <w:rPr>
                <w:rFonts w:hint="eastAsia" w:cs="宋体" w:asciiTheme="minorEastAsia" w:hAnsiTheme="minorEastAsia" w:eastAsiaTheme="minorEastAsia"/>
                <w:sz w:val="24"/>
                <w:szCs w:val="24"/>
              </w:rPr>
              <w:t>“</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）的重要技术参数投标人必须提供相关证明材料，否则按负偏离进行扣分。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6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技术保障措施</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专家打分</w:t>
            </w:r>
          </w:p>
        </w:tc>
        <w:tc>
          <w:tcPr>
            <w:tcW w:w="4394" w:type="dxa"/>
            <w:vAlign w:val="center"/>
          </w:tcPr>
          <w:p>
            <w:pPr>
              <w:spacing w:line="280" w:lineRule="exac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45"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商务响应情况</w:t>
            </w:r>
          </w:p>
        </w:tc>
        <w:tc>
          <w:tcPr>
            <w:tcW w:w="760" w:type="dxa"/>
            <w:gridSpan w:val="2"/>
            <w:vAlign w:val="center"/>
          </w:tcPr>
          <w:p>
            <w:pPr>
              <w:spacing w:line="240" w:lineRule="exact"/>
              <w:jc w:val="center"/>
              <w:rPr>
                <w:rFonts w:asciiTheme="minorEastAsia" w:hAnsiTheme="minorEastAsia" w:eastAsiaTheme="minorEastAsia"/>
                <w:sz w:val="24"/>
                <w:szCs w:val="24"/>
              </w:rPr>
            </w:pPr>
            <w:r>
              <w:rPr>
                <w:rFonts w:cs="宋体" w:asciiTheme="minorEastAsia" w:hAnsiTheme="minorEastAsia" w:eastAsiaTheme="minorEastAsia"/>
                <w:sz w:val="24"/>
                <w:szCs w:val="24"/>
              </w:rPr>
              <w:t>12</w:t>
            </w:r>
          </w:p>
        </w:tc>
        <w:tc>
          <w:tcPr>
            <w:tcW w:w="70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投标人应如实填写《商务规格偏离表》，评审委员会根据技术需求参数响应情况进行打分，各项技术参数指标及要求全部满足的得</w:t>
            </w:r>
            <w:r>
              <w:rPr>
                <w:rFonts w:cs="宋体" w:asciiTheme="minorEastAsia" w:hAnsiTheme="minorEastAsia" w:eastAsiaTheme="minorEastAsia"/>
                <w:sz w:val="24"/>
                <w:szCs w:val="24"/>
              </w:rPr>
              <w:t>12</w:t>
            </w:r>
            <w:r>
              <w:rPr>
                <w:rFonts w:hint="eastAsia" w:cs="宋体" w:asciiTheme="minorEastAsia" w:hAnsiTheme="minorEastAsia" w:eastAsiaTheme="minorEastAsia"/>
                <w:sz w:val="24"/>
                <w:szCs w:val="24"/>
              </w:rPr>
              <w:t>分，带“</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”为重要参数，每负偏离一项扣</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分，其他参数（每个最小排号的参数）每负偏离一项扣</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分，扣完为止。正偏离不加分。（重要参数不能超过参数总项的10%）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45"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业绩</w:t>
            </w:r>
          </w:p>
        </w:tc>
        <w:tc>
          <w:tcPr>
            <w:tcW w:w="760" w:type="dxa"/>
            <w:gridSpan w:val="2"/>
            <w:shd w:val="clear" w:color="auto" w:fill="auto"/>
            <w:vAlign w:val="center"/>
          </w:tcPr>
          <w:p>
            <w:pPr>
              <w:spacing w:line="240" w:lineRule="exact"/>
              <w:jc w:val="center"/>
              <w:rPr>
                <w:rFonts w:asciiTheme="minorEastAsia" w:hAnsiTheme="minorEastAsia" w:eastAsiaTheme="minorEastAsia"/>
                <w:sz w:val="24"/>
                <w:szCs w:val="24"/>
              </w:rPr>
            </w:pPr>
            <w:r>
              <w:rPr>
                <w:rFonts w:cs="宋体" w:asciiTheme="minorEastAsia" w:hAnsiTheme="minorEastAsia" w:eastAsiaTheme="minorEastAsia"/>
                <w:sz w:val="24"/>
                <w:szCs w:val="24"/>
              </w:rPr>
              <w:t>5</w:t>
            </w:r>
          </w:p>
        </w:tc>
        <w:tc>
          <w:tcPr>
            <w:tcW w:w="709"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64" w:lineRule="auto"/>
              <w:jc w:val="both"/>
              <w:textAlignment w:val="center"/>
              <w:rPr>
                <w:rFonts w:ascii="宋体" w:hAnsi="宋体" w:cs="宋体"/>
                <w:color w:val="000000"/>
                <w:szCs w:val="21"/>
                <w:lang w:bidi="ar"/>
              </w:rPr>
            </w:pPr>
            <w:r>
              <w:rPr>
                <w:rFonts w:hint="eastAsia" w:ascii="宋体" w:hAnsi="宋体" w:cs="宋体"/>
                <w:color w:val="000000"/>
                <w:szCs w:val="21"/>
                <w:lang w:bidi="ar"/>
              </w:rPr>
              <w:t>20</w:t>
            </w:r>
            <w:r>
              <w:rPr>
                <w:rFonts w:ascii="宋体" w:hAnsi="宋体" w:cs="宋体"/>
                <w:color w:val="000000"/>
                <w:szCs w:val="21"/>
                <w:lang w:bidi="ar"/>
              </w:rPr>
              <w:t>20</w:t>
            </w:r>
            <w:r>
              <w:rPr>
                <w:rFonts w:hint="eastAsia" w:ascii="宋体" w:hAnsi="宋体" w:cs="宋体"/>
                <w:color w:val="000000"/>
                <w:szCs w:val="21"/>
                <w:lang w:bidi="ar"/>
              </w:rPr>
              <w:t>年1月以来完成过与本项目类似项目业绩（类似项目是指：防病毒服务），每提供</w:t>
            </w:r>
            <w:r>
              <w:rPr>
                <w:rFonts w:ascii="宋体" w:hAnsi="宋体" w:cs="宋体"/>
                <w:color w:val="000000"/>
                <w:szCs w:val="21"/>
                <w:lang w:bidi="ar"/>
              </w:rPr>
              <w:t>1</w:t>
            </w:r>
            <w:r>
              <w:rPr>
                <w:rFonts w:hint="eastAsia" w:ascii="宋体" w:hAnsi="宋体" w:cs="宋体"/>
                <w:color w:val="000000"/>
                <w:szCs w:val="21"/>
                <w:lang w:bidi="ar"/>
              </w:rPr>
              <w:t>项得2</w:t>
            </w:r>
            <w:r>
              <w:rPr>
                <w:rFonts w:ascii="宋体" w:hAnsi="宋体" w:cs="宋体"/>
                <w:color w:val="000000"/>
                <w:szCs w:val="21"/>
                <w:lang w:bidi="ar"/>
              </w:rPr>
              <w:t>.5</w:t>
            </w:r>
            <w:r>
              <w:rPr>
                <w:rFonts w:hint="eastAsia" w:ascii="宋体" w:hAnsi="宋体" w:cs="宋体"/>
                <w:color w:val="000000"/>
                <w:szCs w:val="21"/>
                <w:lang w:bidi="ar"/>
              </w:rPr>
              <w:t>分，最高得</w:t>
            </w:r>
            <w:r>
              <w:rPr>
                <w:rFonts w:ascii="宋体" w:hAnsi="宋体" w:cs="宋体"/>
                <w:color w:val="000000"/>
                <w:szCs w:val="21"/>
                <w:lang w:bidi="ar"/>
              </w:rPr>
              <w:t>5</w:t>
            </w:r>
            <w:r>
              <w:rPr>
                <w:rFonts w:hint="eastAsia" w:ascii="宋体" w:hAnsi="宋体" w:cs="宋体"/>
                <w:color w:val="000000"/>
                <w:szCs w:val="21"/>
                <w:lang w:bidi="ar"/>
              </w:rPr>
              <w:t>分。</w:t>
            </w:r>
          </w:p>
          <w:p>
            <w:pPr>
              <w:spacing w:line="280" w:lineRule="exact"/>
              <w:rPr>
                <w:rFonts w:asciiTheme="minorEastAsia" w:hAnsiTheme="minorEastAsia" w:eastAsiaTheme="minorEastAsia"/>
                <w:sz w:val="24"/>
                <w:szCs w:val="24"/>
              </w:rPr>
            </w:pPr>
            <w:r>
              <w:rPr>
                <w:rFonts w:hint="eastAsia" w:ascii="宋体" w:hAnsi="宋体" w:cs="宋体"/>
                <w:b/>
                <w:bCs/>
                <w:color w:val="000000"/>
              </w:rPr>
              <w:t>【</w:t>
            </w:r>
            <w:r>
              <w:rPr>
                <w:rFonts w:hint="eastAsia" w:ascii="宋体" w:hAnsi="宋体" w:cs="宋体"/>
                <w:b/>
                <w:bCs/>
                <w:color w:val="000000"/>
                <w:szCs w:val="21"/>
                <w:lang w:bidi="ar"/>
              </w:rPr>
              <w:t>注：提供合同复印件并加盖公章，未提供不得分。</w:t>
            </w:r>
            <w:r>
              <w:rPr>
                <w:rFonts w:hint="eastAsia" w:ascii="宋体" w:hAnsi="宋体" w:cs="宋体"/>
                <w:b/>
                <w:bCs/>
                <w:color w:val="000000"/>
              </w:rPr>
              <w:t>】</w:t>
            </w:r>
            <w:r>
              <w:rPr>
                <w:rFonts w:hint="eastAsia" w:cs="宋体"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7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评审标准：依据深财购[2017]42号文的有关规定，本项目将对投标人诚信进行评审：</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（1）投标人不存在不诚信情况且按照要求提供承诺函的，得5分。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（2）投标人存在不诚信情况或未按规定提供承诺函的，得0分。</w:t>
            </w:r>
          </w:p>
        </w:tc>
      </w:tr>
    </w:tbl>
    <w:p>
      <w:pPr>
        <w:pStyle w:val="5"/>
        <w:numPr>
          <w:ilvl w:val="0"/>
          <w:numId w:val="0"/>
        </w:numPr>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widowControl/>
        <w:jc w:val="left"/>
      </w:pPr>
    </w:p>
    <w:p>
      <w:pPr>
        <w:widowControl/>
        <w:jc w:val="left"/>
      </w:pPr>
    </w:p>
    <w:p>
      <w:pPr>
        <w:widowControl/>
        <w:jc w:val="left"/>
      </w:pPr>
    </w:p>
    <w:p>
      <w:pPr>
        <w:widowControl/>
        <w:jc w:val="left"/>
      </w:pPr>
    </w:p>
    <w:p>
      <w:pPr>
        <w:pStyle w:val="2"/>
      </w:pPr>
    </w:p>
    <w:p>
      <w:pPr>
        <w:pStyle w:val="3"/>
      </w:pPr>
    </w:p>
    <w:p>
      <w:pPr>
        <w:pStyle w:val="2"/>
      </w:pPr>
    </w:p>
    <w:p>
      <w:pPr>
        <w:pStyle w:val="3"/>
      </w:pPr>
    </w:p>
    <w:p>
      <w:pPr>
        <w:pStyle w:val="2"/>
      </w:pPr>
    </w:p>
    <w:p>
      <w:pPr>
        <w:pStyle w:val="3"/>
      </w:pPr>
    </w:p>
    <w:p>
      <w:pPr>
        <w:pStyle w:val="2"/>
      </w:pPr>
    </w:p>
    <w:p>
      <w:pPr>
        <w:pStyle w:val="3"/>
      </w:pPr>
    </w:p>
    <w:p>
      <w:pPr>
        <w:jc w:val="center"/>
        <w:rPr>
          <w:rFonts w:ascii="宋体" w:hAnsi="宋体"/>
          <w:b/>
          <w:sz w:val="24"/>
          <w:szCs w:val="24"/>
          <w:u w:val="single"/>
        </w:rPr>
      </w:pP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p>
    <w:p>
      <w:pPr>
        <w:jc w:val="center"/>
        <w:rPr>
          <w:rFonts w:ascii="宋体" w:hAnsi="宋体"/>
          <w:b/>
          <w:sz w:val="24"/>
          <w:szCs w:val="24"/>
        </w:rPr>
      </w:pPr>
      <w:r>
        <w:rPr>
          <w:rFonts w:hint="eastAsia" w:ascii="宋体" w:hAnsi="宋体"/>
          <w:b/>
          <w:sz w:val="24"/>
          <w:szCs w:val="24"/>
        </w:rPr>
        <w:t>项目投标文件</w:t>
      </w:r>
    </w:p>
    <w:p>
      <w:pPr>
        <w:rPr>
          <w:rFonts w:ascii="宋体" w:hAnsi="宋体"/>
          <w:b/>
          <w:sz w:val="24"/>
          <w:szCs w:val="24"/>
        </w:rPr>
      </w:pPr>
    </w:p>
    <w:p>
      <w:pPr>
        <w:jc w:val="cente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w:t>
      </w:r>
      <w:r>
        <w:rPr>
          <w:rFonts w:hint="eastAsia" w:ascii="宋体" w:hAnsi="宋体"/>
          <w:b/>
          <w:sz w:val="24"/>
          <w:szCs w:val="24"/>
          <w:u w:val="single"/>
        </w:rPr>
        <w:t xml:space="preserve">                          </w:t>
      </w:r>
    </w:p>
    <w:p>
      <w:pPr>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rPr>
          <w:rFonts w:ascii="宋体" w:hAnsi="宋体"/>
          <w:sz w:val="24"/>
          <w:szCs w:val="24"/>
        </w:rPr>
        <w:sectPr>
          <w:footerReference r:id="rId7" w:type="default"/>
          <w:headerReference r:id="rId6" w:type="even"/>
          <w:pgSz w:w="11906" w:h="16838"/>
          <w:pgMar w:top="1701" w:right="1588" w:bottom="1304" w:left="1588" w:header="1247" w:footer="737" w:gutter="0"/>
          <w:cols w:space="720" w:num="1"/>
          <w:docGrid w:linePitch="380" w:charSpace="-4301"/>
        </w:sectPr>
      </w:pPr>
    </w:p>
    <w:p>
      <w:pPr>
        <w:rPr>
          <w:rFonts w:ascii="宋体" w:hAnsi="宋体"/>
          <w:szCs w:val="21"/>
        </w:rPr>
      </w:pPr>
      <w:bookmarkStart w:id="48" w:name="_Toc211243316"/>
      <w:bookmarkStart w:id="49" w:name="_Toc311468376"/>
      <w:r>
        <w:rPr>
          <w:rFonts w:ascii="宋体" w:hAnsi="宋体"/>
          <w:szCs w:val="21"/>
        </w:rPr>
        <w:t>格式2.</w:t>
      </w:r>
      <w:bookmarkEnd w:id="48"/>
      <w:r>
        <w:rPr>
          <w:rFonts w:ascii="宋体" w:hAnsi="宋体"/>
          <w:szCs w:val="21"/>
        </w:rPr>
        <w:t xml:space="preserve"> 开标一览表格式</w:t>
      </w:r>
      <w:bookmarkEnd w:id="49"/>
    </w:p>
    <w:p>
      <w:pPr>
        <w:spacing w:before="120" w:after="240"/>
        <w:jc w:val="center"/>
        <w:rPr>
          <w:rFonts w:eastAsia="黑体"/>
          <w:sz w:val="30"/>
          <w:szCs w:val="30"/>
        </w:rPr>
      </w:pPr>
      <w:r>
        <w:rPr>
          <w:rFonts w:eastAsia="黑体"/>
          <w:sz w:val="30"/>
          <w:szCs w:val="30"/>
        </w:rPr>
        <w:t>开标一览表</w:t>
      </w:r>
    </w:p>
    <w:p>
      <w:pPr>
        <w:rPr>
          <w:szCs w:val="21"/>
          <w:u w:val="single"/>
        </w:rPr>
      </w:pPr>
      <w:r>
        <w:rPr>
          <w:szCs w:val="21"/>
        </w:rPr>
        <w:t>投标人名称</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 xml:space="preserve">： </w:t>
      </w:r>
      <w:r>
        <w:rPr>
          <w:szCs w:val="21"/>
          <w:u w:val="single"/>
        </w:rPr>
        <w:t xml:space="preserve">         </w:t>
      </w:r>
    </w:p>
    <w:p>
      <w:pPr>
        <w:rPr>
          <w:szCs w:val="21"/>
        </w:rPr>
      </w:pPr>
    </w:p>
    <w:tbl>
      <w:tblPr>
        <w:tblStyle w:val="43"/>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bCs/>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r>
              <w:rPr>
                <w:rFonts w:hint="eastAsia" w:ascii="宋体" w:hAnsi="宋体"/>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pPr>
        <w:tabs>
          <w:tab w:val="left" w:pos="654"/>
          <w:tab w:val="left" w:pos="1734"/>
          <w:tab w:val="left" w:pos="2814"/>
          <w:tab w:val="left" w:pos="3894"/>
          <w:tab w:val="left" w:pos="5334"/>
          <w:tab w:val="left" w:pos="6414"/>
          <w:tab w:val="left" w:pos="7254"/>
          <w:tab w:val="left" w:pos="8574"/>
          <w:tab w:val="left" w:pos="9654"/>
        </w:tabs>
        <w:rPr>
          <w:szCs w:val="21"/>
        </w:rPr>
      </w:pPr>
    </w:p>
    <w:p>
      <w:pPr>
        <w:tabs>
          <w:tab w:val="left" w:pos="654"/>
          <w:tab w:val="left" w:pos="1734"/>
          <w:tab w:val="left" w:pos="2814"/>
          <w:tab w:val="left" w:pos="3894"/>
          <w:tab w:val="left" w:pos="5334"/>
          <w:tab w:val="left" w:pos="6414"/>
          <w:tab w:val="left" w:pos="7254"/>
          <w:tab w:val="left" w:pos="8574"/>
          <w:tab w:val="left" w:pos="9654"/>
        </w:tabs>
        <w:rPr>
          <w:szCs w:val="21"/>
          <w:u w:val="single"/>
        </w:rPr>
      </w:pPr>
      <w:r>
        <w:rPr>
          <w:szCs w:val="21"/>
        </w:rPr>
        <w:t>法人代表或被授权人签字</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单位盖章：</w:t>
      </w:r>
      <w:r>
        <w:rPr>
          <w:szCs w:val="21"/>
          <w:u w:val="single"/>
        </w:rPr>
        <w:t xml:space="preserve"> </w:t>
      </w:r>
      <w:r>
        <w:rPr>
          <w:rFonts w:hint="eastAsia"/>
          <w:szCs w:val="21"/>
          <w:u w:val="single"/>
        </w:rPr>
        <w:t xml:space="preserve">                                </w:t>
      </w:r>
      <w:r>
        <w:rPr>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rPr>
          <w:szCs w:val="21"/>
          <w:u w:val="single"/>
        </w:rPr>
      </w:pPr>
    </w:p>
    <w:p>
      <w:pPr>
        <w:rPr>
          <w:rFonts w:ascii="宋体" w:hAnsi="宋体"/>
          <w:bCs/>
          <w:sz w:val="24"/>
          <w:szCs w:val="24"/>
        </w:rPr>
      </w:pPr>
      <w:r>
        <w:rPr>
          <w:rFonts w:ascii="宋体" w:hAnsi="宋体"/>
          <w:szCs w:val="21"/>
        </w:rPr>
        <w:br w:type="page"/>
      </w:r>
    </w:p>
    <w:p>
      <w:pPr>
        <w:rPr>
          <w:rFonts w:ascii="宋体" w:hAnsi="宋体"/>
          <w:szCs w:val="21"/>
        </w:rPr>
      </w:pPr>
      <w:r>
        <w:rPr>
          <w:rFonts w:ascii="宋体" w:hAnsi="宋体"/>
          <w:szCs w:val="21"/>
        </w:rPr>
        <w:t>格式3. 投标分项报价表格式</w:t>
      </w:r>
    </w:p>
    <w:p>
      <w:pPr>
        <w:spacing w:before="120" w:after="240"/>
        <w:jc w:val="center"/>
        <w:rPr>
          <w:rFonts w:eastAsia="黑体"/>
          <w:sz w:val="30"/>
          <w:szCs w:val="30"/>
        </w:rPr>
      </w:pPr>
      <w:bookmarkStart w:id="50" w:name="_Toc211248414"/>
      <w:r>
        <w:rPr>
          <w:rFonts w:eastAsia="黑体"/>
          <w:sz w:val="30"/>
          <w:szCs w:val="30"/>
        </w:rPr>
        <w:t>投标分项报价表</w:t>
      </w:r>
      <w:bookmarkEnd w:id="50"/>
    </w:p>
    <w:p>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pPr>
        <w:spacing w:after="80"/>
        <w:rPr>
          <w:szCs w:val="21"/>
          <w:u w:val="single"/>
        </w:rPr>
      </w:pPr>
      <w:r>
        <w:rPr>
          <w:szCs w:val="21"/>
        </w:rPr>
        <w:t>投标人名称：</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Style w:val="43"/>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jc w:val="center"/>
              <w:rPr>
                <w:szCs w:val="21"/>
              </w:rPr>
            </w:pPr>
            <w:r>
              <w:rPr>
                <w:rFonts w:hint="eastAsia" w:ascii="宋体" w:hAnsi="宋体"/>
                <w:szCs w:val="21"/>
              </w:rPr>
              <w:t>投标人招标文件内容自行制作</w:t>
            </w:r>
            <w:r>
              <w:rPr>
                <w:rFonts w:ascii="宋体" w:hAnsi="宋体"/>
                <w:szCs w:val="21"/>
              </w:rPr>
              <w:t>投标分项报价表</w:t>
            </w:r>
          </w:p>
        </w:tc>
      </w:tr>
    </w:tbl>
    <w:p>
      <w:pPr>
        <w:rPr>
          <w:szCs w:val="21"/>
          <w:u w:val="single"/>
        </w:rPr>
      </w:pPr>
    </w:p>
    <w:p>
      <w:pPr>
        <w:rPr>
          <w:szCs w:val="21"/>
          <w:u w:val="single"/>
        </w:rPr>
      </w:pPr>
    </w:p>
    <w:p>
      <w:pPr>
        <w:rPr>
          <w:szCs w:val="21"/>
          <w:u w:val="single"/>
        </w:rPr>
      </w:pPr>
      <w:r>
        <w:rPr>
          <w:szCs w:val="21"/>
        </w:rPr>
        <w:t>法人代表或被授权人签字</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单位盖章：</w:t>
      </w:r>
      <w:r>
        <w:rPr>
          <w:szCs w:val="21"/>
          <w:u w:val="single"/>
        </w:rPr>
        <w:t xml:space="preserve"> </w:t>
      </w:r>
      <w:r>
        <w:rPr>
          <w:rFonts w:hint="eastAsia"/>
          <w:szCs w:val="21"/>
          <w:u w:val="single"/>
        </w:rPr>
        <w:t xml:space="preserve">                                  </w:t>
      </w:r>
      <w:r>
        <w:rPr>
          <w:szCs w:val="21"/>
          <w:u w:val="single"/>
        </w:rPr>
        <w:t xml:space="preserve"> </w:t>
      </w:r>
    </w:p>
    <w:p>
      <w:pPr>
        <w:rPr>
          <w:rFonts w:ascii="宋体" w:hAnsi="宋体"/>
          <w:szCs w:val="21"/>
        </w:rPr>
      </w:pPr>
      <w:r>
        <w:rPr>
          <w:rFonts w:ascii="宋体" w:hAnsi="宋体"/>
          <w:szCs w:val="21"/>
        </w:rPr>
        <w:t>注：1、如果分项报价与总价不一致，以总价为准。</w:t>
      </w:r>
    </w:p>
    <w:p>
      <w:pPr>
        <w:rPr>
          <w:rFonts w:ascii="宋体" w:hAnsi="宋体"/>
          <w:szCs w:val="21"/>
        </w:rPr>
      </w:pPr>
      <w:r>
        <w:rPr>
          <w:rFonts w:ascii="宋体" w:hAnsi="宋体"/>
          <w:szCs w:val="21"/>
        </w:rPr>
        <w:t xml:space="preserve">    2、如果不提供详细分项报价将视为没有实质性相应招标文件。</w:t>
      </w:r>
    </w:p>
    <w:p>
      <w:pPr>
        <w:rPr>
          <w:rFonts w:ascii="宋体" w:hAnsi="宋体"/>
          <w:szCs w:val="21"/>
        </w:rPr>
        <w:sectPr>
          <w:headerReference r:id="rId8" w:type="default"/>
          <w:footerReference r:id="rId9" w:type="default"/>
          <w:footerReference r:id="rId10" w:type="even"/>
          <w:pgSz w:w="16840" w:h="11907" w:orient="landscape"/>
          <w:pgMar w:top="1440" w:right="1797" w:bottom="1440" w:left="1797" w:header="851" w:footer="992" w:gutter="0"/>
          <w:cols w:space="720" w:num="1"/>
          <w:docGrid w:linePitch="462" w:charSpace="0"/>
        </w:sectPr>
      </w:pPr>
      <w:r>
        <w:rPr>
          <w:rFonts w:ascii="宋体" w:hAnsi="宋体"/>
          <w:szCs w:val="21"/>
        </w:rPr>
        <w:t xml:space="preserve">    3、总计价应等于“开标一览表”中的投标总价</w:t>
      </w:r>
    </w:p>
    <w:p>
      <w:pPr>
        <w:rPr>
          <w:rFonts w:ascii="宋体" w:hAnsi="宋体"/>
          <w:szCs w:val="21"/>
        </w:rPr>
      </w:pPr>
      <w:bookmarkStart w:id="51" w:name="_Toc211243319"/>
      <w:bookmarkStart w:id="52" w:name="_Toc311468378"/>
      <w:r>
        <w:rPr>
          <w:rFonts w:ascii="宋体" w:hAnsi="宋体"/>
          <w:szCs w:val="21"/>
        </w:rPr>
        <w:t>格式</w:t>
      </w:r>
      <w:r>
        <w:rPr>
          <w:rFonts w:hint="eastAsia" w:ascii="宋体" w:hAnsi="宋体"/>
          <w:szCs w:val="21"/>
        </w:rPr>
        <w:t>4</w:t>
      </w:r>
      <w:r>
        <w:rPr>
          <w:rFonts w:ascii="宋体" w:hAnsi="宋体"/>
          <w:szCs w:val="21"/>
        </w:rPr>
        <w:t>.</w:t>
      </w:r>
      <w:bookmarkEnd w:id="51"/>
      <w:r>
        <w:rPr>
          <w:rFonts w:ascii="宋体" w:hAnsi="宋体"/>
          <w:szCs w:val="21"/>
        </w:rPr>
        <w:t xml:space="preserve"> 技术</w:t>
      </w:r>
      <w:r>
        <w:rPr>
          <w:rFonts w:hint="eastAsia" w:ascii="宋体" w:hAnsi="宋体"/>
          <w:szCs w:val="21"/>
        </w:rPr>
        <w:t>需求</w:t>
      </w:r>
      <w:r>
        <w:rPr>
          <w:rFonts w:ascii="宋体" w:hAnsi="宋体"/>
          <w:szCs w:val="21"/>
        </w:rPr>
        <w:t>响应/偏离表</w:t>
      </w:r>
      <w:bookmarkEnd w:id="52"/>
    </w:p>
    <w:p>
      <w:pPr>
        <w:spacing w:before="240" w:after="240"/>
        <w:jc w:val="center"/>
        <w:rPr>
          <w:rFonts w:eastAsia="黑体"/>
          <w:sz w:val="30"/>
          <w:szCs w:val="30"/>
        </w:rPr>
      </w:pPr>
      <w:r>
        <w:rPr>
          <w:rFonts w:eastAsia="黑体"/>
          <w:sz w:val="30"/>
          <w:szCs w:val="30"/>
        </w:rPr>
        <w:t>技术</w:t>
      </w:r>
      <w:r>
        <w:rPr>
          <w:rFonts w:hint="eastAsia" w:eastAsia="黑体"/>
          <w:sz w:val="30"/>
          <w:szCs w:val="30"/>
        </w:rPr>
        <w:t>需求</w:t>
      </w:r>
      <w:r>
        <w:rPr>
          <w:rFonts w:eastAsia="黑体"/>
          <w:sz w:val="30"/>
          <w:szCs w:val="30"/>
        </w:rPr>
        <w:t>响应/偏离表</w:t>
      </w:r>
    </w:p>
    <w:p>
      <w:pPr>
        <w:rPr>
          <w:szCs w:val="21"/>
          <w:u w:val="single"/>
        </w:rPr>
      </w:pPr>
      <w:r>
        <w:rPr>
          <w:szCs w:val="21"/>
        </w:rPr>
        <w:t>投标人名称：</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Style w:val="4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sz w:val="24"/>
                <w:szCs w:val="24"/>
              </w:rPr>
            </w:pPr>
            <w:r>
              <w:rPr>
                <w:rFonts w:hint="eastAsia"/>
                <w:szCs w:val="24"/>
              </w:rPr>
              <w:t>项目</w:t>
            </w:r>
            <w:r>
              <w:rPr>
                <w:szCs w:val="24"/>
              </w:rPr>
              <w:t>名称</w:t>
            </w:r>
          </w:p>
        </w:tc>
        <w:tc>
          <w:tcPr>
            <w:tcW w:w="1980" w:type="dxa"/>
            <w:vAlign w:val="center"/>
          </w:tcPr>
          <w:p>
            <w:pPr>
              <w:jc w:val="center"/>
              <w:rPr>
                <w:szCs w:val="24"/>
              </w:rPr>
            </w:pPr>
            <w:r>
              <w:rPr>
                <w:szCs w:val="24"/>
              </w:rPr>
              <w:t>招标文件技术需求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rFonts w:ascii="宋体" w:hAnsi="宋体"/>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bl>
    <w:p>
      <w:pPr>
        <w:rPr>
          <w:rFonts w:ascii="宋体" w:hAnsi="宋体"/>
          <w:szCs w:val="21"/>
          <w:u w:val="single"/>
        </w:rPr>
      </w:pPr>
    </w:p>
    <w:p>
      <w:pPr>
        <w:rPr>
          <w:rFonts w:ascii="宋体" w:hAnsi="宋体"/>
          <w:sz w:val="18"/>
          <w:szCs w:val="24"/>
        </w:rPr>
      </w:pPr>
      <w:r>
        <w:rPr>
          <w:rFonts w:ascii="宋体" w:hAnsi="宋体"/>
          <w:sz w:val="18"/>
          <w:szCs w:val="24"/>
        </w:rPr>
        <w:t>填报说明：</w:t>
      </w:r>
    </w:p>
    <w:p>
      <w:pPr>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本表中的《招标文件技术需求》来自招标文件第二章“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w:t>
      </w:r>
      <w:r>
        <w:rPr>
          <w:rFonts w:hint="eastAsia" w:ascii="宋体" w:hAnsi="宋体"/>
          <w:sz w:val="18"/>
          <w:szCs w:val="24"/>
        </w:rPr>
        <w:t>做出</w:t>
      </w:r>
      <w:r>
        <w:rPr>
          <w:rFonts w:ascii="宋体" w:hAnsi="宋体"/>
          <w:sz w:val="18"/>
          <w:szCs w:val="24"/>
        </w:rPr>
        <w:t>响应。</w:t>
      </w:r>
    </w:p>
    <w:p>
      <w:pPr>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rPr>
          <w:rFonts w:ascii="宋体" w:hAnsi="宋体"/>
          <w:sz w:val="18"/>
          <w:szCs w:val="24"/>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w:t>
      </w:r>
      <w:r>
        <w:rPr>
          <w:rFonts w:hint="eastAsia" w:ascii="宋体" w:hAnsi="宋体"/>
          <w:sz w:val="18"/>
          <w:szCs w:val="24"/>
        </w:rPr>
        <w:t>偏离</w:t>
      </w:r>
      <w:r>
        <w:rPr>
          <w:rFonts w:ascii="宋体" w:hAnsi="宋体"/>
          <w:sz w:val="18"/>
          <w:szCs w:val="24"/>
        </w:rPr>
        <w:t>说明》栏中作出说明。</w:t>
      </w:r>
    </w:p>
    <w:p>
      <w:pPr>
        <w:rPr>
          <w:rFonts w:ascii="宋体" w:hAnsi="宋体"/>
          <w:szCs w:val="21"/>
        </w:rPr>
      </w:pPr>
    </w:p>
    <w:p>
      <w:pPr>
        <w:rPr>
          <w:rFonts w:ascii="宋体" w:hAnsi="宋体"/>
          <w:bCs/>
          <w:sz w:val="24"/>
          <w:szCs w:val="24"/>
        </w:rPr>
      </w:pPr>
      <w:r>
        <w:rPr>
          <w:rFonts w:ascii="宋体" w:hAnsi="宋体"/>
          <w:szCs w:val="21"/>
        </w:rPr>
        <w:t>法人代表或被授权人签字</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pStyle w:val="2"/>
        <w:rPr>
          <w:rFonts w:ascii="宋体" w:hAnsi="宋体"/>
          <w:bCs/>
          <w:sz w:val="24"/>
          <w:szCs w:val="24"/>
        </w:rPr>
      </w:pPr>
    </w:p>
    <w:p>
      <w:pPr>
        <w:pStyle w:val="3"/>
        <w:rPr>
          <w:rFonts w:ascii="宋体" w:hAnsi="宋体"/>
          <w:bCs/>
          <w:sz w:val="24"/>
          <w:szCs w:val="24"/>
        </w:rPr>
      </w:pPr>
    </w:p>
    <w:p>
      <w:pPr>
        <w:pStyle w:val="2"/>
        <w:rPr>
          <w:rFonts w:ascii="宋体" w:hAnsi="宋体"/>
          <w:bCs/>
          <w:sz w:val="24"/>
          <w:szCs w:val="24"/>
        </w:rPr>
      </w:pPr>
    </w:p>
    <w:p>
      <w:pPr>
        <w:pStyle w:val="3"/>
        <w:rPr>
          <w:rFonts w:ascii="宋体" w:hAnsi="宋体"/>
          <w:bCs/>
          <w:sz w:val="24"/>
          <w:szCs w:val="24"/>
        </w:rPr>
      </w:pPr>
    </w:p>
    <w:p>
      <w:pPr>
        <w:pStyle w:val="2"/>
        <w:rPr>
          <w:rFonts w:ascii="宋体" w:hAnsi="宋体"/>
          <w:bCs/>
          <w:sz w:val="24"/>
          <w:szCs w:val="24"/>
        </w:rPr>
      </w:pPr>
    </w:p>
    <w:p>
      <w:pPr>
        <w:pStyle w:val="3"/>
        <w:rPr>
          <w:rFonts w:ascii="宋体" w:hAnsi="宋体"/>
          <w:bCs/>
          <w:sz w:val="24"/>
          <w:szCs w:val="24"/>
        </w:rPr>
      </w:pPr>
    </w:p>
    <w:p>
      <w:pPr>
        <w:pStyle w:val="2"/>
        <w:rPr>
          <w:rFonts w:ascii="宋体" w:hAnsi="宋体"/>
          <w:bCs/>
          <w:sz w:val="24"/>
          <w:szCs w:val="24"/>
        </w:rPr>
      </w:pPr>
    </w:p>
    <w:p>
      <w:pPr>
        <w:pStyle w:val="3"/>
        <w:rPr>
          <w:rFonts w:ascii="宋体" w:hAnsi="宋体"/>
          <w:bCs/>
          <w:sz w:val="24"/>
          <w:szCs w:val="24"/>
        </w:rPr>
      </w:pPr>
    </w:p>
    <w:p>
      <w:pPr>
        <w:pStyle w:val="2"/>
        <w:rPr>
          <w:rFonts w:ascii="宋体" w:hAnsi="宋体"/>
          <w:bCs/>
          <w:sz w:val="24"/>
          <w:szCs w:val="24"/>
        </w:rPr>
      </w:pPr>
    </w:p>
    <w:p>
      <w:pPr>
        <w:pStyle w:val="3"/>
      </w:pPr>
      <w:bookmarkStart w:id="59" w:name="_GoBack"/>
      <w:bookmarkEnd w:id="59"/>
    </w:p>
    <w:p>
      <w:pPr>
        <w:rPr>
          <w:rFonts w:ascii="宋体" w:hAnsi="宋体"/>
          <w:bCs/>
          <w:sz w:val="24"/>
          <w:szCs w:val="24"/>
        </w:rPr>
      </w:pPr>
    </w:p>
    <w:p>
      <w:pPr>
        <w:rPr>
          <w:rFonts w:ascii="宋体" w:hAnsi="宋体"/>
          <w:bCs/>
          <w:sz w:val="24"/>
          <w:szCs w:val="24"/>
        </w:rPr>
      </w:pPr>
    </w:p>
    <w:p>
      <w:pPr>
        <w:rPr>
          <w:rFonts w:ascii="宋体" w:hAnsi="宋体"/>
          <w:szCs w:val="21"/>
        </w:rPr>
      </w:pPr>
      <w:r>
        <w:rPr>
          <w:rFonts w:ascii="宋体" w:hAnsi="宋体"/>
          <w:szCs w:val="21"/>
        </w:rPr>
        <w:t>格式</w:t>
      </w:r>
      <w:r>
        <w:rPr>
          <w:rFonts w:hint="eastAsia" w:ascii="宋体" w:hAnsi="宋体"/>
          <w:szCs w:val="21"/>
        </w:rPr>
        <w:t>5.</w:t>
      </w:r>
      <w:r>
        <w:rPr>
          <w:rFonts w:ascii="宋体" w:hAnsi="宋体"/>
          <w:szCs w:val="21"/>
        </w:rPr>
        <w:t xml:space="preserve"> 商务条款响应/偏离表格式</w:t>
      </w:r>
    </w:p>
    <w:p>
      <w:pPr>
        <w:spacing w:before="240" w:after="240"/>
        <w:jc w:val="center"/>
        <w:rPr>
          <w:rFonts w:eastAsia="黑体"/>
          <w:sz w:val="30"/>
          <w:szCs w:val="30"/>
        </w:rPr>
      </w:pPr>
      <w:bookmarkStart w:id="53" w:name="_Toc211248420"/>
      <w:r>
        <w:rPr>
          <w:rFonts w:eastAsia="黑体"/>
          <w:sz w:val="30"/>
          <w:szCs w:val="30"/>
        </w:rPr>
        <w:t>商务条款响应/偏离表</w:t>
      </w:r>
      <w:bookmarkEnd w:id="53"/>
    </w:p>
    <w:p>
      <w:pPr>
        <w:rPr>
          <w:szCs w:val="21"/>
          <w:u w:val="single"/>
        </w:rPr>
      </w:pPr>
      <w:r>
        <w:rPr>
          <w:szCs w:val="21"/>
        </w:rPr>
        <w:t>投标人名称：</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Style w:val="4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sz w:val="24"/>
                <w:szCs w:val="24"/>
              </w:rPr>
            </w:pPr>
            <w:r>
              <w:rPr>
                <w:szCs w:val="24"/>
              </w:rPr>
              <w:t>需求名称</w:t>
            </w:r>
          </w:p>
        </w:tc>
        <w:tc>
          <w:tcPr>
            <w:tcW w:w="1980" w:type="dxa"/>
            <w:vAlign w:val="center"/>
          </w:tcPr>
          <w:p>
            <w:pPr>
              <w:jc w:val="center"/>
              <w:rPr>
                <w:sz w:val="24"/>
                <w:szCs w:val="24"/>
              </w:rPr>
            </w:pPr>
            <w:r>
              <w:rPr>
                <w:szCs w:val="24"/>
              </w:rPr>
              <w:t>招标文件商务需求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rFonts w:ascii="宋体" w:hAnsi="宋体"/>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bl>
    <w:p>
      <w:pPr>
        <w:rPr>
          <w:szCs w:val="21"/>
          <w:u w:val="single"/>
        </w:rPr>
      </w:pPr>
    </w:p>
    <w:p>
      <w:pPr>
        <w:rPr>
          <w:rFonts w:ascii="宋体" w:hAnsi="宋体"/>
          <w:sz w:val="18"/>
          <w:szCs w:val="24"/>
        </w:rPr>
      </w:pPr>
      <w:r>
        <w:rPr>
          <w:rFonts w:ascii="宋体" w:hAnsi="宋体"/>
          <w:sz w:val="18"/>
          <w:szCs w:val="24"/>
        </w:rPr>
        <w:t>填报说明：</w:t>
      </w:r>
    </w:p>
    <w:p>
      <w:pPr>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本表中的《招标文件商务需求》来自招标文件 “商务需求明细”，投标人须逐条填写在本表中，并</w:t>
      </w:r>
      <w:r>
        <w:rPr>
          <w:rFonts w:hint="eastAsia" w:ascii="宋体" w:hAnsi="宋体"/>
          <w:sz w:val="18"/>
          <w:szCs w:val="24"/>
        </w:rPr>
        <w:t>做出</w:t>
      </w:r>
      <w:r>
        <w:rPr>
          <w:rFonts w:ascii="宋体" w:hAnsi="宋体"/>
          <w:sz w:val="18"/>
          <w:szCs w:val="24"/>
        </w:rPr>
        <w:t>响应。</w:t>
      </w:r>
    </w:p>
    <w:p>
      <w:pPr>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rPr>
          <w:rFonts w:ascii="宋体" w:hAnsi="宋体"/>
          <w:sz w:val="18"/>
          <w:szCs w:val="21"/>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《有/无偏离》栏只需填“有”或“无”，填“有”的可以在其后《偏离说明》栏中作出说明。</w:t>
      </w:r>
    </w:p>
    <w:p>
      <w:pPr>
        <w:rPr>
          <w:rFonts w:ascii="宋体" w:hAnsi="宋体"/>
          <w:szCs w:val="21"/>
        </w:rPr>
      </w:pPr>
    </w:p>
    <w:p>
      <w:pPr>
        <w:rPr>
          <w:rFonts w:ascii="宋体" w:hAnsi="宋体"/>
          <w:szCs w:val="21"/>
          <w:u w:val="single"/>
        </w:rPr>
      </w:pPr>
      <w:r>
        <w:rPr>
          <w:rFonts w:ascii="宋体" w:hAnsi="宋体"/>
          <w:szCs w:val="21"/>
        </w:rPr>
        <w:t>法人代表或被授权人签字</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rPr>
          <w:rFonts w:ascii="宋体" w:hAnsi="宋体"/>
          <w:szCs w:val="21"/>
        </w:rPr>
      </w:pPr>
    </w:p>
    <w:p>
      <w:pPr>
        <w:rPr>
          <w:rFonts w:ascii="宋体" w:hAnsi="宋体"/>
          <w:szCs w:val="21"/>
          <w:u w:val="single"/>
        </w:rPr>
      </w:pPr>
      <w:r>
        <w:rPr>
          <w:rFonts w:ascii="宋体" w:hAnsi="宋体"/>
          <w:szCs w:val="21"/>
        </w:rPr>
        <w:t>单位盖章：</w:t>
      </w:r>
      <w:r>
        <w:rPr>
          <w:rFonts w:ascii="宋体" w:hAnsi="宋体"/>
          <w:szCs w:val="21"/>
          <w:u w:val="single"/>
        </w:rPr>
        <w:t xml:space="preserve">  </w:t>
      </w:r>
      <w:r>
        <w:rPr>
          <w:rFonts w:hint="eastAsia" w:ascii="宋体" w:hAnsi="宋体"/>
          <w:szCs w:val="21"/>
          <w:u w:val="single"/>
        </w:rPr>
        <w:t xml:space="preserve">                        </w:t>
      </w:r>
      <w:r>
        <w:rPr>
          <w:szCs w:val="21"/>
          <w:u w:val="single"/>
        </w:rPr>
        <w:t xml:space="preserve"> </w:t>
      </w:r>
    </w:p>
    <w:p>
      <w:pPr>
        <w:rPr>
          <w:rFonts w:ascii="宋体" w:hAnsi="宋体"/>
          <w:bCs/>
          <w:sz w:val="24"/>
          <w:szCs w:val="24"/>
        </w:rPr>
      </w:pPr>
      <w:r>
        <w:rPr>
          <w:rFonts w:ascii="宋体" w:hAnsi="宋体"/>
          <w:szCs w:val="21"/>
        </w:rPr>
        <w:br w:type="page"/>
      </w:r>
    </w:p>
    <w:p>
      <w:pPr>
        <w:rPr>
          <w:rFonts w:ascii="宋体" w:hAnsi="宋体"/>
          <w:szCs w:val="21"/>
        </w:rPr>
      </w:pPr>
      <w:bookmarkStart w:id="54" w:name="_Toc201742861"/>
      <w:bookmarkStart w:id="55" w:name="_Toc201743116"/>
      <w:bookmarkStart w:id="56" w:name="_Toc201719118"/>
      <w:bookmarkStart w:id="57" w:name="_Toc201401658"/>
      <w:bookmarkStart w:id="58" w:name="_Toc201997946"/>
    </w:p>
    <w:p>
      <w:pPr>
        <w:rPr>
          <w:rFonts w:ascii="宋体" w:hAnsi="宋体"/>
          <w:szCs w:val="21"/>
        </w:rPr>
      </w:pPr>
      <w:r>
        <w:rPr>
          <w:rFonts w:hint="eastAsia" w:ascii="宋体" w:hAnsi="宋体"/>
          <w:szCs w:val="21"/>
        </w:rPr>
        <w:t>格式6：法人授权书</w:t>
      </w:r>
    </w:p>
    <w:p>
      <w:pPr>
        <w:ind w:firstLine="2891" w:firstLineChars="1200"/>
        <w:rPr>
          <w:rFonts w:ascii="宋体" w:hAnsi="宋体"/>
          <w:bCs/>
          <w:sz w:val="24"/>
          <w:szCs w:val="24"/>
        </w:rPr>
      </w:pPr>
      <w:r>
        <w:rPr>
          <w:rFonts w:hint="eastAsia" w:ascii="宋体" w:hAnsi="宋体"/>
          <w:b/>
          <w:sz w:val="24"/>
          <w:szCs w:val="24"/>
        </w:rPr>
        <w:t>法定代表人授权委托书</w:t>
      </w:r>
    </w:p>
    <w:p>
      <w:pPr>
        <w:jc w:val="left"/>
        <w:rPr>
          <w:rFonts w:ascii="宋体" w:hAnsi="宋体" w:cs="Courier New"/>
          <w:b/>
          <w:sz w:val="24"/>
          <w:szCs w:val="24"/>
        </w:rPr>
      </w:pPr>
      <w:r>
        <w:rPr>
          <w:rFonts w:hint="eastAsia" w:ascii="宋体" w:hAnsi="宋体" w:cs="Courier New"/>
          <w:b/>
          <w:sz w:val="24"/>
          <w:szCs w:val="24"/>
        </w:rPr>
        <w:t>本授权书声明：</w:t>
      </w:r>
    </w:p>
    <w:p>
      <w:pPr>
        <w:ind w:firstLine="480" w:firstLineChars="200"/>
        <w:jc w:val="left"/>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szCs w:val="21"/>
          <w:u w:val="single"/>
        </w:rPr>
        <w:t xml:space="preserve"> </w:t>
      </w:r>
      <w:r>
        <w:rPr>
          <w:szCs w:val="21"/>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采购活动中相关谈判采购事务。</w:t>
      </w:r>
    </w:p>
    <w:p>
      <w:pPr>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ind w:firstLine="480" w:firstLineChars="200"/>
        <w:jc w:val="left"/>
        <w:rPr>
          <w:rFonts w:ascii="宋体" w:hAnsi="宋体"/>
          <w:bCs/>
          <w:sz w:val="24"/>
          <w:szCs w:val="24"/>
        </w:rPr>
      </w:pPr>
    </w:p>
    <w:p>
      <w:pPr>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r>
        <w:rPr>
          <w:szCs w:val="21"/>
          <w:u w:val="single"/>
        </w:rPr>
        <w:t xml:space="preserve"> </w:t>
      </w:r>
      <w:r>
        <w:rPr>
          <w:szCs w:val="21"/>
        </w:rPr>
        <w:t xml:space="preserve"> </w:t>
      </w:r>
    </w:p>
    <w:p>
      <w:pPr>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34"/>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34"/>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34"/>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34"/>
                      </w:pPr>
                      <w:r>
                        <w:rPr>
                          <w:rFonts w:hint="eastAsia"/>
                        </w:rPr>
                        <w:t>（请加盖骑缝章）</w:t>
                      </w:r>
                    </w:p>
                    <w:p>
                      <w:pPr>
                        <w:jc w:val="center"/>
                        <w:rPr>
                          <w:rFonts w:eastAsia="华文中宋"/>
                          <w:sz w:val="28"/>
                        </w:rPr>
                      </w:pPr>
                    </w:p>
                  </w:txbxContent>
                </v:textbox>
              </v:rect>
            </w:pict>
          </mc:Fallback>
        </mc:AlternateContent>
      </w:r>
    </w:p>
    <w:p>
      <w:pPr>
        <w:ind w:firstLine="555"/>
        <w:jc w:val="left"/>
        <w:rPr>
          <w:rFonts w:ascii="宋体" w:hAnsi="宋体"/>
          <w:bCs/>
          <w:sz w:val="24"/>
          <w:szCs w:val="24"/>
          <w:u w:val="single"/>
        </w:rPr>
      </w:pPr>
    </w:p>
    <w:p>
      <w:pPr>
        <w:ind w:firstLine="555"/>
        <w:jc w:val="left"/>
        <w:rPr>
          <w:rFonts w:ascii="宋体" w:hAnsi="宋体"/>
          <w:bCs/>
          <w:sz w:val="24"/>
          <w:szCs w:val="24"/>
          <w:u w:val="single"/>
        </w:rPr>
      </w:pPr>
    </w:p>
    <w:p>
      <w:pPr>
        <w:ind w:firstLine="555"/>
        <w:jc w:val="left"/>
        <w:rPr>
          <w:rFonts w:ascii="宋体" w:hAnsi="宋体"/>
          <w:bCs/>
          <w:sz w:val="24"/>
          <w:szCs w:val="24"/>
          <w:u w:val="single"/>
        </w:rPr>
      </w:pPr>
    </w:p>
    <w:p>
      <w:pPr>
        <w:tabs>
          <w:tab w:val="left" w:pos="0"/>
        </w:tabs>
        <w:jc w:val="lef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Cs/>
          <w:sz w:val="24"/>
          <w:szCs w:val="24"/>
        </w:rPr>
        <w:sectPr>
          <w:pgSz w:w="11906" w:h="16838"/>
          <w:pgMar w:top="1701" w:right="1588" w:bottom="1304" w:left="1588" w:header="1247" w:footer="737" w:gutter="0"/>
          <w:cols w:space="720" w:num="1"/>
          <w:docGrid w:linePitch="380" w:charSpace="-4301"/>
        </w:sectPr>
      </w:pPr>
    </w:p>
    <w:bookmarkEnd w:id="54"/>
    <w:bookmarkEnd w:id="55"/>
    <w:bookmarkEnd w:id="56"/>
    <w:bookmarkEnd w:id="57"/>
    <w:bookmarkEnd w:id="58"/>
    <w:p>
      <w:pPr>
        <w:rPr>
          <w:rFonts w:ascii="宋体" w:hAnsi="宋体"/>
          <w:bCs/>
          <w:sz w:val="24"/>
          <w:szCs w:val="24"/>
        </w:rPr>
      </w:pPr>
      <w:r>
        <w:rPr>
          <w:rFonts w:hint="eastAsia" w:ascii="宋体" w:hAnsi="宋体"/>
          <w:bCs/>
          <w:sz w:val="24"/>
          <w:szCs w:val="24"/>
        </w:rPr>
        <w:t>格式7：诚信承诺函</w:t>
      </w:r>
    </w:p>
    <w:p>
      <w:pPr>
        <w:jc w:val="center"/>
        <w:rPr>
          <w:rFonts w:ascii="宋体" w:hAnsi="宋体"/>
          <w:b/>
          <w:sz w:val="24"/>
          <w:szCs w:val="24"/>
        </w:rPr>
      </w:pPr>
      <w:r>
        <w:rPr>
          <w:rFonts w:hint="eastAsia" w:ascii="宋体" w:hAnsi="宋体"/>
          <w:b/>
          <w:bCs/>
          <w:sz w:val="24"/>
          <w:szCs w:val="24"/>
        </w:rPr>
        <w:t>诚信情况承诺函</w:t>
      </w:r>
    </w:p>
    <w:p>
      <w:pPr>
        <w:rPr>
          <w:rFonts w:ascii="宋体" w:hAnsi="宋体"/>
          <w:sz w:val="24"/>
          <w:szCs w:val="24"/>
        </w:rPr>
      </w:pPr>
    </w:p>
    <w:p>
      <w:pPr>
        <w:rPr>
          <w:rFonts w:ascii="宋体" w:hAnsi="宋体"/>
          <w:i/>
          <w:iCs/>
          <w:sz w:val="24"/>
          <w:szCs w:val="24"/>
        </w:rPr>
      </w:pPr>
      <w:r>
        <w:rPr>
          <w:rFonts w:hint="eastAsia" w:ascii="宋体" w:hAnsi="宋体"/>
          <w:sz w:val="24"/>
          <w:szCs w:val="24"/>
        </w:rPr>
        <w:t>致：深圳市儿童医院</w:t>
      </w:r>
    </w:p>
    <w:p>
      <w:pPr>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9"/>
        </w:numPr>
        <w:rPr>
          <w:rFonts w:ascii="宋体" w:hAnsi="宋体"/>
          <w:sz w:val="24"/>
          <w:szCs w:val="24"/>
        </w:rPr>
      </w:pPr>
      <w:r>
        <w:rPr>
          <w:rFonts w:hint="eastAsia" w:ascii="宋体" w:hAnsi="宋体"/>
          <w:sz w:val="24"/>
          <w:szCs w:val="24"/>
        </w:rPr>
        <w:t>被纪检监察部门立案调查，违法违规事实成立的；</w:t>
      </w:r>
    </w:p>
    <w:p>
      <w:pPr>
        <w:numPr>
          <w:ilvl w:val="1"/>
          <w:numId w:val="9"/>
        </w:numPr>
        <w:rPr>
          <w:rFonts w:ascii="宋体" w:hAnsi="宋体"/>
          <w:sz w:val="24"/>
          <w:szCs w:val="24"/>
        </w:rPr>
      </w:pPr>
      <w:r>
        <w:rPr>
          <w:rFonts w:hint="eastAsia" w:ascii="宋体" w:hAnsi="宋体"/>
          <w:sz w:val="24"/>
          <w:szCs w:val="24"/>
        </w:rPr>
        <w:t>未按规定签订、履行采购合同，造成严重后果的；</w:t>
      </w:r>
    </w:p>
    <w:p>
      <w:pPr>
        <w:numPr>
          <w:ilvl w:val="1"/>
          <w:numId w:val="9"/>
        </w:numPr>
        <w:rPr>
          <w:rFonts w:ascii="宋体" w:hAnsi="宋体"/>
          <w:sz w:val="24"/>
          <w:szCs w:val="24"/>
        </w:rPr>
      </w:pPr>
      <w:r>
        <w:rPr>
          <w:rFonts w:hint="eastAsia" w:ascii="宋体" w:hAnsi="宋体"/>
          <w:sz w:val="24"/>
          <w:szCs w:val="24"/>
        </w:rPr>
        <w:t>隐瞒真实情况，提供虚假资料的；</w:t>
      </w:r>
    </w:p>
    <w:p>
      <w:pPr>
        <w:numPr>
          <w:ilvl w:val="1"/>
          <w:numId w:val="9"/>
        </w:numPr>
        <w:rPr>
          <w:rFonts w:ascii="宋体" w:hAnsi="宋体"/>
          <w:sz w:val="24"/>
          <w:szCs w:val="24"/>
        </w:rPr>
      </w:pPr>
      <w:r>
        <w:rPr>
          <w:rFonts w:hint="eastAsia" w:ascii="宋体" w:hAnsi="宋体"/>
          <w:sz w:val="24"/>
          <w:szCs w:val="24"/>
        </w:rPr>
        <w:t>以非法手段排斥其他供应商参与竞争的；</w:t>
      </w:r>
    </w:p>
    <w:p>
      <w:pPr>
        <w:numPr>
          <w:ilvl w:val="1"/>
          <w:numId w:val="9"/>
        </w:numPr>
        <w:rPr>
          <w:rFonts w:ascii="宋体" w:hAnsi="宋体"/>
          <w:sz w:val="24"/>
          <w:szCs w:val="24"/>
        </w:rPr>
      </w:pPr>
      <w:r>
        <w:rPr>
          <w:rFonts w:hint="eastAsia" w:ascii="宋体" w:hAnsi="宋体"/>
          <w:sz w:val="24"/>
          <w:szCs w:val="24"/>
        </w:rPr>
        <w:t>与其他采购参加人串通投标的；</w:t>
      </w:r>
    </w:p>
    <w:p>
      <w:pPr>
        <w:numPr>
          <w:ilvl w:val="1"/>
          <w:numId w:val="9"/>
        </w:numPr>
        <w:rPr>
          <w:rFonts w:ascii="宋体" w:hAnsi="宋体"/>
          <w:sz w:val="24"/>
          <w:szCs w:val="24"/>
        </w:rPr>
      </w:pPr>
      <w:r>
        <w:rPr>
          <w:rFonts w:hint="eastAsia" w:ascii="宋体" w:hAnsi="宋体"/>
          <w:sz w:val="24"/>
          <w:szCs w:val="24"/>
        </w:rPr>
        <w:t>在采购活动中应当回避而未回避的；</w:t>
      </w:r>
    </w:p>
    <w:p>
      <w:pPr>
        <w:numPr>
          <w:ilvl w:val="1"/>
          <w:numId w:val="9"/>
        </w:numPr>
        <w:rPr>
          <w:rFonts w:ascii="宋体" w:hAnsi="宋体"/>
          <w:sz w:val="24"/>
          <w:szCs w:val="24"/>
        </w:rPr>
      </w:pPr>
      <w:r>
        <w:rPr>
          <w:rFonts w:hint="eastAsia" w:ascii="宋体" w:hAnsi="宋体"/>
          <w:sz w:val="24"/>
          <w:szCs w:val="24"/>
        </w:rPr>
        <w:t>恶意投诉的；</w:t>
      </w:r>
    </w:p>
    <w:p>
      <w:pPr>
        <w:numPr>
          <w:ilvl w:val="1"/>
          <w:numId w:val="9"/>
        </w:numPr>
        <w:rPr>
          <w:rFonts w:ascii="宋体" w:hAnsi="宋体"/>
          <w:sz w:val="24"/>
          <w:szCs w:val="24"/>
        </w:rPr>
      </w:pPr>
      <w:r>
        <w:rPr>
          <w:rFonts w:hint="eastAsia" w:ascii="宋体" w:hAnsi="宋体"/>
          <w:sz w:val="24"/>
          <w:szCs w:val="24"/>
        </w:rPr>
        <w:t>向采购项目相关人员行贿或者提供其他不当利益的；</w:t>
      </w:r>
    </w:p>
    <w:p>
      <w:pPr>
        <w:numPr>
          <w:ilvl w:val="1"/>
          <w:numId w:val="9"/>
        </w:numPr>
        <w:rPr>
          <w:rFonts w:ascii="宋体" w:hAnsi="宋体"/>
          <w:sz w:val="24"/>
          <w:szCs w:val="24"/>
        </w:rPr>
      </w:pPr>
      <w:r>
        <w:rPr>
          <w:rFonts w:hint="eastAsia" w:ascii="宋体" w:hAnsi="宋体"/>
          <w:sz w:val="24"/>
          <w:szCs w:val="24"/>
        </w:rPr>
        <w:t>阻碍、抗拒主管部门监督检查的；</w:t>
      </w:r>
    </w:p>
    <w:p>
      <w:pPr>
        <w:numPr>
          <w:ilvl w:val="1"/>
          <w:numId w:val="9"/>
        </w:numPr>
        <w:rPr>
          <w:rFonts w:ascii="宋体" w:hAnsi="宋体"/>
          <w:sz w:val="24"/>
          <w:szCs w:val="24"/>
        </w:rPr>
      </w:pPr>
      <w:r>
        <w:rPr>
          <w:rFonts w:hint="eastAsia" w:ascii="宋体" w:hAnsi="宋体"/>
          <w:sz w:val="24"/>
          <w:szCs w:val="24"/>
        </w:rPr>
        <w:t>在政府采购主管部门履约检查中不及格或评价为差的；</w:t>
      </w:r>
    </w:p>
    <w:p>
      <w:pPr>
        <w:ind w:left="420"/>
        <w:rPr>
          <w:rFonts w:ascii="宋体" w:hAnsi="宋体"/>
          <w:sz w:val="24"/>
          <w:szCs w:val="24"/>
        </w:rPr>
      </w:pPr>
      <w:r>
        <w:rPr>
          <w:rFonts w:hint="eastAsia" w:ascii="宋体" w:hAnsi="宋体"/>
          <w:sz w:val="24"/>
          <w:szCs w:val="24"/>
        </w:rPr>
        <w:t>（十一）主管部门认定的其他情形。</w:t>
      </w:r>
    </w:p>
    <w:p>
      <w:pPr>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ind w:firstLine="525"/>
        <w:rPr>
          <w:rFonts w:ascii="宋体" w:hAnsi="宋体"/>
          <w:sz w:val="24"/>
          <w:szCs w:val="24"/>
        </w:rPr>
      </w:pPr>
    </w:p>
    <w:p>
      <w:pPr>
        <w:ind w:firstLine="525"/>
        <w:rPr>
          <w:rFonts w:ascii="宋体" w:hAnsi="宋体"/>
          <w:sz w:val="24"/>
          <w:szCs w:val="24"/>
        </w:rPr>
      </w:pPr>
    </w:p>
    <w:p>
      <w:pPr>
        <w:ind w:firstLine="525"/>
        <w:rPr>
          <w:rFonts w:ascii="宋体" w:hAnsi="宋体"/>
          <w:sz w:val="24"/>
          <w:szCs w:val="24"/>
        </w:rPr>
      </w:pPr>
    </w:p>
    <w:p>
      <w:pPr>
        <w:ind w:firstLine="525"/>
        <w:rPr>
          <w:rFonts w:ascii="宋体" w:hAnsi="宋体"/>
          <w:sz w:val="24"/>
          <w:szCs w:val="24"/>
        </w:rPr>
      </w:pPr>
    </w:p>
    <w:p>
      <w:pPr>
        <w:ind w:firstLine="525"/>
        <w:rPr>
          <w:rFonts w:ascii="宋体" w:hAnsi="宋体"/>
          <w:sz w:val="24"/>
          <w:szCs w:val="24"/>
        </w:rPr>
      </w:pPr>
    </w:p>
    <w:p>
      <w:pPr>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p>
    <w:p>
      <w:pPr>
        <w:pStyle w:val="7"/>
        <w:rPr>
          <w:color w:val="000000"/>
        </w:rPr>
      </w:pPr>
    </w:p>
    <w:sectPr>
      <w:pgSz w:w="11907" w:h="16840"/>
      <w:pgMar w:top="1418" w:right="1701" w:bottom="1418" w:left="1276" w:header="794" w:footer="794"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B0604020202020204"/>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Times">
    <w:altName w:val="Times New Roman"/>
    <w:panose1 w:val="00000500000000020000"/>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新宋体" w:hAnsi="新宋体" w:eastAsia="新宋体" w:cs="Arial"/>
      </w:rPr>
      <w:tab/>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-149860</wp:posOffset>
              </wp:positionV>
              <wp:extent cx="5288280" cy="0"/>
              <wp:effectExtent l="0" t="0" r="7620" b="0"/>
              <wp:wrapNone/>
              <wp:docPr id="72" name="Line 6"/>
              <wp:cNvGraphicFramePr/>
              <a:graphic xmlns:a="http://schemas.openxmlformats.org/drawingml/2006/main">
                <a:graphicData uri="http://schemas.microsoft.com/office/word/2010/wordprocessingShape">
                  <wps:wsp>
                    <wps:cNvCnPr>
                      <a:cxnSpLocks noChangeShapeType="1"/>
                    </wps:cNvCnPr>
                    <wps:spPr bwMode="auto">
                      <a:xfrm flipV="1">
                        <a:off x="0" y="0"/>
                        <a:ext cx="5288280" cy="0"/>
                      </a:xfrm>
                      <a:prstGeom prst="line">
                        <a:avLst/>
                      </a:prstGeom>
                      <a:noFill/>
                      <a:ln w="9525">
                        <a:solidFill>
                          <a:srgbClr val="000000"/>
                        </a:solidFill>
                        <a:round/>
                      </a:ln>
                    </wps:spPr>
                    <wps:bodyPr/>
                  </wps:wsp>
                </a:graphicData>
              </a:graphic>
            </wp:anchor>
          </w:drawing>
        </mc:Choice>
        <mc:Fallback>
          <w:pict>
            <v:line id="Line 6" o:spid="_x0000_s1026" o:spt="20" style="position:absolute;left:0pt;flip:y;margin-left:0pt;margin-top:-11.8pt;height:0pt;width:416.4pt;z-index:251659264;mso-width-relative:page;mso-height-relative:page;" filled="f" stroked="t" coordsize="21600,21600" o:gfxdata="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dCSS/UAAAACAEAAA8AAAAAAAAAAQAgAAAAIgAAAGRy&#10;cy9kb3ducmV2LnhtbFBLAQIUABQAAAAIAIdO4kB4BI9r0AEAAKoDAAAOAAAAAAAAAAEAIAAAACMB&#10;AABkcnMvZTJvRG9jLnhtbFBLBQYAAAAABgAGAFkBAABlBQAAAAA=&#10;">
              <v:fill on="f" focussize="0,0"/>
              <v:stroke color="#000000" joinstyle="round"/>
              <v:imagedata o:title=""/>
              <o:lock v:ext="edit" aspectratio="f"/>
            </v:line>
          </w:pict>
        </mc:Fallback>
      </mc:AlternateContent>
    </w:r>
    <w:r>
      <w:rPr>
        <w:rFonts w:hint="eastAsia" w:ascii="新宋体" w:hAnsi="新宋体" w:eastAsia="新宋体" w:cs="Arial"/>
      </w:rPr>
      <w:t xml:space="preserve">                        </w:t>
    </w:r>
    <w:r>
      <w:rPr>
        <w:rFonts w:ascii="新宋体" w:hAnsi="新宋体" w:eastAsia="新宋体"/>
      </w:rPr>
      <w:t xml:space="preserve">     </w:t>
    </w:r>
    <w:r>
      <w:fldChar w:fldCharType="begin"/>
    </w:r>
    <w:r>
      <w:instrText xml:space="preserve"> PAGE </w:instrText>
    </w:r>
    <w:r>
      <w:fldChar w:fldCharType="separate"/>
    </w:r>
    <w:r>
      <w:t>14</w:t>
    </w:r>
    <w:r>
      <w:fldChar w:fldCharType="end"/>
    </w:r>
    <w:r>
      <w:rPr>
        <w:rFonts w:hint="eastAsia" w:ascii="新宋体" w:hAnsi="新宋体" w:eastAsia="新宋体"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15</w:t>
    </w:r>
    <w:r>
      <w:rPr>
        <w:lang w:val="zh-CN"/>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8278" w:y="-31"/>
      <w:rPr>
        <w:rStyle w:val="47"/>
      </w:rPr>
    </w:pPr>
    <w:r>
      <w:fldChar w:fldCharType="begin"/>
    </w:r>
    <w:r>
      <w:rPr>
        <w:rStyle w:val="47"/>
      </w:rPr>
      <w:instrText xml:space="preserve">PAGE  </w:instrText>
    </w:r>
    <w:r>
      <w:fldChar w:fldCharType="separate"/>
    </w:r>
    <w:r>
      <w:rPr>
        <w:rStyle w:val="47"/>
      </w:rPr>
      <w:t>23</w:t>
    </w:r>
    <w:r>
      <w:fldChar w:fldCharType="end"/>
    </w:r>
  </w:p>
  <w:p>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深圳市儿童医院防病毒项目需求书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45482"/>
    <w:multiLevelType w:val="multilevel"/>
    <w:tmpl w:val="0844548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lvl>
    <w:lvl w:ilvl="5" w:tentative="0">
      <w:start w:val="1"/>
      <w:numFmt w:val="japaneseCounting"/>
      <w:lvlText w:val="%6、"/>
      <w:lvlJc w:val="left"/>
      <w:pPr>
        <w:tabs>
          <w:tab w:val="left" w:pos="2580"/>
        </w:tabs>
        <w:ind w:left="2580" w:hanging="480"/>
      </w:pPr>
      <w:rPr>
        <w:rFonts w:hint="eastAsia" w:ascii="Arial" w:hAnsi="Arial"/>
        <w:sz w:val="21"/>
      </w:rPr>
    </w:lvl>
    <w:lvl w:ilvl="6" w:tentative="0">
      <w:start w:val="1"/>
      <w:numFmt w:val="decimal"/>
      <w:lvlText w:val="%7．"/>
      <w:lvlJc w:val="left"/>
      <w:pPr>
        <w:tabs>
          <w:tab w:val="left" w:pos="3240"/>
        </w:tabs>
        <w:ind w:left="3240" w:hanging="720"/>
      </w:pPr>
      <w:rPr>
        <w:rFonts w:hint="eastAsia" w:ascii="宋体" w:hAnsi="宋体"/>
        <w:sz w:val="21"/>
      </w:rPr>
    </w:lvl>
    <w:lvl w:ilvl="7" w:tentative="0">
      <w:start w:val="1"/>
      <w:numFmt w:val="decimal"/>
      <w:lvlText w:val="%8."/>
      <w:lvlJc w:val="left"/>
      <w:pPr>
        <w:tabs>
          <w:tab w:val="left" w:pos="3360"/>
        </w:tabs>
        <w:ind w:left="3360" w:hanging="420"/>
      </w:pPr>
      <w:rPr>
        <w:rFonts w:hint="default" w:ascii="Times New Roman" w:hAnsi="Times New Roman" w:eastAsia="宋体" w:cs="Times New Roman"/>
      </w:rPr>
    </w:lvl>
    <w:lvl w:ilvl="8" w:tentative="0">
      <w:start w:val="1"/>
      <w:numFmt w:val="lowerLetter"/>
      <w:lvlText w:val="%9)"/>
      <w:lvlJc w:val="left"/>
      <w:pPr>
        <w:tabs>
          <w:tab w:val="left" w:pos="3780"/>
        </w:tabs>
        <w:ind w:left="3780" w:hanging="420"/>
      </w:pPr>
      <w:rPr>
        <w:rFonts w:hint="eastAsia"/>
      </w:rPr>
    </w:lvl>
  </w:abstractNum>
  <w:abstractNum w:abstractNumId="1">
    <w:nsid w:val="0AAC17AF"/>
    <w:multiLevelType w:val="multilevel"/>
    <w:tmpl w:val="0AAC17AF"/>
    <w:lvl w:ilvl="0" w:tentative="0">
      <w:start w:val="1"/>
      <w:numFmt w:val="japaneseCounting"/>
      <w:lvlText w:val="%1."/>
      <w:lvlJc w:val="left"/>
      <w:pPr>
        <w:ind w:left="876" w:hanging="420"/>
      </w:pPr>
      <w:rPr>
        <w:rFonts w:hint="default"/>
      </w:rPr>
    </w:lvl>
    <w:lvl w:ilvl="1" w:tentative="0">
      <w:start w:val="1"/>
      <w:numFmt w:val="lowerLetter"/>
      <w:lvlText w:val="%2)"/>
      <w:lvlJc w:val="left"/>
      <w:pPr>
        <w:ind w:left="1296" w:hanging="420"/>
      </w:pPr>
    </w:lvl>
    <w:lvl w:ilvl="2" w:tentative="0">
      <w:start w:val="1"/>
      <w:numFmt w:val="lowerRoman"/>
      <w:lvlText w:val="%3."/>
      <w:lvlJc w:val="right"/>
      <w:pPr>
        <w:ind w:left="1716" w:hanging="420"/>
      </w:pPr>
    </w:lvl>
    <w:lvl w:ilvl="3" w:tentative="0">
      <w:start w:val="1"/>
      <w:numFmt w:val="decimal"/>
      <w:lvlText w:val="%4."/>
      <w:lvlJc w:val="left"/>
      <w:pPr>
        <w:ind w:left="2136" w:hanging="420"/>
      </w:pPr>
    </w:lvl>
    <w:lvl w:ilvl="4" w:tentative="0">
      <w:start w:val="1"/>
      <w:numFmt w:val="lowerLetter"/>
      <w:lvlText w:val="%5)"/>
      <w:lvlJc w:val="left"/>
      <w:pPr>
        <w:ind w:left="2556" w:hanging="420"/>
      </w:pPr>
    </w:lvl>
    <w:lvl w:ilvl="5" w:tentative="0">
      <w:start w:val="1"/>
      <w:numFmt w:val="lowerRoman"/>
      <w:lvlText w:val="%6."/>
      <w:lvlJc w:val="right"/>
      <w:pPr>
        <w:ind w:left="2976" w:hanging="420"/>
      </w:pPr>
    </w:lvl>
    <w:lvl w:ilvl="6" w:tentative="0">
      <w:start w:val="1"/>
      <w:numFmt w:val="decimal"/>
      <w:lvlText w:val="%7."/>
      <w:lvlJc w:val="left"/>
      <w:pPr>
        <w:ind w:left="3396" w:hanging="420"/>
      </w:pPr>
    </w:lvl>
    <w:lvl w:ilvl="7" w:tentative="0">
      <w:start w:val="1"/>
      <w:numFmt w:val="lowerLetter"/>
      <w:lvlText w:val="%8)"/>
      <w:lvlJc w:val="left"/>
      <w:pPr>
        <w:ind w:left="3816" w:hanging="420"/>
      </w:pPr>
    </w:lvl>
    <w:lvl w:ilvl="8" w:tentative="0">
      <w:start w:val="1"/>
      <w:numFmt w:val="lowerRoman"/>
      <w:lvlText w:val="%9."/>
      <w:lvlJc w:val="right"/>
      <w:pPr>
        <w:ind w:left="4236" w:hanging="420"/>
      </w:p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B2775D"/>
    <w:multiLevelType w:val="multilevel"/>
    <w:tmpl w:val="12B2775D"/>
    <w:lvl w:ilvl="0" w:tentative="0">
      <w:start w:val="1"/>
      <w:numFmt w:val="decimal"/>
      <w:lvlText w:val="%1."/>
      <w:lvlJc w:val="left"/>
      <w:pPr>
        <w:ind w:left="360" w:hanging="360"/>
      </w:pPr>
    </w:lvl>
    <w:lvl w:ilvl="1" w:tentative="0">
      <w:start w:val="1"/>
      <w:numFmt w:val="decimal"/>
      <w:pStyle w:val="5"/>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6B812A8"/>
    <w:multiLevelType w:val="multilevel"/>
    <w:tmpl w:val="26B812A8"/>
    <w:lvl w:ilvl="0" w:tentative="0">
      <w:start w:val="1"/>
      <w:numFmt w:val="decimal"/>
      <w:lvlText w:val="%1)"/>
      <w:lvlJc w:val="left"/>
      <w:pPr>
        <w:tabs>
          <w:tab w:val="left" w:pos="1935"/>
        </w:tabs>
        <w:ind w:left="1935" w:hanging="375"/>
      </w:pPr>
    </w:lvl>
    <w:lvl w:ilvl="1" w:tentative="0">
      <w:start w:val="1"/>
      <w:numFmt w:val="japaneseCounting"/>
      <w:pStyle w:val="116"/>
      <w:lvlText w:val="%2、"/>
      <w:lvlJc w:val="left"/>
      <w:pPr>
        <w:tabs>
          <w:tab w:val="left" w:pos="826"/>
        </w:tabs>
        <w:ind w:left="826" w:hanging="720"/>
      </w:pPr>
      <w:rPr>
        <w:rFonts w:hint="default"/>
      </w:rPr>
    </w:lvl>
    <w:lvl w:ilvl="2" w:tentative="0">
      <w:start w:val="1"/>
      <w:numFmt w:val="decimal"/>
      <w:lvlText w:val="%3）"/>
      <w:lvlJc w:val="left"/>
      <w:pPr>
        <w:tabs>
          <w:tab w:val="left" w:pos="2760"/>
        </w:tabs>
        <w:ind w:left="2760" w:hanging="360"/>
      </w:pPr>
      <w:rPr>
        <w:rFonts w:hint="default"/>
        <w:b w:val="0"/>
      </w:rPr>
    </w:lvl>
    <w:lvl w:ilvl="3" w:tentative="0">
      <w:start w:val="1"/>
      <w:numFmt w:val="japaneseCounting"/>
      <w:lvlText w:val="（%4）"/>
      <w:lvlJc w:val="left"/>
      <w:pPr>
        <w:ind w:left="3540" w:hanging="720"/>
      </w:pPr>
      <w:rPr>
        <w:rFonts w:hint="default" w:ascii="宋体" w:hAnsi="宋体"/>
        <w:color w:val="auto"/>
      </w:r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5">
    <w:nsid w:val="29CF20DC"/>
    <w:multiLevelType w:val="multilevel"/>
    <w:tmpl w:val="29CF20DC"/>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lvl>
    <w:lvl w:ilvl="1" w:tentative="0">
      <w:start w:val="1"/>
      <w:numFmt w:val="decimal"/>
      <w:pStyle w:val="123"/>
      <w:isLgl/>
      <w:suff w:val="space"/>
      <w:lvlText w:val="%1.%2 "/>
      <w:lvlJc w:val="left"/>
      <w:pPr>
        <w:ind w:left="794" w:hanging="794"/>
      </w:pPr>
    </w:lvl>
    <w:lvl w:ilvl="2" w:tentative="0">
      <w:start w:val="1"/>
      <w:numFmt w:val="decimal"/>
      <w:pStyle w:val="124"/>
      <w:isLgl/>
      <w:suff w:val="space"/>
      <w:lvlText w:val="%1.%2.%3 "/>
      <w:lvlJc w:val="left"/>
      <w:pPr>
        <w:ind w:left="1049" w:hanging="907"/>
      </w:pPr>
    </w:lvl>
    <w:lvl w:ilvl="3" w:tentative="0">
      <w:start w:val="1"/>
      <w:numFmt w:val="decimal"/>
      <w:pStyle w:val="125"/>
      <w:isLgl/>
      <w:suff w:val="space"/>
      <w:lvlText w:val="%1.%2.%3.%4 "/>
      <w:lvlJc w:val="left"/>
      <w:pPr>
        <w:ind w:left="1021" w:hanging="1021"/>
      </w:pPr>
    </w:lvl>
    <w:lvl w:ilvl="4" w:tentative="0">
      <w:start w:val="1"/>
      <w:numFmt w:val="decimal"/>
      <w:pStyle w:val="126"/>
      <w:isLgl/>
      <w:suff w:val="space"/>
      <w:lvlText w:val="%1.%2.%3.%4.%5 "/>
      <w:lvlJc w:val="left"/>
      <w:pPr>
        <w:ind w:left="1134" w:hanging="1134"/>
      </w:pPr>
    </w:lvl>
    <w:lvl w:ilvl="5" w:tentative="0">
      <w:start w:val="1"/>
      <w:numFmt w:val="decimal"/>
      <w:pStyle w:val="127"/>
      <w:isLgl/>
      <w:suff w:val="space"/>
      <w:lvlText w:val="%1.%2.%3.%4.%5.%6 "/>
      <w:lvlJc w:val="left"/>
      <w:pPr>
        <w:ind w:left="1247" w:hanging="1247"/>
      </w:pPr>
    </w:lvl>
    <w:lvl w:ilvl="6" w:tentative="0">
      <w:start w:val="1"/>
      <w:numFmt w:val="decimal"/>
      <w:lvlRestart w:val="1"/>
      <w:pStyle w:val="128"/>
      <w:isLgl/>
      <w:suff w:val="space"/>
      <w:lvlText w:val="图 %1.%7 "/>
      <w:lvlJc w:val="left"/>
      <w:pPr>
        <w:ind w:left="0" w:firstLine="0"/>
      </w:pPr>
    </w:lvl>
    <w:lvl w:ilvl="7" w:tentative="0">
      <w:start w:val="1"/>
      <w:numFmt w:val="decimal"/>
      <w:lvlRestart w:val="1"/>
      <w:pStyle w:val="129"/>
      <w:isLgl/>
      <w:suff w:val="space"/>
      <w:lvlText w:val="表 %1.%8 "/>
      <w:lvlJc w:val="left"/>
      <w:pPr>
        <w:ind w:left="0" w:firstLine="0"/>
      </w:pPr>
    </w:lvl>
    <w:lvl w:ilvl="8" w:tentative="0">
      <w:start w:val="1"/>
      <w:numFmt w:val="none"/>
      <w:suff w:val="nothing"/>
      <w:lvlText w:val=""/>
      <w:lvlJc w:val="left"/>
      <w:pPr>
        <w:ind w:left="0" w:firstLine="0"/>
      </w:pPr>
    </w:lvl>
  </w:abstractNum>
  <w:abstractNum w:abstractNumId="7">
    <w:nsid w:val="4D4352CC"/>
    <w:multiLevelType w:val="multilevel"/>
    <w:tmpl w:val="4D4352CC"/>
    <w:lvl w:ilvl="0" w:tentative="0">
      <w:start w:val="1"/>
      <w:numFmt w:val="decimal"/>
      <w:lvlText w:val="%1"/>
      <w:lvlJc w:val="left"/>
      <w:pPr>
        <w:ind w:left="396" w:hanging="396"/>
      </w:pPr>
      <w:rPr>
        <w:rFonts w:hint="default"/>
      </w:rPr>
    </w:lvl>
    <w:lvl w:ilvl="1" w:tentative="0">
      <w:start w:val="1"/>
      <w:numFmt w:val="decimal"/>
      <w:pStyle w:val="4"/>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
    <w:nsid w:val="6E49365F"/>
    <w:multiLevelType w:val="multilevel"/>
    <w:tmpl w:val="6E49365F"/>
    <w:lvl w:ilvl="0" w:tentative="0">
      <w:start w:val="2"/>
      <w:numFmt w:val="decimal"/>
      <w:lvlText w:val="%1"/>
      <w:lvlJc w:val="left"/>
      <w:pPr>
        <w:ind w:left="456" w:hanging="456"/>
      </w:pPr>
      <w:rPr>
        <w:rFonts w:hint="default"/>
      </w:rPr>
    </w:lvl>
    <w:lvl w:ilvl="1" w:tentative="0">
      <w:start w:val="1"/>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600" w:hanging="1800"/>
      </w:pPr>
      <w:rPr>
        <w:rFonts w:hint="default"/>
      </w:rPr>
    </w:lvl>
    <w:lvl w:ilvl="6" w:tentative="0">
      <w:start w:val="1"/>
      <w:numFmt w:val="decimal"/>
      <w:lvlText w:val="%1.%2.%3.%4.%5.%6.%7"/>
      <w:lvlJc w:val="left"/>
      <w:pPr>
        <w:ind w:left="4320" w:hanging="2160"/>
      </w:pPr>
      <w:rPr>
        <w:rFonts w:hint="default"/>
      </w:rPr>
    </w:lvl>
    <w:lvl w:ilvl="7" w:tentative="0">
      <w:start w:val="1"/>
      <w:numFmt w:val="decimal"/>
      <w:lvlText w:val="%1.%2.%3.%4.%5.%6.%7.%8"/>
      <w:lvlJc w:val="left"/>
      <w:pPr>
        <w:ind w:left="4680" w:hanging="2160"/>
      </w:pPr>
      <w:rPr>
        <w:rFonts w:hint="default"/>
      </w:rPr>
    </w:lvl>
    <w:lvl w:ilvl="8" w:tentative="0">
      <w:start w:val="1"/>
      <w:numFmt w:val="decimal"/>
      <w:lvlText w:val="%1.%2.%3.%4.%5.%6.%7.%8.%9"/>
      <w:lvlJc w:val="left"/>
      <w:pPr>
        <w:ind w:left="5400" w:hanging="2520"/>
      </w:pPr>
      <w:rPr>
        <w:rFonts w:hint="default"/>
      </w:rPr>
    </w:lvl>
  </w:abstractNum>
  <w:num w:numId="1">
    <w:abstractNumId w:val="7"/>
  </w:num>
  <w:num w:numId="2">
    <w:abstractNumId w:val="3"/>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s>
  <w:rsids>
    <w:rsidRoot w:val="00727250"/>
    <w:rsid w:val="000001C9"/>
    <w:rsid w:val="00001AE6"/>
    <w:rsid w:val="00003786"/>
    <w:rsid w:val="00011816"/>
    <w:rsid w:val="00014912"/>
    <w:rsid w:val="00070779"/>
    <w:rsid w:val="000837F8"/>
    <w:rsid w:val="00085E63"/>
    <w:rsid w:val="0008727A"/>
    <w:rsid w:val="00090594"/>
    <w:rsid w:val="000A0E05"/>
    <w:rsid w:val="000A60ED"/>
    <w:rsid w:val="000C7154"/>
    <w:rsid w:val="000D6D49"/>
    <w:rsid w:val="000E6580"/>
    <w:rsid w:val="00100FD6"/>
    <w:rsid w:val="0012040D"/>
    <w:rsid w:val="00124D99"/>
    <w:rsid w:val="00126F3B"/>
    <w:rsid w:val="00133BED"/>
    <w:rsid w:val="00140F8B"/>
    <w:rsid w:val="00157016"/>
    <w:rsid w:val="00160B9E"/>
    <w:rsid w:val="00176440"/>
    <w:rsid w:val="00192ACC"/>
    <w:rsid w:val="001A46BF"/>
    <w:rsid w:val="001B1B0C"/>
    <w:rsid w:val="001B7FAF"/>
    <w:rsid w:val="001C3FCF"/>
    <w:rsid w:val="001C508D"/>
    <w:rsid w:val="001C69DA"/>
    <w:rsid w:val="001C7E20"/>
    <w:rsid w:val="001E6E10"/>
    <w:rsid w:val="001E73B2"/>
    <w:rsid w:val="00211C74"/>
    <w:rsid w:val="00214F96"/>
    <w:rsid w:val="00224227"/>
    <w:rsid w:val="00232A0A"/>
    <w:rsid w:val="0023442E"/>
    <w:rsid w:val="00252080"/>
    <w:rsid w:val="00254595"/>
    <w:rsid w:val="002552F1"/>
    <w:rsid w:val="00270376"/>
    <w:rsid w:val="002A628F"/>
    <w:rsid w:val="002B0C1F"/>
    <w:rsid w:val="002B115C"/>
    <w:rsid w:val="002C657D"/>
    <w:rsid w:val="002D315E"/>
    <w:rsid w:val="002D53AA"/>
    <w:rsid w:val="002D70DC"/>
    <w:rsid w:val="002E275C"/>
    <w:rsid w:val="00301D07"/>
    <w:rsid w:val="00311549"/>
    <w:rsid w:val="00312B0F"/>
    <w:rsid w:val="00322D28"/>
    <w:rsid w:val="00323208"/>
    <w:rsid w:val="00332003"/>
    <w:rsid w:val="00333338"/>
    <w:rsid w:val="00335AB0"/>
    <w:rsid w:val="00335EB8"/>
    <w:rsid w:val="00343556"/>
    <w:rsid w:val="003465E0"/>
    <w:rsid w:val="00373373"/>
    <w:rsid w:val="0038372B"/>
    <w:rsid w:val="003A4AAD"/>
    <w:rsid w:val="003B53C1"/>
    <w:rsid w:val="003D3E2B"/>
    <w:rsid w:val="003D4348"/>
    <w:rsid w:val="003D74F3"/>
    <w:rsid w:val="003F351A"/>
    <w:rsid w:val="00415656"/>
    <w:rsid w:val="00415B34"/>
    <w:rsid w:val="004214D0"/>
    <w:rsid w:val="004306DA"/>
    <w:rsid w:val="004510FC"/>
    <w:rsid w:val="00465B3E"/>
    <w:rsid w:val="00477972"/>
    <w:rsid w:val="004A1E97"/>
    <w:rsid w:val="004E255F"/>
    <w:rsid w:val="004E5ED5"/>
    <w:rsid w:val="0050530B"/>
    <w:rsid w:val="00512D5D"/>
    <w:rsid w:val="005152B9"/>
    <w:rsid w:val="00523011"/>
    <w:rsid w:val="00530BF5"/>
    <w:rsid w:val="00532ACD"/>
    <w:rsid w:val="00547E79"/>
    <w:rsid w:val="00555E2A"/>
    <w:rsid w:val="005638E7"/>
    <w:rsid w:val="0057032B"/>
    <w:rsid w:val="00572AE7"/>
    <w:rsid w:val="00573972"/>
    <w:rsid w:val="005770BB"/>
    <w:rsid w:val="0059585F"/>
    <w:rsid w:val="005A1451"/>
    <w:rsid w:val="005C6662"/>
    <w:rsid w:val="005C6904"/>
    <w:rsid w:val="005C698F"/>
    <w:rsid w:val="005D5C4D"/>
    <w:rsid w:val="005E10F9"/>
    <w:rsid w:val="005F2E89"/>
    <w:rsid w:val="006058BE"/>
    <w:rsid w:val="00612246"/>
    <w:rsid w:val="00612348"/>
    <w:rsid w:val="006216C6"/>
    <w:rsid w:val="00630F98"/>
    <w:rsid w:val="00645F20"/>
    <w:rsid w:val="00671D0B"/>
    <w:rsid w:val="006A59FA"/>
    <w:rsid w:val="006C1530"/>
    <w:rsid w:val="006C2D53"/>
    <w:rsid w:val="006C311A"/>
    <w:rsid w:val="006E32BF"/>
    <w:rsid w:val="006E6AC8"/>
    <w:rsid w:val="007226BB"/>
    <w:rsid w:val="00727250"/>
    <w:rsid w:val="00730749"/>
    <w:rsid w:val="00736007"/>
    <w:rsid w:val="00782A1D"/>
    <w:rsid w:val="00784A93"/>
    <w:rsid w:val="007C21AA"/>
    <w:rsid w:val="007C4E5A"/>
    <w:rsid w:val="007E3A54"/>
    <w:rsid w:val="007F1F64"/>
    <w:rsid w:val="007F5339"/>
    <w:rsid w:val="007F5CCB"/>
    <w:rsid w:val="008213D2"/>
    <w:rsid w:val="00836E45"/>
    <w:rsid w:val="008443D6"/>
    <w:rsid w:val="00846145"/>
    <w:rsid w:val="0086647D"/>
    <w:rsid w:val="008871BD"/>
    <w:rsid w:val="00897F48"/>
    <w:rsid w:val="008B0A5F"/>
    <w:rsid w:val="008B4ABC"/>
    <w:rsid w:val="008C3B58"/>
    <w:rsid w:val="008C612D"/>
    <w:rsid w:val="008D73F2"/>
    <w:rsid w:val="00916C5C"/>
    <w:rsid w:val="00932C65"/>
    <w:rsid w:val="00955A1B"/>
    <w:rsid w:val="009756EB"/>
    <w:rsid w:val="0098015A"/>
    <w:rsid w:val="009945D8"/>
    <w:rsid w:val="0099741D"/>
    <w:rsid w:val="009C6C6B"/>
    <w:rsid w:val="009C7AD9"/>
    <w:rsid w:val="009D3020"/>
    <w:rsid w:val="009D369C"/>
    <w:rsid w:val="009E1F5F"/>
    <w:rsid w:val="009F463D"/>
    <w:rsid w:val="00A03B95"/>
    <w:rsid w:val="00A11FF9"/>
    <w:rsid w:val="00A150AE"/>
    <w:rsid w:val="00A219D5"/>
    <w:rsid w:val="00A42E17"/>
    <w:rsid w:val="00A523FA"/>
    <w:rsid w:val="00A52969"/>
    <w:rsid w:val="00A703A4"/>
    <w:rsid w:val="00A71015"/>
    <w:rsid w:val="00A73623"/>
    <w:rsid w:val="00AA0835"/>
    <w:rsid w:val="00AA5497"/>
    <w:rsid w:val="00AB566D"/>
    <w:rsid w:val="00AC6991"/>
    <w:rsid w:val="00AC7692"/>
    <w:rsid w:val="00AE2B65"/>
    <w:rsid w:val="00AF45DF"/>
    <w:rsid w:val="00B0762B"/>
    <w:rsid w:val="00B1318B"/>
    <w:rsid w:val="00B33FF8"/>
    <w:rsid w:val="00B34BAD"/>
    <w:rsid w:val="00B520E6"/>
    <w:rsid w:val="00B71D5E"/>
    <w:rsid w:val="00BC2CF3"/>
    <w:rsid w:val="00BC62A2"/>
    <w:rsid w:val="00BD49BF"/>
    <w:rsid w:val="00BE1EA2"/>
    <w:rsid w:val="00BE446C"/>
    <w:rsid w:val="00BF3F43"/>
    <w:rsid w:val="00BF5F3B"/>
    <w:rsid w:val="00C03BF7"/>
    <w:rsid w:val="00C13A66"/>
    <w:rsid w:val="00C169C8"/>
    <w:rsid w:val="00C4324A"/>
    <w:rsid w:val="00C52A05"/>
    <w:rsid w:val="00C62370"/>
    <w:rsid w:val="00C679D2"/>
    <w:rsid w:val="00C852CE"/>
    <w:rsid w:val="00C95C0F"/>
    <w:rsid w:val="00CB5766"/>
    <w:rsid w:val="00CB7928"/>
    <w:rsid w:val="00CD1FEE"/>
    <w:rsid w:val="00CE4B9E"/>
    <w:rsid w:val="00CE64A6"/>
    <w:rsid w:val="00D04C3D"/>
    <w:rsid w:val="00D126C8"/>
    <w:rsid w:val="00D24D29"/>
    <w:rsid w:val="00D30655"/>
    <w:rsid w:val="00D32077"/>
    <w:rsid w:val="00D4041B"/>
    <w:rsid w:val="00D578FE"/>
    <w:rsid w:val="00D6307C"/>
    <w:rsid w:val="00D72659"/>
    <w:rsid w:val="00D76249"/>
    <w:rsid w:val="00D91EE8"/>
    <w:rsid w:val="00D947C4"/>
    <w:rsid w:val="00D94DB5"/>
    <w:rsid w:val="00DB387B"/>
    <w:rsid w:val="00DE64C2"/>
    <w:rsid w:val="00E07017"/>
    <w:rsid w:val="00E2576C"/>
    <w:rsid w:val="00E3153E"/>
    <w:rsid w:val="00E32572"/>
    <w:rsid w:val="00E4501A"/>
    <w:rsid w:val="00E54841"/>
    <w:rsid w:val="00E621C2"/>
    <w:rsid w:val="00E7491C"/>
    <w:rsid w:val="00E76054"/>
    <w:rsid w:val="00EA327D"/>
    <w:rsid w:val="00EC01DE"/>
    <w:rsid w:val="00ED4A45"/>
    <w:rsid w:val="00EE6754"/>
    <w:rsid w:val="00F062AD"/>
    <w:rsid w:val="00F07020"/>
    <w:rsid w:val="00F26727"/>
    <w:rsid w:val="00F446DC"/>
    <w:rsid w:val="00F46EC2"/>
    <w:rsid w:val="00F46F07"/>
    <w:rsid w:val="00F57722"/>
    <w:rsid w:val="00F848E9"/>
    <w:rsid w:val="00F871D2"/>
    <w:rsid w:val="00F929A0"/>
    <w:rsid w:val="00FA48E1"/>
    <w:rsid w:val="00FA570B"/>
    <w:rsid w:val="00FC0B7A"/>
    <w:rsid w:val="00FC6FCC"/>
    <w:rsid w:val="00FE0B06"/>
    <w:rsid w:val="00FE5F4A"/>
    <w:rsid w:val="00FF355A"/>
    <w:rsid w:val="389B56ED"/>
    <w:rsid w:val="7BE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0" w:name="toc 8"/>
    <w:lsdException w:unhideWhenUsed="0" w:uiPriority="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4">
    <w:name w:val="heading 1"/>
    <w:basedOn w:val="1"/>
    <w:next w:val="1"/>
    <w:link w:val="105"/>
    <w:qFormat/>
    <w:uiPriority w:val="9"/>
    <w:pPr>
      <w:keepNext/>
      <w:keepLines/>
      <w:widowControl w:val="0"/>
      <w:numPr>
        <w:ilvl w:val="1"/>
        <w:numId w:val="1"/>
      </w:numPr>
      <w:spacing w:before="340" w:after="330" w:line="576" w:lineRule="auto"/>
      <w:jc w:val="both"/>
      <w:outlineLvl w:val="0"/>
    </w:pPr>
    <w:rPr>
      <w:rFonts w:ascii="宋体" w:hAnsi="宋体"/>
      <w:b/>
      <w:kern w:val="44"/>
      <w:sz w:val="24"/>
    </w:rPr>
  </w:style>
  <w:style w:type="paragraph" w:styleId="5">
    <w:name w:val="heading 2"/>
    <w:basedOn w:val="6"/>
    <w:next w:val="7"/>
    <w:link w:val="52"/>
    <w:qFormat/>
    <w:uiPriority w:val="0"/>
    <w:pPr>
      <w:keepNext/>
      <w:keepLines/>
      <w:numPr>
        <w:ilvl w:val="1"/>
        <w:numId w:val="2"/>
      </w:numPr>
      <w:adjustRightInd w:val="0"/>
      <w:snapToGrid w:val="0"/>
      <w:spacing w:before="120" w:beforeLines="50" w:after="120" w:afterLines="50" w:line="360" w:lineRule="exact"/>
      <w:ind w:left="0" w:leftChars="0" w:firstLine="0" w:firstLineChars="0"/>
      <w:outlineLvl w:val="1"/>
    </w:pPr>
    <w:rPr>
      <w:rFonts w:ascii="宋体" w:hAnsi="宋体" w:cs="Arial"/>
      <w:b/>
      <w:sz w:val="28"/>
    </w:rPr>
  </w:style>
  <w:style w:type="paragraph" w:styleId="8">
    <w:name w:val="heading 3"/>
    <w:basedOn w:val="1"/>
    <w:next w:val="7"/>
    <w:link w:val="53"/>
    <w:qFormat/>
    <w:uiPriority w:val="0"/>
    <w:pPr>
      <w:widowControl w:val="0"/>
      <w:tabs>
        <w:tab w:val="left" w:pos="851"/>
      </w:tabs>
      <w:autoSpaceDE w:val="0"/>
      <w:autoSpaceDN w:val="0"/>
      <w:adjustRightInd w:val="0"/>
      <w:snapToGrid w:val="0"/>
      <w:spacing w:line="360" w:lineRule="auto"/>
      <w:ind w:left="851" w:hanging="851"/>
      <w:jc w:val="both"/>
      <w:outlineLvl w:val="2"/>
    </w:pPr>
    <w:rPr>
      <w:rFonts w:ascii="宋体"/>
      <w:snapToGrid w:val="0"/>
    </w:rPr>
  </w:style>
  <w:style w:type="paragraph" w:styleId="9">
    <w:name w:val="heading 4"/>
    <w:basedOn w:val="1"/>
    <w:next w:val="7"/>
    <w:link w:val="54"/>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paragraph" w:styleId="10">
    <w:name w:val="heading 5"/>
    <w:basedOn w:val="1"/>
    <w:next w:val="7"/>
    <w:link w:val="55"/>
    <w:qFormat/>
    <w:uiPriority w:val="0"/>
    <w:pPr>
      <w:keepNext/>
      <w:widowControl w:val="0"/>
      <w:tabs>
        <w:tab w:val="left" w:pos="1008"/>
      </w:tabs>
      <w:autoSpaceDE w:val="0"/>
      <w:autoSpaceDN w:val="0"/>
      <w:adjustRightInd w:val="0"/>
      <w:snapToGrid w:val="0"/>
      <w:spacing w:before="280" w:after="290" w:line="376" w:lineRule="auto"/>
      <w:ind w:left="1008" w:hanging="1008"/>
      <w:jc w:val="both"/>
      <w:outlineLvl w:val="4"/>
    </w:pPr>
    <w:rPr>
      <w:rFonts w:ascii="宋体"/>
      <w:b/>
      <w:snapToGrid w:val="0"/>
      <w:color w:val="000000"/>
      <w:sz w:val="28"/>
    </w:rPr>
  </w:style>
  <w:style w:type="paragraph" w:styleId="11">
    <w:name w:val="heading 6"/>
    <w:basedOn w:val="1"/>
    <w:next w:val="7"/>
    <w:link w:val="56"/>
    <w:qFormat/>
    <w:uiPriority w:val="0"/>
    <w:pPr>
      <w:keepNext/>
      <w:widowControl w:val="0"/>
      <w:tabs>
        <w:tab w:val="left" w:pos="1152"/>
      </w:tabs>
      <w:autoSpaceDE w:val="0"/>
      <w:autoSpaceDN w:val="0"/>
      <w:adjustRightInd w:val="0"/>
      <w:snapToGrid w:val="0"/>
      <w:spacing w:before="240" w:after="64" w:line="320" w:lineRule="auto"/>
      <w:ind w:left="1152" w:hanging="1152"/>
      <w:jc w:val="both"/>
      <w:outlineLvl w:val="5"/>
    </w:pPr>
    <w:rPr>
      <w:rFonts w:ascii="Arial" w:hAnsi="Arial" w:eastAsia="黑体"/>
      <w:b/>
      <w:snapToGrid w:val="0"/>
      <w:color w:val="000000"/>
      <w:sz w:val="24"/>
    </w:rPr>
  </w:style>
  <w:style w:type="paragraph" w:styleId="12">
    <w:name w:val="heading 7"/>
    <w:basedOn w:val="1"/>
    <w:next w:val="7"/>
    <w:link w:val="57"/>
    <w:qFormat/>
    <w:uiPriority w:val="0"/>
    <w:pPr>
      <w:keepNext/>
      <w:widowControl w:val="0"/>
      <w:tabs>
        <w:tab w:val="left" w:pos="1296"/>
      </w:tabs>
      <w:autoSpaceDE w:val="0"/>
      <w:autoSpaceDN w:val="0"/>
      <w:adjustRightInd w:val="0"/>
      <w:snapToGrid w:val="0"/>
      <w:spacing w:before="240" w:after="64" w:line="320" w:lineRule="auto"/>
      <w:ind w:left="1296" w:hanging="1296"/>
      <w:jc w:val="both"/>
      <w:outlineLvl w:val="6"/>
    </w:pPr>
    <w:rPr>
      <w:rFonts w:ascii="宋体"/>
      <w:b/>
      <w:snapToGrid w:val="0"/>
      <w:color w:val="000000"/>
      <w:sz w:val="24"/>
    </w:rPr>
  </w:style>
  <w:style w:type="paragraph" w:styleId="13">
    <w:name w:val="heading 8"/>
    <w:basedOn w:val="1"/>
    <w:next w:val="7"/>
    <w:link w:val="58"/>
    <w:qFormat/>
    <w:uiPriority w:val="0"/>
    <w:pPr>
      <w:keepNext/>
      <w:widowControl w:val="0"/>
      <w:tabs>
        <w:tab w:val="left" w:pos="1440"/>
      </w:tabs>
      <w:autoSpaceDE w:val="0"/>
      <w:autoSpaceDN w:val="0"/>
      <w:adjustRightInd w:val="0"/>
      <w:snapToGrid w:val="0"/>
      <w:spacing w:before="240" w:after="64" w:line="320" w:lineRule="auto"/>
      <w:ind w:left="1440" w:hanging="1440"/>
      <w:jc w:val="both"/>
      <w:outlineLvl w:val="7"/>
    </w:pPr>
    <w:rPr>
      <w:rFonts w:ascii="Arial" w:hAnsi="Arial" w:eastAsia="黑体"/>
      <w:snapToGrid w:val="0"/>
      <w:color w:val="000000"/>
      <w:sz w:val="24"/>
    </w:rPr>
  </w:style>
  <w:style w:type="paragraph" w:styleId="14">
    <w:name w:val="heading 9"/>
    <w:basedOn w:val="1"/>
    <w:next w:val="7"/>
    <w:link w:val="59"/>
    <w:qFormat/>
    <w:uiPriority w:val="0"/>
    <w:pPr>
      <w:keepNext/>
      <w:widowControl w:val="0"/>
      <w:tabs>
        <w:tab w:val="left" w:pos="1584"/>
      </w:tabs>
      <w:autoSpaceDE w:val="0"/>
      <w:autoSpaceDN w:val="0"/>
      <w:adjustRightInd w:val="0"/>
      <w:snapToGrid w:val="0"/>
      <w:spacing w:before="240" w:after="64" w:line="320" w:lineRule="auto"/>
      <w:ind w:left="1584" w:hanging="1584"/>
      <w:jc w:val="both"/>
      <w:outlineLvl w:val="8"/>
    </w:pPr>
    <w:rPr>
      <w:rFonts w:ascii="Arial" w:hAnsi="Arial" w:eastAsia="黑体"/>
      <w:snapToGrid w:val="0"/>
      <w:color w:val="000000"/>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9"/>
    <w:uiPriority w:val="0"/>
    <w:pPr>
      <w:widowControl w:val="0"/>
      <w:jc w:val="both"/>
    </w:pPr>
    <w:rPr>
      <w:kern w:val="2"/>
      <w:sz w:val="28"/>
    </w:rPr>
  </w:style>
  <w:style w:type="paragraph" w:styleId="3">
    <w:name w:val="Body Text 2"/>
    <w:basedOn w:val="1"/>
    <w:next w:val="2"/>
    <w:link w:val="80"/>
    <w:uiPriority w:val="0"/>
    <w:pPr>
      <w:spacing w:line="360" w:lineRule="auto"/>
    </w:pPr>
    <w:rPr>
      <w:rFonts w:ascii="宋体" w:hAnsi="宋体"/>
      <w:color w:val="000000"/>
      <w:sz w:val="24"/>
    </w:rPr>
  </w:style>
  <w:style w:type="paragraph" w:styleId="6">
    <w:name w:val="List 2"/>
    <w:basedOn w:val="1"/>
    <w:uiPriority w:val="0"/>
    <w:pPr>
      <w:widowControl w:val="0"/>
      <w:ind w:left="100" w:leftChars="200" w:hanging="200" w:hangingChars="200"/>
      <w:jc w:val="both"/>
    </w:pPr>
    <w:rPr>
      <w:kern w:val="2"/>
      <w:szCs w:val="24"/>
    </w:rPr>
  </w:style>
  <w:style w:type="paragraph" w:styleId="7">
    <w:name w:val="Normal Indent"/>
    <w:basedOn w:val="1"/>
    <w:link w:val="93"/>
    <w:qFormat/>
    <w:uiPriority w:val="0"/>
    <w:pPr>
      <w:ind w:left="720"/>
    </w:pPr>
  </w:style>
  <w:style w:type="paragraph" w:styleId="15">
    <w:name w:val="toc 7"/>
    <w:basedOn w:val="1"/>
    <w:next w:val="1"/>
    <w:uiPriority w:val="39"/>
    <w:pPr>
      <w:ind w:left="1260"/>
    </w:pPr>
    <w:rPr>
      <w:rFonts w:asciiTheme="minorHAnsi" w:eastAsiaTheme="minorHAnsi"/>
      <w:sz w:val="18"/>
      <w:szCs w:val="18"/>
    </w:rPr>
  </w:style>
  <w:style w:type="paragraph" w:styleId="16">
    <w:name w:val="caption"/>
    <w:basedOn w:val="1"/>
    <w:next w:val="1"/>
    <w:link w:val="102"/>
    <w:qFormat/>
    <w:uiPriority w:val="0"/>
    <w:pPr>
      <w:widowControl w:val="0"/>
      <w:spacing w:before="152" w:after="160" w:line="360" w:lineRule="auto"/>
      <w:jc w:val="both"/>
    </w:pPr>
    <w:rPr>
      <w:rFonts w:ascii="Arial" w:hAnsi="Arial" w:eastAsia="黑体"/>
      <w:kern w:val="2"/>
      <w:sz w:val="20"/>
      <w:lang w:val="zh-CN" w:eastAsia="zh-CN"/>
    </w:rPr>
  </w:style>
  <w:style w:type="paragraph" w:styleId="17">
    <w:name w:val="Document Map"/>
    <w:basedOn w:val="1"/>
    <w:link w:val="108"/>
    <w:qFormat/>
    <w:uiPriority w:val="99"/>
    <w:pPr>
      <w:shd w:val="clear" w:color="auto" w:fill="000080"/>
    </w:pPr>
  </w:style>
  <w:style w:type="paragraph" w:styleId="18">
    <w:name w:val="toa heading"/>
    <w:basedOn w:val="1"/>
    <w:next w:val="1"/>
    <w:semiHidden/>
    <w:uiPriority w:val="0"/>
    <w:pPr>
      <w:widowControl w:val="0"/>
      <w:autoSpaceDE w:val="0"/>
      <w:autoSpaceDN w:val="0"/>
      <w:adjustRightInd w:val="0"/>
      <w:snapToGrid w:val="0"/>
      <w:spacing w:before="120" w:line="360" w:lineRule="auto"/>
      <w:jc w:val="both"/>
    </w:pPr>
    <w:rPr>
      <w:rFonts w:ascii="Arial" w:hAnsi="Arial"/>
      <w:snapToGrid w:val="0"/>
      <w:color w:val="000000"/>
    </w:rPr>
  </w:style>
  <w:style w:type="paragraph" w:styleId="19">
    <w:name w:val="annotation text"/>
    <w:basedOn w:val="1"/>
    <w:link w:val="109"/>
    <w:qFormat/>
    <w:uiPriority w:val="99"/>
  </w:style>
  <w:style w:type="paragraph" w:styleId="20">
    <w:name w:val="Body Text Indent"/>
    <w:basedOn w:val="1"/>
    <w:link w:val="64"/>
    <w:uiPriority w:val="0"/>
    <w:pPr>
      <w:widowControl w:val="0"/>
      <w:spacing w:line="360" w:lineRule="auto"/>
      <w:ind w:left="-103" w:firstLine="515"/>
      <w:jc w:val="both"/>
    </w:pPr>
    <w:rPr>
      <w:rFonts w:ascii="宋体"/>
      <w:kern w:val="2"/>
      <w:sz w:val="24"/>
    </w:rPr>
  </w:style>
  <w:style w:type="paragraph" w:styleId="21">
    <w:name w:val="Block Text"/>
    <w:basedOn w:val="1"/>
    <w:uiPriority w:val="0"/>
    <w:pPr>
      <w:autoSpaceDE w:val="0"/>
      <w:autoSpaceDN w:val="0"/>
      <w:spacing w:line="360" w:lineRule="auto"/>
      <w:ind w:left="315" w:leftChars="150" w:right="-53"/>
      <w:jc w:val="both"/>
      <w:textAlignment w:val="bottom"/>
    </w:pPr>
    <w:rPr>
      <w:kern w:val="2"/>
    </w:rPr>
  </w:style>
  <w:style w:type="paragraph" w:styleId="22">
    <w:name w:val="toc 5"/>
    <w:basedOn w:val="1"/>
    <w:next w:val="1"/>
    <w:uiPriority w:val="39"/>
    <w:pPr>
      <w:ind w:left="840"/>
    </w:pPr>
    <w:rPr>
      <w:rFonts w:asciiTheme="minorHAnsi" w:eastAsiaTheme="minorHAnsi"/>
      <w:sz w:val="18"/>
      <w:szCs w:val="18"/>
    </w:rPr>
  </w:style>
  <w:style w:type="paragraph" w:styleId="23">
    <w:name w:val="toc 3"/>
    <w:basedOn w:val="1"/>
    <w:next w:val="1"/>
    <w:uiPriority w:val="39"/>
    <w:pPr>
      <w:ind w:left="420"/>
    </w:pPr>
    <w:rPr>
      <w:rFonts w:asciiTheme="minorHAnsi" w:eastAsiaTheme="minorHAnsi"/>
      <w:i/>
      <w:iCs/>
      <w:sz w:val="20"/>
    </w:rPr>
  </w:style>
  <w:style w:type="paragraph" w:styleId="24">
    <w:name w:val="Plain Text"/>
    <w:basedOn w:val="1"/>
    <w:link w:val="104"/>
    <w:qFormat/>
    <w:uiPriority w:val="0"/>
    <w:pPr>
      <w:widowControl w:val="0"/>
      <w:jc w:val="both"/>
    </w:pPr>
    <w:rPr>
      <w:rFonts w:ascii="宋体" w:hAnsi="Courier New"/>
      <w:kern w:val="2"/>
      <w:lang w:val="zh-CN" w:eastAsia="zh-CN"/>
    </w:rPr>
  </w:style>
  <w:style w:type="paragraph" w:styleId="25">
    <w:name w:val="toc 8"/>
    <w:basedOn w:val="1"/>
    <w:next w:val="1"/>
    <w:semiHidden/>
    <w:uiPriority w:val="0"/>
    <w:pPr>
      <w:ind w:left="1470"/>
    </w:pPr>
    <w:rPr>
      <w:rFonts w:asciiTheme="minorHAnsi" w:eastAsiaTheme="minorHAnsi"/>
      <w:sz w:val="18"/>
      <w:szCs w:val="18"/>
    </w:rPr>
  </w:style>
  <w:style w:type="paragraph" w:styleId="26">
    <w:name w:val="Date"/>
    <w:basedOn w:val="1"/>
    <w:next w:val="1"/>
    <w:link w:val="62"/>
    <w:uiPriority w:val="0"/>
    <w:pPr>
      <w:widowControl w:val="0"/>
      <w:jc w:val="both"/>
    </w:pPr>
    <w:rPr>
      <w:rFonts w:ascii="楷体_GB2312" w:eastAsia="楷体_GB2312"/>
      <w:kern w:val="2"/>
      <w:sz w:val="28"/>
    </w:rPr>
  </w:style>
  <w:style w:type="paragraph" w:styleId="27">
    <w:name w:val="Body Text Indent 2"/>
    <w:basedOn w:val="1"/>
    <w:link w:val="106"/>
    <w:qFormat/>
    <w:uiPriority w:val="0"/>
    <w:pPr>
      <w:widowControl w:val="0"/>
      <w:spacing w:line="360" w:lineRule="auto"/>
      <w:ind w:firstLine="420"/>
      <w:jc w:val="both"/>
    </w:pPr>
    <w:rPr>
      <w:kern w:val="2"/>
    </w:rPr>
  </w:style>
  <w:style w:type="paragraph" w:styleId="28">
    <w:name w:val="Balloon Text"/>
    <w:basedOn w:val="1"/>
    <w:link w:val="111"/>
    <w:qFormat/>
    <w:uiPriority w:val="99"/>
    <w:pPr>
      <w:widowControl w:val="0"/>
      <w:jc w:val="both"/>
    </w:pPr>
    <w:rPr>
      <w:kern w:val="2"/>
      <w:sz w:val="18"/>
      <w:szCs w:val="18"/>
    </w:rPr>
  </w:style>
  <w:style w:type="paragraph" w:styleId="29">
    <w:name w:val="footer"/>
    <w:basedOn w:val="1"/>
    <w:link w:val="112"/>
    <w:qFormat/>
    <w:uiPriority w:val="99"/>
    <w:pPr>
      <w:tabs>
        <w:tab w:val="center" w:pos="4153"/>
        <w:tab w:val="right" w:pos="8306"/>
      </w:tabs>
      <w:snapToGrid w:val="0"/>
    </w:pPr>
    <w:rPr>
      <w:sz w:val="18"/>
    </w:rPr>
  </w:style>
  <w:style w:type="paragraph" w:styleId="30">
    <w:name w:val="header"/>
    <w:basedOn w:val="1"/>
    <w:link w:val="99"/>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uiPriority w:val="39"/>
    <w:pPr>
      <w:spacing w:before="120" w:after="120"/>
    </w:pPr>
    <w:rPr>
      <w:rFonts w:asciiTheme="minorHAnsi" w:eastAsiaTheme="minorHAnsi"/>
      <w:b/>
      <w:bCs/>
      <w:caps/>
      <w:sz w:val="20"/>
    </w:rPr>
  </w:style>
  <w:style w:type="paragraph" w:styleId="32">
    <w:name w:val="toc 4"/>
    <w:basedOn w:val="1"/>
    <w:next w:val="1"/>
    <w:uiPriority w:val="39"/>
    <w:pPr>
      <w:ind w:left="630"/>
    </w:pPr>
    <w:rPr>
      <w:rFonts w:asciiTheme="minorHAnsi" w:eastAsiaTheme="minorHAnsi"/>
      <w:sz w:val="18"/>
      <w:szCs w:val="18"/>
    </w:rPr>
  </w:style>
  <w:style w:type="paragraph" w:styleId="33">
    <w:name w:val="Subtitle"/>
    <w:basedOn w:val="1"/>
    <w:next w:val="1"/>
    <w:link w:val="118"/>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34">
    <w:name w:val="toc 6"/>
    <w:basedOn w:val="1"/>
    <w:next w:val="1"/>
    <w:uiPriority w:val="39"/>
    <w:pPr>
      <w:ind w:left="1050"/>
    </w:pPr>
    <w:rPr>
      <w:rFonts w:asciiTheme="minorHAnsi" w:eastAsiaTheme="minorHAnsi"/>
      <w:sz w:val="18"/>
      <w:szCs w:val="18"/>
    </w:rPr>
  </w:style>
  <w:style w:type="paragraph" w:styleId="35">
    <w:name w:val="Body Text Indent 3"/>
    <w:basedOn w:val="1"/>
    <w:link w:val="66"/>
    <w:uiPriority w:val="0"/>
    <w:pPr>
      <w:widowControl w:val="0"/>
      <w:spacing w:line="360" w:lineRule="auto"/>
      <w:ind w:left="420"/>
      <w:jc w:val="both"/>
    </w:pPr>
    <w:rPr>
      <w:kern w:val="2"/>
    </w:rPr>
  </w:style>
  <w:style w:type="paragraph" w:styleId="36">
    <w:name w:val="toc 2"/>
    <w:basedOn w:val="1"/>
    <w:next w:val="1"/>
    <w:uiPriority w:val="39"/>
    <w:pPr>
      <w:ind w:left="210"/>
    </w:pPr>
    <w:rPr>
      <w:rFonts w:asciiTheme="minorHAnsi" w:eastAsiaTheme="minorHAnsi"/>
      <w:smallCaps/>
      <w:sz w:val="20"/>
    </w:rPr>
  </w:style>
  <w:style w:type="paragraph" w:styleId="37">
    <w:name w:val="toc 9"/>
    <w:basedOn w:val="1"/>
    <w:next w:val="1"/>
    <w:semiHidden/>
    <w:uiPriority w:val="0"/>
    <w:pPr>
      <w:ind w:left="1680"/>
    </w:pPr>
    <w:rPr>
      <w:rFonts w:asciiTheme="minorHAnsi" w:eastAsiaTheme="minorHAnsi"/>
      <w:sz w:val="18"/>
      <w:szCs w:val="18"/>
    </w:rPr>
  </w:style>
  <w:style w:type="paragraph" w:styleId="38">
    <w:name w:val="Normal (Web)"/>
    <w:basedOn w:val="1"/>
    <w:uiPriority w:val="0"/>
    <w:pPr>
      <w:spacing w:before="100" w:beforeAutospacing="1" w:after="100" w:afterAutospacing="1"/>
    </w:pPr>
    <w:rPr>
      <w:rFonts w:ascii="宋体" w:hAnsi="宋体" w:cs="宋体"/>
      <w:color w:val="000000"/>
      <w:sz w:val="24"/>
      <w:szCs w:val="24"/>
    </w:rPr>
  </w:style>
  <w:style w:type="paragraph" w:styleId="39">
    <w:name w:val="index 1"/>
    <w:basedOn w:val="1"/>
    <w:next w:val="1"/>
    <w:semiHidden/>
    <w:uiPriority w:val="0"/>
    <w:pPr>
      <w:widowControl w:val="0"/>
      <w:jc w:val="center"/>
    </w:pPr>
    <w:rPr>
      <w:rFonts w:ascii="宋体" w:hAnsi="宋体"/>
      <w:kern w:val="2"/>
      <w:szCs w:val="21"/>
    </w:rPr>
  </w:style>
  <w:style w:type="paragraph" w:styleId="40">
    <w:name w:val="Title"/>
    <w:basedOn w:val="1"/>
    <w:next w:val="1"/>
    <w:link w:val="119"/>
    <w:qFormat/>
    <w:uiPriority w:val="10"/>
    <w:pPr>
      <w:spacing w:before="240" w:after="60"/>
      <w:jc w:val="center"/>
      <w:outlineLvl w:val="0"/>
    </w:pPr>
    <w:rPr>
      <w:rFonts w:asciiTheme="majorHAnsi" w:hAnsiTheme="majorHAnsi" w:eastAsiaTheme="majorEastAsia" w:cstheme="majorBidi"/>
      <w:b/>
      <w:bCs/>
      <w:sz w:val="32"/>
      <w:szCs w:val="32"/>
    </w:rPr>
  </w:style>
  <w:style w:type="paragraph" w:styleId="41">
    <w:name w:val="annotation subject"/>
    <w:basedOn w:val="19"/>
    <w:next w:val="19"/>
    <w:link w:val="110"/>
    <w:qFormat/>
    <w:uiPriority w:val="99"/>
    <w:rPr>
      <w:b/>
      <w:bCs/>
    </w:rPr>
  </w:style>
  <w:style w:type="paragraph" w:styleId="42">
    <w:name w:val="Body Text First Indent"/>
    <w:basedOn w:val="2"/>
    <w:link w:val="115"/>
    <w:semiHidden/>
    <w:unhideWhenUsed/>
    <w:uiPriority w:val="99"/>
    <w:pPr>
      <w:widowControl/>
      <w:spacing w:after="120"/>
      <w:ind w:firstLine="420" w:firstLineChars="100"/>
      <w:jc w:val="left"/>
    </w:pPr>
    <w:rPr>
      <w:kern w:val="0"/>
      <w:sz w:val="21"/>
    </w:rPr>
  </w:style>
  <w:style w:type="table" w:styleId="44">
    <w:name w:val="Table Grid"/>
    <w:basedOn w:val="43"/>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uiPriority w:val="0"/>
  </w:style>
  <w:style w:type="character" w:styleId="48">
    <w:name w:val="FollowedHyperlink"/>
    <w:basedOn w:val="45"/>
    <w:semiHidden/>
    <w:unhideWhenUsed/>
    <w:uiPriority w:val="99"/>
    <w:rPr>
      <w:color w:val="954F72" w:themeColor="followedHyperlink"/>
      <w:u w:val="single"/>
      <w14:textFill>
        <w14:solidFill>
          <w14:schemeClr w14:val="folHlink"/>
        </w14:solidFill>
      </w14:textFill>
    </w:rPr>
  </w:style>
  <w:style w:type="character" w:styleId="49">
    <w:name w:val="Hyperlink"/>
    <w:uiPriority w:val="99"/>
    <w:rPr>
      <w:color w:val="0000FF"/>
      <w:u w:val="single"/>
    </w:rPr>
  </w:style>
  <w:style w:type="character" w:styleId="50">
    <w:name w:val="annotation reference"/>
    <w:qFormat/>
    <w:uiPriority w:val="99"/>
    <w:rPr>
      <w:sz w:val="21"/>
      <w:szCs w:val="21"/>
    </w:rPr>
  </w:style>
  <w:style w:type="character" w:customStyle="1" w:styleId="51">
    <w:name w:val="标题 1 字符"/>
    <w:basedOn w:val="45"/>
    <w:uiPriority w:val="9"/>
    <w:rPr>
      <w:rFonts w:ascii="Times New Roman" w:hAnsi="Times New Roman" w:eastAsia="宋体" w:cs="Times New Roman"/>
      <w:b/>
      <w:bCs/>
      <w:kern w:val="44"/>
      <w:sz w:val="44"/>
      <w:szCs w:val="44"/>
    </w:rPr>
  </w:style>
  <w:style w:type="character" w:customStyle="1" w:styleId="52">
    <w:name w:val="标题 2 字符"/>
    <w:basedOn w:val="45"/>
    <w:link w:val="5"/>
    <w:uiPriority w:val="0"/>
    <w:rPr>
      <w:rFonts w:ascii="宋体" w:hAnsi="宋体" w:eastAsia="宋体" w:cs="Arial"/>
      <w:b/>
      <w:sz w:val="28"/>
      <w:szCs w:val="24"/>
    </w:rPr>
  </w:style>
  <w:style w:type="character" w:customStyle="1" w:styleId="53">
    <w:name w:val="标题 3 字符"/>
    <w:basedOn w:val="45"/>
    <w:link w:val="8"/>
    <w:uiPriority w:val="0"/>
    <w:rPr>
      <w:rFonts w:ascii="宋体" w:hAnsi="Times New Roman" w:eastAsia="宋体" w:cs="Times New Roman"/>
      <w:snapToGrid w:val="0"/>
      <w:kern w:val="0"/>
      <w:szCs w:val="20"/>
    </w:rPr>
  </w:style>
  <w:style w:type="character" w:customStyle="1" w:styleId="54">
    <w:name w:val="标题 4 字符"/>
    <w:basedOn w:val="45"/>
    <w:link w:val="9"/>
    <w:uiPriority w:val="0"/>
    <w:rPr>
      <w:rFonts w:ascii="宋体" w:hAnsi="Arial" w:eastAsia="宋体" w:cs="Times New Roman"/>
      <w:snapToGrid w:val="0"/>
      <w:color w:val="000000"/>
      <w:kern w:val="0"/>
      <w:szCs w:val="20"/>
    </w:rPr>
  </w:style>
  <w:style w:type="character" w:customStyle="1" w:styleId="55">
    <w:name w:val="标题 5 字符"/>
    <w:basedOn w:val="45"/>
    <w:link w:val="10"/>
    <w:uiPriority w:val="0"/>
    <w:rPr>
      <w:rFonts w:ascii="宋体" w:hAnsi="Times New Roman" w:eastAsia="宋体" w:cs="Times New Roman"/>
      <w:b/>
      <w:snapToGrid w:val="0"/>
      <w:color w:val="000000"/>
      <w:kern w:val="0"/>
      <w:sz w:val="28"/>
      <w:szCs w:val="20"/>
    </w:rPr>
  </w:style>
  <w:style w:type="character" w:customStyle="1" w:styleId="56">
    <w:name w:val="标题 6 字符"/>
    <w:basedOn w:val="45"/>
    <w:link w:val="11"/>
    <w:uiPriority w:val="0"/>
    <w:rPr>
      <w:rFonts w:ascii="Arial" w:hAnsi="Arial" w:eastAsia="黑体" w:cs="Times New Roman"/>
      <w:b/>
      <w:snapToGrid w:val="0"/>
      <w:color w:val="000000"/>
      <w:kern w:val="0"/>
      <w:sz w:val="24"/>
      <w:szCs w:val="20"/>
    </w:rPr>
  </w:style>
  <w:style w:type="character" w:customStyle="1" w:styleId="57">
    <w:name w:val="标题 7 字符"/>
    <w:basedOn w:val="45"/>
    <w:link w:val="12"/>
    <w:uiPriority w:val="0"/>
    <w:rPr>
      <w:rFonts w:ascii="宋体" w:hAnsi="Times New Roman" w:eastAsia="宋体" w:cs="Times New Roman"/>
      <w:b/>
      <w:snapToGrid w:val="0"/>
      <w:color w:val="000000"/>
      <w:kern w:val="0"/>
      <w:sz w:val="24"/>
      <w:szCs w:val="20"/>
    </w:rPr>
  </w:style>
  <w:style w:type="character" w:customStyle="1" w:styleId="58">
    <w:name w:val="标题 8 字符"/>
    <w:basedOn w:val="45"/>
    <w:link w:val="13"/>
    <w:uiPriority w:val="0"/>
    <w:rPr>
      <w:rFonts w:ascii="Arial" w:hAnsi="Arial" w:eastAsia="黑体" w:cs="Times New Roman"/>
      <w:snapToGrid w:val="0"/>
      <w:color w:val="000000"/>
      <w:kern w:val="0"/>
      <w:sz w:val="24"/>
      <w:szCs w:val="20"/>
    </w:rPr>
  </w:style>
  <w:style w:type="character" w:customStyle="1" w:styleId="59">
    <w:name w:val="标题 9 字符"/>
    <w:basedOn w:val="45"/>
    <w:link w:val="14"/>
    <w:uiPriority w:val="0"/>
    <w:rPr>
      <w:rFonts w:ascii="Arial" w:hAnsi="Arial" w:eastAsia="黑体" w:cs="Times New Roman"/>
      <w:snapToGrid w:val="0"/>
      <w:color w:val="000000"/>
      <w:kern w:val="0"/>
      <w:szCs w:val="20"/>
    </w:rPr>
  </w:style>
  <w:style w:type="character" w:customStyle="1" w:styleId="60">
    <w:name w:val="页眉 字符"/>
    <w:basedOn w:val="45"/>
    <w:qFormat/>
    <w:uiPriority w:val="99"/>
    <w:rPr>
      <w:rFonts w:ascii="Times New Roman" w:hAnsi="Times New Roman" w:eastAsia="宋体" w:cs="Times New Roman"/>
      <w:kern w:val="0"/>
      <w:sz w:val="18"/>
      <w:szCs w:val="18"/>
    </w:rPr>
  </w:style>
  <w:style w:type="character" w:customStyle="1" w:styleId="61">
    <w:name w:val="页脚 字符"/>
    <w:basedOn w:val="45"/>
    <w:qFormat/>
    <w:uiPriority w:val="99"/>
    <w:rPr>
      <w:rFonts w:ascii="Times New Roman" w:hAnsi="Times New Roman" w:eastAsia="宋体" w:cs="Times New Roman"/>
      <w:kern w:val="0"/>
      <w:sz w:val="18"/>
      <w:szCs w:val="18"/>
    </w:rPr>
  </w:style>
  <w:style w:type="character" w:customStyle="1" w:styleId="62">
    <w:name w:val="日期 字符"/>
    <w:basedOn w:val="45"/>
    <w:link w:val="26"/>
    <w:uiPriority w:val="0"/>
    <w:rPr>
      <w:rFonts w:ascii="楷体_GB2312" w:hAnsi="Times New Roman" w:eastAsia="楷体_GB2312" w:cs="Times New Roman"/>
      <w:sz w:val="28"/>
      <w:szCs w:val="20"/>
    </w:rPr>
  </w:style>
  <w:style w:type="paragraph" w:customStyle="1" w:styleId="63">
    <w:name w:val="投标文件2"/>
    <w:basedOn w:val="1"/>
    <w:uiPriority w:val="0"/>
    <w:pPr>
      <w:widowControl w:val="0"/>
      <w:spacing w:line="480" w:lineRule="auto"/>
      <w:ind w:left="1134"/>
      <w:jc w:val="center"/>
      <w:outlineLvl w:val="0"/>
    </w:pPr>
    <w:rPr>
      <w:rFonts w:ascii="宋体"/>
      <w:b/>
      <w:kern w:val="2"/>
      <w:sz w:val="30"/>
    </w:rPr>
  </w:style>
  <w:style w:type="character" w:customStyle="1" w:styleId="64">
    <w:name w:val="正文文本缩进 字符"/>
    <w:basedOn w:val="45"/>
    <w:link w:val="20"/>
    <w:uiPriority w:val="0"/>
    <w:rPr>
      <w:rFonts w:ascii="宋体" w:hAnsi="Times New Roman" w:eastAsia="宋体" w:cs="Times New Roman"/>
      <w:sz w:val="24"/>
      <w:szCs w:val="20"/>
    </w:rPr>
  </w:style>
  <w:style w:type="character" w:customStyle="1" w:styleId="65">
    <w:name w:val="正文文本缩进 2 字符"/>
    <w:basedOn w:val="45"/>
    <w:semiHidden/>
    <w:uiPriority w:val="99"/>
    <w:rPr>
      <w:rFonts w:ascii="Times New Roman" w:hAnsi="Times New Roman" w:eastAsia="宋体" w:cs="Times New Roman"/>
      <w:kern w:val="0"/>
      <w:szCs w:val="20"/>
    </w:rPr>
  </w:style>
  <w:style w:type="character" w:customStyle="1" w:styleId="66">
    <w:name w:val="正文文本缩进 3 字符"/>
    <w:basedOn w:val="45"/>
    <w:link w:val="35"/>
    <w:uiPriority w:val="0"/>
    <w:rPr>
      <w:rFonts w:ascii="Times New Roman" w:hAnsi="Times New Roman" w:eastAsia="宋体" w:cs="Times New Roman"/>
      <w:szCs w:val="20"/>
    </w:rPr>
  </w:style>
  <w:style w:type="character" w:customStyle="1" w:styleId="67">
    <w:name w:val="纯文本 字符"/>
    <w:basedOn w:val="45"/>
    <w:semiHidden/>
    <w:uiPriority w:val="99"/>
    <w:rPr>
      <w:rFonts w:hAnsi="Courier New" w:cs="Courier New" w:asciiTheme="minorEastAsia"/>
      <w:kern w:val="0"/>
      <w:szCs w:val="20"/>
    </w:rPr>
  </w:style>
  <w:style w:type="paragraph" w:customStyle="1" w:styleId="68">
    <w:name w:val="样式1"/>
    <w:basedOn w:val="1"/>
    <w:uiPriority w:val="0"/>
    <w:pPr>
      <w:widowControl w:val="0"/>
      <w:tabs>
        <w:tab w:val="left" w:pos="948"/>
      </w:tabs>
      <w:adjustRightInd w:val="0"/>
      <w:snapToGrid w:val="0"/>
      <w:spacing w:before="40" w:after="40" w:line="300" w:lineRule="auto"/>
      <w:ind w:left="948" w:hanging="360"/>
      <w:jc w:val="center"/>
      <w:textAlignment w:val="center"/>
    </w:pPr>
    <w:rPr>
      <w:snapToGrid w:val="0"/>
      <w:spacing w:val="20"/>
      <w:sz w:val="18"/>
    </w:rPr>
  </w:style>
  <w:style w:type="character" w:customStyle="1" w:styleId="69">
    <w:name w:val="正文文本 字符"/>
    <w:basedOn w:val="45"/>
    <w:link w:val="2"/>
    <w:uiPriority w:val="0"/>
    <w:rPr>
      <w:rFonts w:ascii="Times New Roman" w:hAnsi="Times New Roman" w:eastAsia="宋体" w:cs="Times New Roman"/>
      <w:sz w:val="28"/>
      <w:szCs w:val="20"/>
    </w:rPr>
  </w:style>
  <w:style w:type="paragraph" w:customStyle="1" w:styleId="70">
    <w:name w:val="图"/>
    <w:basedOn w:val="1"/>
    <w:uiPriority w:val="0"/>
    <w:pPr>
      <w:keepNext/>
      <w:widowControl w:val="0"/>
      <w:adjustRightInd w:val="0"/>
      <w:spacing w:before="60" w:after="60" w:line="300" w:lineRule="auto"/>
      <w:jc w:val="center"/>
      <w:textAlignment w:val="center"/>
    </w:pPr>
    <w:rPr>
      <w:snapToGrid w:val="0"/>
      <w:spacing w:val="20"/>
      <w:sz w:val="24"/>
    </w:rPr>
  </w:style>
  <w:style w:type="paragraph" w:customStyle="1" w:styleId="71">
    <w:name w:val="日期1"/>
    <w:basedOn w:val="1"/>
    <w:next w:val="1"/>
    <w:uiPriority w:val="0"/>
    <w:pPr>
      <w:widowControl w:val="0"/>
      <w:adjustRightInd w:val="0"/>
      <w:spacing w:line="360" w:lineRule="auto"/>
      <w:jc w:val="both"/>
      <w:textAlignment w:val="baseline"/>
    </w:pPr>
    <w:rPr>
      <w:rFonts w:ascii="宋体"/>
      <w:b/>
      <w:spacing w:val="2"/>
      <w:kern w:val="2"/>
      <w:sz w:val="24"/>
    </w:rPr>
  </w:style>
  <w:style w:type="character" w:customStyle="1" w:styleId="72">
    <w:name w:val="批注框文本 字符"/>
    <w:basedOn w:val="45"/>
    <w:semiHidden/>
    <w:uiPriority w:val="99"/>
    <w:rPr>
      <w:rFonts w:ascii="Times New Roman" w:hAnsi="Times New Roman" w:eastAsia="宋体" w:cs="Times New Roman"/>
      <w:kern w:val="0"/>
      <w:sz w:val="18"/>
      <w:szCs w:val="18"/>
    </w:rPr>
  </w:style>
  <w:style w:type="paragraph" w:customStyle="1" w:styleId="73">
    <w:name w:val="标题 4 +"/>
    <w:basedOn w:val="13"/>
    <w:uiPriority w:val="0"/>
    <w:pPr>
      <w:keepLines/>
      <w:tabs>
        <w:tab w:val="clear" w:pos="1440"/>
      </w:tabs>
      <w:autoSpaceDE/>
      <w:autoSpaceDN/>
      <w:adjustRightInd/>
      <w:snapToGrid/>
      <w:ind w:left="0" w:firstLine="0"/>
    </w:pPr>
    <w:rPr>
      <w:snapToGrid/>
      <w:color w:val="auto"/>
      <w:szCs w:val="24"/>
    </w:rPr>
  </w:style>
  <w:style w:type="paragraph" w:customStyle="1" w:styleId="74">
    <w:name w:val="标题 4 宋体"/>
    <w:basedOn w:val="73"/>
    <w:uiPriority w:val="0"/>
    <w:pPr/>
    <w:rPr>
      <w:rFonts w:ascii="宋体" w:hAnsi="宋体" w:eastAsia="宋体"/>
      <w:b/>
      <w:bCs/>
      <w:kern w:val="2"/>
      <w:sz w:val="22"/>
    </w:rPr>
  </w:style>
  <w:style w:type="paragraph" w:customStyle="1" w:styleId="75">
    <w:name w:val="标题 3 + 宋体"/>
    <w:basedOn w:val="5"/>
    <w:uiPriority w:val="0"/>
    <w:pPr>
      <w:adjustRightInd/>
      <w:snapToGrid/>
      <w:spacing w:before="260" w:after="260" w:line="416" w:lineRule="auto"/>
    </w:pPr>
    <w:rPr>
      <w:bCs/>
      <w:szCs w:val="32"/>
    </w:rPr>
  </w:style>
  <w:style w:type="character" w:customStyle="1" w:styleId="76">
    <w:name w:val="txt11"/>
    <w:uiPriority w:val="0"/>
    <w:rPr>
      <w:rFonts w:hint="default" w:ascii="Arial" w:hAnsi="Arial" w:cs="Arial"/>
      <w:color w:val="000000"/>
      <w:sz w:val="18"/>
      <w:szCs w:val="18"/>
    </w:rPr>
  </w:style>
  <w:style w:type="paragraph" w:customStyle="1" w:styleId="77">
    <w:name w:val="xl51"/>
    <w:basedOn w:val="1"/>
    <w:uiPriority w:val="0"/>
    <w:pPr>
      <w:pBdr>
        <w:bottom w:val="single" w:color="auto" w:sz="4" w:space="0"/>
        <w:right w:val="single" w:color="auto" w:sz="4" w:space="0"/>
      </w:pBdr>
      <w:spacing w:before="100" w:beforeAutospacing="1" w:after="100" w:afterAutospacing="1"/>
      <w:jc w:val="both"/>
      <w:textAlignment w:val="center"/>
    </w:pPr>
    <w:rPr>
      <w:rFonts w:ascii="Arial" w:hAnsi="Arial" w:eastAsia="Arial Unicode MS" w:cs="Arial"/>
      <w:szCs w:val="21"/>
    </w:rPr>
  </w:style>
  <w:style w:type="character" w:customStyle="1" w:styleId="78">
    <w:name w:val="纯文本 Char"/>
    <w:qFormat/>
    <w:uiPriority w:val="0"/>
    <w:rPr>
      <w:rFonts w:ascii="宋体" w:hAnsi="Courier New" w:eastAsia="宋体"/>
      <w:kern w:val="2"/>
      <w:sz w:val="21"/>
      <w:lang w:val="en-US" w:eastAsia="zh-CN" w:bidi="ar-SA"/>
    </w:rPr>
  </w:style>
  <w:style w:type="paragraph" w:customStyle="1" w:styleId="79">
    <w:name w:val="tabletext"/>
    <w:basedOn w:val="1"/>
    <w:uiPriority w:val="0"/>
    <w:pPr>
      <w:spacing w:before="100" w:beforeAutospacing="1" w:after="100" w:afterAutospacing="1" w:line="209" w:lineRule="atLeast"/>
    </w:pPr>
    <w:rPr>
      <w:rFonts w:ascii="宋体" w:hAnsi="宋体"/>
      <w:sz w:val="16"/>
      <w:szCs w:val="16"/>
    </w:rPr>
  </w:style>
  <w:style w:type="character" w:customStyle="1" w:styleId="80">
    <w:name w:val="正文文本 2 字符"/>
    <w:basedOn w:val="45"/>
    <w:link w:val="3"/>
    <w:uiPriority w:val="0"/>
    <w:rPr>
      <w:rFonts w:ascii="宋体" w:hAnsi="宋体" w:eastAsia="宋体" w:cs="Times New Roman"/>
      <w:color w:val="000000"/>
      <w:kern w:val="0"/>
      <w:sz w:val="24"/>
      <w:szCs w:val="20"/>
    </w:rPr>
  </w:style>
  <w:style w:type="paragraph" w:customStyle="1" w:styleId="81">
    <w:name w:val="(标书)正文 Char"/>
    <w:basedOn w:val="1"/>
    <w:uiPriority w:val="0"/>
    <w:pPr>
      <w:widowControl w:val="0"/>
      <w:spacing w:line="480" w:lineRule="auto"/>
      <w:ind w:firstLine="522"/>
    </w:pPr>
    <w:rPr>
      <w:spacing w:val="10"/>
      <w:sz w:val="24"/>
      <w:szCs w:val="24"/>
    </w:rPr>
  </w:style>
  <w:style w:type="paragraph" w:customStyle="1" w:styleId="82">
    <w:name w:val="表格文字"/>
    <w:basedOn w:val="1"/>
    <w:uiPriority w:val="0"/>
    <w:pPr>
      <w:widowControl w:val="0"/>
      <w:spacing w:before="25" w:after="25" w:line="300" w:lineRule="auto"/>
      <w:jc w:val="both"/>
    </w:pPr>
    <w:rPr>
      <w:rFonts w:ascii="Times" w:hAnsi="Times"/>
      <w:spacing w:val="10"/>
      <w:sz w:val="24"/>
    </w:rPr>
  </w:style>
  <w:style w:type="paragraph" w:customStyle="1" w:styleId="83">
    <w:name w:val="表格内容"/>
    <w:basedOn w:val="1"/>
    <w:next w:val="1"/>
    <w:uiPriority w:val="0"/>
    <w:pPr>
      <w:widowControl w:val="0"/>
      <w:spacing w:line="312" w:lineRule="auto"/>
      <w:jc w:val="both"/>
    </w:pPr>
    <w:rPr>
      <w:rFonts w:ascii="宋体"/>
      <w:kern w:val="2"/>
    </w:rPr>
  </w:style>
  <w:style w:type="paragraph" w:customStyle="1" w:styleId="84">
    <w:name w:val="标题1"/>
    <w:basedOn w:val="1"/>
    <w:uiPriority w:val="0"/>
    <w:pPr>
      <w:spacing w:line="360" w:lineRule="auto"/>
      <w:jc w:val="center"/>
    </w:pPr>
    <w:rPr>
      <w:rFonts w:ascii="黑体" w:eastAsia="黑体"/>
      <w:b/>
      <w:sz w:val="44"/>
    </w:rPr>
  </w:style>
  <w:style w:type="paragraph" w:customStyle="1" w:styleId="85">
    <w:name w:val="6"/>
    <w:uiPriority w:val="0"/>
    <w:rPr>
      <w:rFonts w:ascii="Times New Roman" w:hAnsi="Times New Roman" w:eastAsia="宋体" w:cs="Times New Roman"/>
      <w:kern w:val="0"/>
      <w:sz w:val="21"/>
      <w:szCs w:val="20"/>
      <w:lang w:val="en-US" w:eastAsia="zh-CN" w:bidi="ar-SA"/>
    </w:rPr>
  </w:style>
  <w:style w:type="paragraph" w:customStyle="1" w:styleId="86">
    <w:name w:val="Char"/>
    <w:basedOn w:val="17"/>
    <w:uiPriority w:val="0"/>
    <w:pPr>
      <w:widowControl w:val="0"/>
      <w:adjustRightInd w:val="0"/>
      <w:jc w:val="both"/>
      <w:textAlignment w:val="baseline"/>
    </w:pPr>
    <w:rPr>
      <w:rFonts w:ascii="Tahoma" w:hAnsi="Tahoma"/>
      <w:kern w:val="2"/>
      <w:sz w:val="24"/>
      <w:szCs w:val="24"/>
    </w:rPr>
  </w:style>
  <w:style w:type="character" w:customStyle="1" w:styleId="87">
    <w:name w:val="文档结构图 字符"/>
    <w:basedOn w:val="45"/>
    <w:semiHidden/>
    <w:uiPriority w:val="99"/>
    <w:rPr>
      <w:rFonts w:ascii="Microsoft YaHei UI" w:hAnsi="Times New Roman" w:eastAsia="Microsoft YaHei UI" w:cs="Times New Roman"/>
      <w:kern w:val="0"/>
      <w:sz w:val="18"/>
      <w:szCs w:val="18"/>
    </w:rPr>
  </w:style>
  <w:style w:type="character" w:customStyle="1" w:styleId="88">
    <w:name w:val="span_paramvalue"/>
    <w:basedOn w:val="45"/>
    <w:uiPriority w:val="0"/>
  </w:style>
  <w:style w:type="paragraph" w:customStyle="1" w:styleId="89">
    <w:name w:val="Char Char Char Char"/>
    <w:basedOn w:val="1"/>
    <w:uiPriority w:val="0"/>
    <w:pPr>
      <w:spacing w:after="160" w:line="240" w:lineRule="exact"/>
    </w:pPr>
    <w:rPr>
      <w:rFonts w:ascii="Verdana" w:hAnsi="Verdana" w:eastAsia="仿宋_GB2312"/>
      <w:sz w:val="24"/>
      <w:lang w:eastAsia="en-US"/>
    </w:rPr>
  </w:style>
  <w:style w:type="paragraph" w:customStyle="1" w:styleId="90">
    <w:name w:val="Char Char Char"/>
    <w:basedOn w:val="1"/>
    <w:uiPriority w:val="0"/>
    <w:pPr>
      <w:widowControl w:val="0"/>
      <w:jc w:val="both"/>
    </w:pPr>
    <w:rPr>
      <w:rFonts w:ascii="Tahoma" w:hAnsi="Tahoma"/>
      <w:kern w:val="2"/>
      <w:sz w:val="24"/>
    </w:rPr>
  </w:style>
  <w:style w:type="character" w:customStyle="1" w:styleId="91">
    <w:name w:val="cpbar1"/>
    <w:basedOn w:val="45"/>
    <w:uiPriority w:val="0"/>
  </w:style>
  <w:style w:type="paragraph" w:customStyle="1" w:styleId="92">
    <w:name w:val="Char Char1 Char"/>
    <w:basedOn w:val="1"/>
    <w:uiPriority w:val="0"/>
    <w:pPr>
      <w:widowControl w:val="0"/>
      <w:jc w:val="both"/>
    </w:pPr>
    <w:rPr>
      <w:kern w:val="2"/>
      <w:szCs w:val="24"/>
    </w:rPr>
  </w:style>
  <w:style w:type="character" w:customStyle="1" w:styleId="93">
    <w:name w:val="正文缩进 字符"/>
    <w:link w:val="7"/>
    <w:qFormat/>
    <w:locked/>
    <w:uiPriority w:val="0"/>
    <w:rPr>
      <w:rFonts w:ascii="Times New Roman" w:hAnsi="Times New Roman" w:eastAsia="宋体" w:cs="Times New Roman"/>
      <w:kern w:val="0"/>
      <w:szCs w:val="20"/>
    </w:rPr>
  </w:style>
  <w:style w:type="paragraph" w:customStyle="1" w:styleId="94">
    <w:name w:val="Char Char Char1 Char1"/>
    <w:basedOn w:val="1"/>
    <w:uiPriority w:val="0"/>
    <w:pPr>
      <w:widowControl w:val="0"/>
      <w:jc w:val="both"/>
    </w:pPr>
    <w:rPr>
      <w:kern w:val="2"/>
      <w:szCs w:val="24"/>
    </w:rPr>
  </w:style>
  <w:style w:type="paragraph" w:customStyle="1" w:styleId="95">
    <w:name w:val="默认段落字体 Para Char"/>
    <w:basedOn w:val="1"/>
    <w:uiPriority w:val="0"/>
    <w:pPr>
      <w:widowControl w:val="0"/>
      <w:jc w:val="both"/>
    </w:pPr>
    <w:rPr>
      <w:rFonts w:ascii="Tahoma" w:hAnsi="Tahoma"/>
      <w:kern w:val="2"/>
      <w:sz w:val="24"/>
    </w:rPr>
  </w:style>
  <w:style w:type="paragraph" w:customStyle="1" w:styleId="96">
    <w:name w:val="Char Char Char Char1"/>
    <w:basedOn w:val="1"/>
    <w:uiPriority w:val="0"/>
    <w:pPr>
      <w:spacing w:after="160" w:line="240" w:lineRule="exact"/>
    </w:pPr>
    <w:rPr>
      <w:rFonts w:ascii="Verdana" w:hAnsi="Verdana" w:eastAsia="仿宋_GB2312"/>
      <w:sz w:val="24"/>
      <w:lang w:eastAsia="en-US"/>
    </w:rPr>
  </w:style>
  <w:style w:type="paragraph" w:customStyle="1" w:styleId="97">
    <w:name w:val="列出段落1"/>
    <w:basedOn w:val="1"/>
    <w:link w:val="107"/>
    <w:qFormat/>
    <w:uiPriority w:val="34"/>
    <w:pPr>
      <w:ind w:firstLine="420" w:firstLineChars="200"/>
    </w:pPr>
    <w:rPr>
      <w:lang w:val="zh-CN" w:eastAsia="zh-CN"/>
    </w:rPr>
  </w:style>
  <w:style w:type="paragraph" w:customStyle="1" w:styleId="98">
    <w:name w:val="Char1"/>
    <w:basedOn w:val="17"/>
    <w:uiPriority w:val="0"/>
    <w:pPr>
      <w:widowControl w:val="0"/>
      <w:jc w:val="both"/>
    </w:pPr>
    <w:rPr>
      <w:rFonts w:ascii="Tahoma" w:hAnsi="Tahoma"/>
      <w:kern w:val="2"/>
      <w:sz w:val="24"/>
      <w:szCs w:val="24"/>
    </w:rPr>
  </w:style>
  <w:style w:type="character" w:customStyle="1" w:styleId="99">
    <w:name w:val="页眉 字符1"/>
    <w:link w:val="30"/>
    <w:uiPriority w:val="99"/>
    <w:rPr>
      <w:rFonts w:ascii="Times New Roman" w:hAnsi="Times New Roman" w:eastAsia="宋体" w:cs="Times New Roman"/>
      <w:kern w:val="0"/>
      <w:sz w:val="18"/>
      <w:szCs w:val="20"/>
    </w:rPr>
  </w:style>
  <w:style w:type="character" w:customStyle="1" w:styleId="100">
    <w:name w:val="批注文字 字符"/>
    <w:basedOn w:val="45"/>
    <w:semiHidden/>
    <w:uiPriority w:val="99"/>
    <w:rPr>
      <w:rFonts w:ascii="Times New Roman" w:hAnsi="Times New Roman" w:eastAsia="宋体" w:cs="Times New Roman"/>
      <w:kern w:val="0"/>
      <w:szCs w:val="20"/>
    </w:rPr>
  </w:style>
  <w:style w:type="character" w:customStyle="1" w:styleId="101">
    <w:name w:val="批注主题 字符"/>
    <w:basedOn w:val="100"/>
    <w:semiHidden/>
    <w:uiPriority w:val="99"/>
    <w:rPr>
      <w:rFonts w:ascii="Times New Roman" w:hAnsi="Times New Roman" w:eastAsia="宋体" w:cs="Times New Roman"/>
      <w:b/>
      <w:bCs/>
      <w:kern w:val="0"/>
      <w:szCs w:val="20"/>
    </w:rPr>
  </w:style>
  <w:style w:type="character" w:customStyle="1" w:styleId="102">
    <w:name w:val="题注 字符"/>
    <w:link w:val="16"/>
    <w:uiPriority w:val="0"/>
    <w:rPr>
      <w:rFonts w:ascii="Arial" w:hAnsi="Arial" w:eastAsia="黑体" w:cs="Times New Roman"/>
      <w:sz w:val="20"/>
      <w:szCs w:val="20"/>
      <w:lang w:val="zh-CN" w:eastAsia="zh-CN"/>
    </w:rPr>
  </w:style>
  <w:style w:type="paragraph" w:customStyle="1" w:styleId="103">
    <w:name w:val="Char Char Char1"/>
    <w:basedOn w:val="1"/>
    <w:uiPriority w:val="0"/>
    <w:pPr>
      <w:widowControl w:val="0"/>
      <w:jc w:val="both"/>
    </w:pPr>
    <w:rPr>
      <w:rFonts w:ascii="Tahoma" w:hAnsi="Tahoma"/>
      <w:kern w:val="2"/>
      <w:sz w:val="24"/>
    </w:rPr>
  </w:style>
  <w:style w:type="character" w:customStyle="1" w:styleId="104">
    <w:name w:val="纯文本 字符1"/>
    <w:link w:val="24"/>
    <w:uiPriority w:val="0"/>
    <w:rPr>
      <w:rFonts w:ascii="宋体" w:hAnsi="Courier New" w:eastAsia="宋体" w:cs="Times New Roman"/>
      <w:szCs w:val="20"/>
      <w:lang w:val="zh-CN" w:eastAsia="zh-CN"/>
    </w:rPr>
  </w:style>
  <w:style w:type="character" w:customStyle="1" w:styleId="105">
    <w:name w:val="标题 1 字符1"/>
    <w:link w:val="4"/>
    <w:qFormat/>
    <w:uiPriority w:val="9"/>
    <w:rPr>
      <w:rFonts w:ascii="宋体" w:hAnsi="宋体" w:eastAsia="宋体" w:cs="Times New Roman"/>
      <w:b/>
      <w:kern w:val="44"/>
      <w:sz w:val="24"/>
      <w:szCs w:val="20"/>
    </w:rPr>
  </w:style>
  <w:style w:type="character" w:customStyle="1" w:styleId="106">
    <w:name w:val="正文文本缩进 2 字符1"/>
    <w:link w:val="27"/>
    <w:qFormat/>
    <w:uiPriority w:val="0"/>
    <w:rPr>
      <w:rFonts w:ascii="Times New Roman" w:hAnsi="Times New Roman" w:eastAsia="宋体" w:cs="Times New Roman"/>
      <w:szCs w:val="20"/>
    </w:rPr>
  </w:style>
  <w:style w:type="character" w:customStyle="1" w:styleId="107">
    <w:name w:val="列出段落 Char"/>
    <w:link w:val="97"/>
    <w:qFormat/>
    <w:locked/>
    <w:uiPriority w:val="0"/>
    <w:rPr>
      <w:rFonts w:ascii="Times New Roman" w:hAnsi="Times New Roman" w:eastAsia="宋体" w:cs="Times New Roman"/>
      <w:kern w:val="0"/>
      <w:szCs w:val="20"/>
      <w:lang w:val="zh-CN" w:eastAsia="zh-CN"/>
    </w:rPr>
  </w:style>
  <w:style w:type="character" w:customStyle="1" w:styleId="108">
    <w:name w:val="文档结构图 字符1"/>
    <w:link w:val="17"/>
    <w:qFormat/>
    <w:uiPriority w:val="99"/>
    <w:rPr>
      <w:rFonts w:ascii="Times New Roman" w:hAnsi="Times New Roman" w:eastAsia="宋体" w:cs="Times New Roman"/>
      <w:kern w:val="0"/>
      <w:szCs w:val="20"/>
      <w:shd w:val="clear" w:color="auto" w:fill="000080"/>
    </w:rPr>
  </w:style>
  <w:style w:type="character" w:customStyle="1" w:styleId="109">
    <w:name w:val="批注文字 字符1"/>
    <w:link w:val="19"/>
    <w:qFormat/>
    <w:uiPriority w:val="99"/>
    <w:rPr>
      <w:rFonts w:ascii="Times New Roman" w:hAnsi="Times New Roman" w:eastAsia="宋体" w:cs="Times New Roman"/>
      <w:kern w:val="0"/>
      <w:szCs w:val="20"/>
    </w:rPr>
  </w:style>
  <w:style w:type="character" w:customStyle="1" w:styleId="110">
    <w:name w:val="批注主题 字符1"/>
    <w:link w:val="41"/>
    <w:qFormat/>
    <w:uiPriority w:val="99"/>
    <w:rPr>
      <w:rFonts w:ascii="Times New Roman" w:hAnsi="Times New Roman" w:eastAsia="宋体" w:cs="Times New Roman"/>
      <w:b/>
      <w:bCs/>
      <w:kern w:val="0"/>
      <w:szCs w:val="20"/>
    </w:rPr>
  </w:style>
  <w:style w:type="character" w:customStyle="1" w:styleId="111">
    <w:name w:val="批注框文本 字符1"/>
    <w:link w:val="28"/>
    <w:qFormat/>
    <w:uiPriority w:val="99"/>
    <w:rPr>
      <w:rFonts w:ascii="Times New Roman" w:hAnsi="Times New Roman" w:eastAsia="宋体" w:cs="Times New Roman"/>
      <w:sz w:val="18"/>
      <w:szCs w:val="18"/>
    </w:rPr>
  </w:style>
  <w:style w:type="character" w:customStyle="1" w:styleId="112">
    <w:name w:val="页脚 字符1"/>
    <w:link w:val="29"/>
    <w:uiPriority w:val="99"/>
    <w:rPr>
      <w:rFonts w:ascii="Times New Roman" w:hAnsi="Times New Roman" w:eastAsia="宋体" w:cs="Times New Roman"/>
      <w:kern w:val="0"/>
      <w:sz w:val="18"/>
      <w:szCs w:val="20"/>
    </w:rPr>
  </w:style>
  <w:style w:type="paragraph" w:styleId="113">
    <w:name w:val="List Paragraph"/>
    <w:basedOn w:val="1"/>
    <w:link w:val="114"/>
    <w:qFormat/>
    <w:uiPriority w:val="34"/>
    <w:pPr>
      <w:widowControl w:val="0"/>
      <w:ind w:firstLine="420" w:firstLineChars="200"/>
      <w:jc w:val="both"/>
    </w:pPr>
    <w:rPr>
      <w:kern w:val="2"/>
    </w:rPr>
  </w:style>
  <w:style w:type="character" w:customStyle="1" w:styleId="114">
    <w:name w:val="列表段落 字符"/>
    <w:link w:val="113"/>
    <w:locked/>
    <w:uiPriority w:val="34"/>
    <w:rPr>
      <w:rFonts w:ascii="Times New Roman" w:hAnsi="Times New Roman" w:eastAsia="宋体" w:cs="Times New Roman"/>
      <w:szCs w:val="20"/>
    </w:rPr>
  </w:style>
  <w:style w:type="character" w:customStyle="1" w:styleId="115">
    <w:name w:val="正文文本首行缩进 字符"/>
    <w:basedOn w:val="69"/>
    <w:link w:val="42"/>
    <w:semiHidden/>
    <w:uiPriority w:val="99"/>
    <w:rPr>
      <w:rFonts w:ascii="Times New Roman" w:hAnsi="Times New Roman" w:eastAsia="宋体" w:cs="Times New Roman"/>
      <w:kern w:val="0"/>
      <w:sz w:val="28"/>
      <w:szCs w:val="20"/>
    </w:rPr>
  </w:style>
  <w:style w:type="paragraph" w:customStyle="1" w:styleId="116">
    <w:name w:val="bt1"/>
    <w:basedOn w:val="4"/>
    <w:link w:val="117"/>
    <w:qFormat/>
    <w:uiPriority w:val="0"/>
    <w:pPr>
      <w:numPr>
        <w:numId w:val="3"/>
      </w:numPr>
      <w:tabs>
        <w:tab w:val="left" w:pos="636"/>
      </w:tabs>
    </w:pPr>
    <w:rPr>
      <w:rFonts w:eastAsiaTheme="majorEastAsia"/>
      <w:color w:val="000000"/>
      <w:sz w:val="30"/>
      <w:szCs w:val="28"/>
    </w:rPr>
  </w:style>
  <w:style w:type="character" w:customStyle="1" w:styleId="117">
    <w:name w:val="bt1 字符"/>
    <w:basedOn w:val="105"/>
    <w:link w:val="116"/>
    <w:uiPriority w:val="0"/>
    <w:rPr>
      <w:rFonts w:ascii="宋体" w:hAnsi="宋体" w:cs="Times New Roman" w:eastAsiaTheme="majorEastAsia"/>
      <w:color w:val="000000"/>
      <w:kern w:val="44"/>
      <w:sz w:val="30"/>
      <w:szCs w:val="28"/>
    </w:rPr>
  </w:style>
  <w:style w:type="character" w:customStyle="1" w:styleId="118">
    <w:name w:val="副标题 字符"/>
    <w:basedOn w:val="45"/>
    <w:link w:val="33"/>
    <w:uiPriority w:val="11"/>
    <w:rPr>
      <w:b/>
      <w:bCs/>
      <w:kern w:val="28"/>
      <w:sz w:val="32"/>
      <w:szCs w:val="32"/>
    </w:rPr>
  </w:style>
  <w:style w:type="character" w:customStyle="1" w:styleId="119">
    <w:name w:val="标题 字符"/>
    <w:basedOn w:val="45"/>
    <w:link w:val="40"/>
    <w:uiPriority w:val="10"/>
    <w:rPr>
      <w:rFonts w:asciiTheme="majorHAnsi" w:hAnsiTheme="majorHAnsi" w:eastAsiaTheme="majorEastAsia" w:cstheme="majorBidi"/>
      <w:b/>
      <w:bCs/>
      <w:kern w:val="0"/>
      <w:sz w:val="32"/>
      <w:szCs w:val="32"/>
    </w:rPr>
  </w:style>
  <w:style w:type="paragraph" w:customStyle="1" w:styleId="120">
    <w:name w:val="正文首行缩进两字"/>
    <w:link w:val="121"/>
    <w:uiPriority w:val="0"/>
    <w:pPr>
      <w:spacing w:after="156" w:afterLines="50" w:line="300" w:lineRule="auto"/>
      <w:ind w:firstLine="482" w:firstLineChars="200"/>
    </w:pPr>
    <w:rPr>
      <w:rFonts w:ascii="Times New Roman" w:hAnsi="Times New Roman" w:eastAsia="宋体" w:cs="Times New Roman"/>
      <w:b/>
      <w:kern w:val="0"/>
      <w:sz w:val="24"/>
      <w:szCs w:val="24"/>
      <w:lang w:val="en-US" w:eastAsia="zh-CN" w:bidi="ar-SA"/>
    </w:rPr>
  </w:style>
  <w:style w:type="character" w:customStyle="1" w:styleId="121">
    <w:name w:val="正文首行缩进两字 Char"/>
    <w:link w:val="120"/>
    <w:uiPriority w:val="0"/>
    <w:rPr>
      <w:rFonts w:ascii="Times New Roman" w:hAnsi="Times New Roman" w:eastAsia="宋体" w:cs="Times New Roman"/>
      <w:b/>
      <w:kern w:val="0"/>
      <w:sz w:val="24"/>
      <w:szCs w:val="24"/>
    </w:rPr>
  </w:style>
  <w:style w:type="paragraph" w:customStyle="1" w:styleId="122">
    <w:name w:val="标题 1（绿盟科技）"/>
    <w:basedOn w:val="4"/>
    <w:next w:val="1"/>
    <w:qFormat/>
    <w:uiPriority w:val="0"/>
    <w:pPr>
      <w:numPr>
        <w:ilvl w:val="0"/>
        <w:numId w:val="0"/>
      </w:numPr>
      <w:pBdr>
        <w:bottom w:val="single" w:color="auto" w:sz="48" w:space="1"/>
      </w:pBdr>
      <w:tabs>
        <w:tab w:val="left" w:pos="360"/>
      </w:tabs>
      <w:spacing w:before="600"/>
      <w:jc w:val="left"/>
    </w:pPr>
    <w:rPr>
      <w:rFonts w:ascii="Arial" w:hAnsi="Arial" w:eastAsia="黑体"/>
      <w:bCs/>
      <w:sz w:val="44"/>
      <w:szCs w:val="44"/>
      <w:lang w:val="zh-CN" w:eastAsia="zh-CN"/>
    </w:rPr>
  </w:style>
  <w:style w:type="paragraph" w:customStyle="1" w:styleId="123">
    <w:name w:val="标题 2（绿盟科技）"/>
    <w:basedOn w:val="5"/>
    <w:next w:val="1"/>
    <w:qFormat/>
    <w:uiPriority w:val="0"/>
    <w:pPr>
      <w:numPr>
        <w:numId w:val="4"/>
      </w:numPr>
      <w:tabs>
        <w:tab w:val="left" w:pos="360"/>
      </w:tabs>
      <w:adjustRightInd/>
      <w:snapToGrid/>
      <w:spacing w:before="260" w:beforeLines="0" w:after="260" w:afterLines="0" w:line="412" w:lineRule="auto"/>
      <w:ind w:left="0" w:firstLine="0"/>
      <w:jc w:val="left"/>
    </w:pPr>
    <w:rPr>
      <w:rFonts w:ascii="Arial" w:eastAsia="黑体" w:cs="Times New Roman"/>
      <w:sz w:val="32"/>
      <w:szCs w:val="32"/>
      <w:lang w:val="zh-CN" w:eastAsia="zh-CN"/>
    </w:rPr>
  </w:style>
  <w:style w:type="paragraph" w:customStyle="1" w:styleId="124">
    <w:name w:val="标题 3（绿盟科技）"/>
    <w:basedOn w:val="8"/>
    <w:next w:val="1"/>
    <w:qFormat/>
    <w:uiPriority w:val="0"/>
    <w:pPr>
      <w:keepNext/>
      <w:keepLines/>
      <w:numPr>
        <w:ilvl w:val="2"/>
        <w:numId w:val="4"/>
      </w:numPr>
      <w:tabs>
        <w:tab w:val="left" w:pos="360"/>
        <w:tab w:val="left" w:pos="960"/>
        <w:tab w:val="clear" w:pos="851"/>
      </w:tabs>
      <w:autoSpaceDE/>
      <w:autoSpaceDN/>
      <w:adjustRightInd/>
      <w:snapToGrid/>
      <w:spacing w:before="260" w:after="260" w:line="412" w:lineRule="auto"/>
      <w:ind w:left="0" w:firstLine="0"/>
      <w:jc w:val="left"/>
    </w:pPr>
    <w:rPr>
      <w:rFonts w:ascii="Arial" w:hAnsi="Arial" w:eastAsia="黑体"/>
      <w:b/>
      <w:snapToGrid/>
      <w:sz w:val="30"/>
      <w:szCs w:val="30"/>
    </w:rPr>
  </w:style>
  <w:style w:type="paragraph" w:customStyle="1" w:styleId="125">
    <w:name w:val="标题 4（绿盟科技）"/>
    <w:basedOn w:val="9"/>
    <w:next w:val="1"/>
    <w:qFormat/>
    <w:uiPriority w:val="0"/>
    <w:pPr>
      <w:keepNext/>
      <w:keepLines/>
      <w:widowControl/>
      <w:numPr>
        <w:ilvl w:val="3"/>
        <w:numId w:val="4"/>
      </w:numPr>
      <w:autoSpaceDE/>
      <w:autoSpaceDN/>
      <w:adjustRightInd/>
      <w:snapToGrid/>
      <w:spacing w:before="280" w:after="156" w:line="374" w:lineRule="auto"/>
      <w:jc w:val="left"/>
    </w:pPr>
    <w:rPr>
      <w:rFonts w:ascii="Arial" w:eastAsia="黑体"/>
      <w:b/>
      <w:snapToGrid/>
      <w:color w:val="auto"/>
      <w:sz w:val="28"/>
      <w:szCs w:val="28"/>
    </w:rPr>
  </w:style>
  <w:style w:type="paragraph" w:customStyle="1" w:styleId="126">
    <w:name w:val="标题 5（有编号）（绿盟科技）"/>
    <w:basedOn w:val="1"/>
    <w:next w:val="1"/>
    <w:qFormat/>
    <w:uiPriority w:val="0"/>
    <w:pPr>
      <w:keepNext/>
      <w:keepLines/>
      <w:widowControl w:val="0"/>
      <w:numPr>
        <w:ilvl w:val="4"/>
        <w:numId w:val="4"/>
      </w:numPr>
      <w:spacing w:before="280" w:after="156" w:line="376" w:lineRule="auto"/>
      <w:outlineLvl w:val="4"/>
    </w:pPr>
    <w:rPr>
      <w:rFonts w:ascii="Arial" w:hAnsi="Arial" w:eastAsia="黑体"/>
      <w:b/>
      <w:sz w:val="24"/>
      <w:szCs w:val="28"/>
    </w:rPr>
  </w:style>
  <w:style w:type="paragraph" w:customStyle="1" w:styleId="127">
    <w:name w:val="标题 6（有编号）（绿盟科技）"/>
    <w:basedOn w:val="1"/>
    <w:next w:val="1"/>
    <w:qFormat/>
    <w:uiPriority w:val="0"/>
    <w:pPr>
      <w:keepNext/>
      <w:keepLines/>
      <w:widowControl w:val="0"/>
      <w:numPr>
        <w:ilvl w:val="5"/>
        <w:numId w:val="4"/>
      </w:numPr>
      <w:spacing w:before="240" w:after="64" w:line="316" w:lineRule="auto"/>
      <w:outlineLvl w:val="5"/>
    </w:pPr>
    <w:rPr>
      <w:rFonts w:ascii="Arial" w:hAnsi="Arial" w:eastAsia="黑体"/>
      <w:b/>
      <w:szCs w:val="24"/>
    </w:rPr>
  </w:style>
  <w:style w:type="paragraph" w:customStyle="1" w:styleId="128">
    <w:name w:val="插图标注（绿盟科技）"/>
    <w:next w:val="1"/>
    <w:uiPriority w:val="0"/>
    <w:pPr>
      <w:numPr>
        <w:ilvl w:val="6"/>
        <w:numId w:val="4"/>
      </w:numPr>
      <w:spacing w:after="156"/>
      <w:jc w:val="center"/>
    </w:pPr>
    <w:rPr>
      <w:rFonts w:ascii="Arial" w:hAnsi="Arial" w:eastAsia="宋体" w:cs="Arial"/>
      <w:kern w:val="0"/>
      <w:sz w:val="21"/>
      <w:szCs w:val="21"/>
      <w:lang w:val="en-US" w:eastAsia="zh-CN" w:bidi="ar-SA"/>
    </w:rPr>
  </w:style>
  <w:style w:type="paragraph" w:customStyle="1" w:styleId="129">
    <w:name w:val="表格标注（绿盟科技）"/>
    <w:basedOn w:val="128"/>
    <w:next w:val="1"/>
    <w:uiPriority w:val="0"/>
    <w:pPr>
      <w:numPr>
        <w:ilvl w:val="7"/>
      </w:numPr>
    </w:pPr>
  </w:style>
  <w:style w:type="paragraph" w:customStyle="1" w:styleId="130">
    <w:name w:val="正文1"/>
    <w:basedOn w:val="1"/>
    <w:uiPriority w:val="0"/>
    <w:pPr>
      <w:topLinePunct/>
      <w:spacing w:before="156" w:beforeLines="50" w:after="156" w:afterLines="50" w:line="300" w:lineRule="auto"/>
      <w:ind w:left="420"/>
      <w:jc w:val="both"/>
    </w:pPr>
    <w:rPr>
      <w:kern w:val="2"/>
      <w:szCs w:val="24"/>
    </w:rPr>
  </w:style>
  <w:style w:type="paragraph" w:customStyle="1" w:styleId="131">
    <w:name w:val="Text Char"/>
    <w:uiPriority w:val="0"/>
    <w:pPr>
      <w:tabs>
        <w:tab w:val="left" w:pos="420"/>
        <w:tab w:val="left" w:pos="840"/>
        <w:tab w:val="left" w:pos="1260"/>
      </w:tabs>
      <w:adjustRightInd w:val="0"/>
      <w:snapToGrid w:val="0"/>
      <w:spacing w:beforeLines="75" w:afterLines="50" w:line="300" w:lineRule="auto"/>
      <w:ind w:firstLine="588" w:firstLineChars="245"/>
      <w:jc w:val="both"/>
    </w:pPr>
    <w:rPr>
      <w:rFonts w:ascii="Verdana" w:hAnsi="Verdana" w:eastAsia="仿宋_GB2312" w:cs="Times New Roman"/>
      <w:kern w:val="0"/>
      <w:sz w:val="24"/>
      <w:szCs w:val="22"/>
      <w:lang w:val="en-US" w:eastAsia="zh-CN" w:bidi="ar-SA"/>
    </w:rPr>
  </w:style>
  <w:style w:type="paragraph" w:customStyle="1" w:styleId="132">
    <w:name w:val="Char2"/>
    <w:basedOn w:val="1"/>
    <w:uiPriority w:val="0"/>
    <w:pPr>
      <w:spacing w:after="160" w:line="240" w:lineRule="exact"/>
    </w:pPr>
    <w:rPr>
      <w:rFonts w:ascii="Verdana" w:hAnsi="Verdana" w:eastAsia="仿宋_GB2312"/>
      <w:sz w:val="24"/>
      <w:lang w:eastAsia="en-US"/>
    </w:rPr>
  </w:style>
  <w:style w:type="paragraph" w:customStyle="1" w:styleId="133">
    <w:name w:val="_Style 132"/>
    <w:basedOn w:val="1"/>
    <w:next w:val="113"/>
    <w:qFormat/>
    <w:uiPriority w:val="34"/>
    <w:pPr>
      <w:widowControl w:val="0"/>
      <w:ind w:firstLine="420" w:firstLineChars="200"/>
      <w:jc w:val="both"/>
    </w:pPr>
    <w:rPr>
      <w:rFonts w:ascii="Calibri" w:hAnsi="Calibri"/>
      <w:kern w:val="2"/>
      <w:szCs w:val="22"/>
    </w:rPr>
  </w:style>
  <w:style w:type="paragraph" w:customStyle="1" w:styleId="134">
    <w:name w:val="表格"/>
    <w:basedOn w:val="1"/>
    <w:qFormat/>
    <w:uiPriority w:val="0"/>
    <w:pPr>
      <w:spacing w:line="360" w:lineRule="auto"/>
    </w:pPr>
    <w:rPr>
      <w:rFonts w:ascii="仿宋_GB2312" w:hAnsi="宋体" w:eastAsia="仿宋_GB2312"/>
      <w:bCs/>
      <w:color w:val="333333"/>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1042</Words>
  <Characters>5941</Characters>
  <Lines>49</Lines>
  <Paragraphs>13</Paragraphs>
  <TotalTime>0</TotalTime>
  <ScaleCrop>false</ScaleCrop>
  <LinksUpToDate>false</LinksUpToDate>
  <CharactersWithSpaces>6970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2023-11-23T01:56:00Z</dcterms:created>
  <dc:creator>Jiancheng JC13 Li</dc:creator>
  <cp:lastModifiedBy>Absurd</cp:lastModifiedBy>
  <dcterms:modified xsi:type="dcterms:W3CDTF">2023-11-24T02:54:53Z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AE6C2401893B4ED9A12BA6C57F71C84A_13</vt:lpwstr>
  </property>
</Properties>
</file>