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24"/>
          <w:szCs w:val="24"/>
        </w:rPr>
      </w:pPr>
    </w:p>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（服务类）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宋体" w:hAnsi="宋体"/>
          <w:b/>
          <w:sz w:val="24"/>
          <w:szCs w:val="24"/>
        </w:rPr>
      </w:pPr>
    </w:p>
    <w:p>
      <w:pPr>
        <w:rPr>
          <w:rFonts w:ascii="宋体" w:hAnsi="宋体"/>
          <w:b/>
          <w:sz w:val="24"/>
          <w:szCs w:val="24"/>
        </w:rPr>
      </w:pPr>
    </w:p>
    <w:p>
      <w:pPr>
        <w:snapToGrid w:val="0"/>
        <w:ind w:right="-315" w:rightChars="-150" w:firstLine="420" w:firstLineChars="200"/>
        <w:rPr>
          <w:rFonts w:ascii="宋体" w:hAnsi="宋体"/>
          <w:szCs w:val="21"/>
        </w:rPr>
      </w:pPr>
    </w:p>
    <w:p>
      <w:pPr>
        <w:snapToGrid w:val="0"/>
        <w:ind w:right="-315" w:rightChars="-150" w:firstLine="420" w:firstLineChars="200"/>
        <w:rPr>
          <w:rFonts w:ascii="宋体" w:hAnsi="宋体"/>
          <w:szCs w:val="21"/>
        </w:rPr>
      </w:pPr>
    </w:p>
    <w:p>
      <w:pPr>
        <w:snapToGrid w:val="0"/>
        <w:ind w:right="-315" w:rightChars="-150" w:firstLine="420" w:firstLineChars="200"/>
        <w:rPr>
          <w:rFonts w:ascii="宋体" w:hAnsi="宋体"/>
          <w:szCs w:val="21"/>
        </w:rPr>
      </w:pPr>
    </w:p>
    <w:p>
      <w:pPr>
        <w:snapToGrid w:val="0"/>
        <w:ind w:right="-315" w:rightChars="-150" w:firstLine="420" w:firstLineChars="200"/>
        <w:rPr>
          <w:rFonts w:ascii="宋体" w:hAnsi="宋体"/>
          <w:szCs w:val="21"/>
        </w:rPr>
      </w:pPr>
    </w:p>
    <w:p>
      <w:pPr>
        <w:snapToGrid w:val="0"/>
        <w:ind w:right="-315" w:rightChars="-150" w:firstLine="420" w:firstLineChars="200"/>
        <w:rPr>
          <w:rFonts w:ascii="宋体" w:hAnsi="宋体"/>
          <w:szCs w:val="21"/>
        </w:rPr>
      </w:pPr>
    </w:p>
    <w:p>
      <w:pPr>
        <w:snapToGrid w:val="0"/>
        <w:ind w:right="-315" w:rightChars="-150" w:firstLine="420" w:firstLineChars="200"/>
        <w:rPr>
          <w:rFonts w:ascii="宋体" w:hAnsi="宋体"/>
          <w:szCs w:val="21"/>
        </w:rPr>
      </w:pPr>
    </w:p>
    <w:p>
      <w:pPr>
        <w:snapToGrid w:val="0"/>
        <w:ind w:right="-315" w:rightChars="-150" w:firstLine="420" w:firstLineChars="200"/>
        <w:rPr>
          <w:rFonts w:ascii="宋体" w:hAnsi="宋体"/>
          <w:szCs w:val="21"/>
        </w:rPr>
      </w:pPr>
    </w:p>
    <w:p>
      <w:pPr>
        <w:snapToGrid w:val="0"/>
        <w:ind w:right="-315" w:rightChars="-150" w:firstLine="420" w:firstLineChars="200"/>
        <w:rPr>
          <w:rFonts w:ascii="宋体" w:hAnsi="宋体"/>
          <w:szCs w:val="21"/>
        </w:rPr>
      </w:pPr>
    </w:p>
    <w:p>
      <w:pPr>
        <w:snapToGrid w:val="0"/>
        <w:ind w:right="-315" w:rightChars="-150"/>
        <w:rPr>
          <w:rFonts w:ascii="宋体" w:hAnsi="宋体"/>
          <w:bCs/>
          <w:szCs w:val="21"/>
        </w:rPr>
      </w:pPr>
      <w:r>
        <w:rPr>
          <w:rFonts w:hint="eastAsia" w:ascii="宋体" w:hAnsi="宋体"/>
          <w:szCs w:val="21"/>
        </w:rPr>
        <w:t xml:space="preserve">1.  </w:t>
      </w:r>
      <w:r>
        <w:rPr>
          <w:rFonts w:hint="eastAsia" w:ascii="宋体" w:hAnsi="宋体"/>
          <w:bCs/>
          <w:szCs w:val="21"/>
        </w:rPr>
        <w:t>评分表</w:t>
      </w:r>
    </w:p>
    <w:p>
      <w:pPr>
        <w:ind w:firstLine="420" w:firstLineChars="200"/>
        <w:rPr>
          <w:rFonts w:ascii="宋体" w:hAnsi="宋体"/>
          <w:szCs w:val="21"/>
        </w:rPr>
      </w:pPr>
    </w:p>
    <w:p>
      <w:pPr>
        <w:ind w:right="-1050" w:rightChars="-500" w:firstLine="560" w:firstLineChars="200"/>
        <w:rPr>
          <w:rFonts w:ascii="仿宋_GB2312" w:eastAsia="仿宋_GB2312"/>
          <w:sz w:val="28"/>
          <w:szCs w:val="24"/>
        </w:rPr>
      </w:pPr>
      <w:bookmarkStart w:id="0" w:name="InsertEnd"/>
      <w:bookmarkEnd w:id="0"/>
      <w:r>
        <w:rPr>
          <w:rFonts w:hint="eastAsia" w:ascii="仿宋_GB2312" w:eastAsia="仿宋_GB2312"/>
          <w:sz w:val="28"/>
          <w:szCs w:val="24"/>
        </w:rPr>
        <w:t>本项目采用综合评分办法，评标小组严格按照招标文件规定的评分标准和要求，对各投标文件进行综合评审，按得分高低顺序推荐中标候选人。项目采用百分制，评审保留至小数点后两位，具体评分细则如下：</w:t>
      </w:r>
    </w:p>
    <w:tbl>
      <w:tblPr>
        <w:tblStyle w:val="17"/>
        <w:tblW w:w="5544" w:type="pct"/>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1274"/>
        <w:gridCol w:w="1890"/>
        <w:gridCol w:w="1205"/>
        <w:gridCol w:w="5329"/>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rPr>
          <w:jc w:val="center"/>
        </w:trPr>
        <w:tc>
          <w:tcPr>
            <w:tcW w:w="1631" w:type="pct"/>
            <w:gridSpan w:val="2"/>
            <w:tcBorders>
              <w:top w:val="outset" w:color="auto" w:sz="6" w:space="0"/>
              <w:left w:val="outset" w:color="auto" w:sz="6" w:space="0"/>
              <w:bottom w:val="outset" w:color="auto" w:sz="6" w:space="0"/>
              <w:right w:val="outset" w:color="auto" w:sz="6"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 xml:space="preserve"> 评审因素</w:t>
            </w:r>
          </w:p>
        </w:tc>
        <w:tc>
          <w:tcPr>
            <w:tcW w:w="621" w:type="pct"/>
            <w:tcBorders>
              <w:top w:val="outset" w:color="auto" w:sz="6" w:space="0"/>
              <w:left w:val="outset" w:color="auto" w:sz="6" w:space="0"/>
              <w:bottom w:val="outset" w:color="auto" w:sz="6" w:space="0"/>
              <w:right w:val="outset" w:color="auto" w:sz="6"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分数</w:t>
            </w:r>
          </w:p>
        </w:tc>
        <w:tc>
          <w:tcPr>
            <w:tcW w:w="2747" w:type="pct"/>
            <w:tcBorders>
              <w:top w:val="outset" w:color="auto" w:sz="6" w:space="0"/>
              <w:left w:val="outset" w:color="auto" w:sz="6" w:space="0"/>
              <w:bottom w:val="outset" w:color="auto" w:sz="6" w:space="0"/>
              <w:right w:val="outset" w:color="auto" w:sz="6"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657" w:type="pct"/>
            <w:tcBorders>
              <w:top w:val="outset" w:color="auto" w:sz="6" w:space="0"/>
              <w:left w:val="outset" w:color="auto" w:sz="6" w:space="0"/>
              <w:bottom w:val="outset" w:color="auto" w:sz="6" w:space="0"/>
              <w:right w:val="outset" w:color="auto" w:sz="6" w:space="0"/>
            </w:tcBorders>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报价因素</w:t>
            </w:r>
          </w:p>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(10分)</w:t>
            </w:r>
          </w:p>
        </w:tc>
        <w:tc>
          <w:tcPr>
            <w:tcW w:w="974" w:type="pct"/>
            <w:tcBorders>
              <w:top w:val="outset" w:color="auto" w:sz="6" w:space="0"/>
              <w:left w:val="outset" w:color="auto" w:sz="6" w:space="0"/>
              <w:bottom w:val="outset" w:color="auto" w:sz="6" w:space="0"/>
              <w:right w:val="outset" w:color="auto" w:sz="6" w:space="0"/>
            </w:tcBorders>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投标报价</w:t>
            </w:r>
          </w:p>
        </w:tc>
        <w:tc>
          <w:tcPr>
            <w:tcW w:w="621" w:type="pct"/>
            <w:tcBorders>
              <w:top w:val="outset" w:color="auto" w:sz="6" w:space="0"/>
              <w:left w:val="outset" w:color="auto" w:sz="6" w:space="0"/>
              <w:bottom w:val="outset" w:color="auto" w:sz="6" w:space="0"/>
              <w:right w:val="outset" w:color="auto" w:sz="6" w:space="0"/>
            </w:tcBorders>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10分</w:t>
            </w:r>
          </w:p>
        </w:tc>
        <w:tc>
          <w:tcPr>
            <w:tcW w:w="2747" w:type="pct"/>
            <w:tcBorders>
              <w:top w:val="outset" w:color="auto" w:sz="6" w:space="0"/>
              <w:left w:val="outset" w:color="auto" w:sz="6" w:space="0"/>
              <w:bottom w:val="outset" w:color="auto" w:sz="6" w:space="0"/>
              <w:right w:val="outset" w:color="auto" w:sz="6" w:space="0"/>
            </w:tcBorders>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投标报价得分＝（评标基准价/投标报价）×价格分值【注：满足招标文件 要求且投标价格最低的投标报价为评标基准价。】最低报价不是中标的唯 一依据。因落实政府采购政策进行价格调整的，以调整后的价格计算评标 基准价和投标报价。</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657" w:type="pct"/>
            <w:vMerge w:val="restart"/>
            <w:tcBorders>
              <w:top w:val="outset" w:color="auto" w:sz="6" w:space="0"/>
              <w:left w:val="outset" w:color="auto" w:sz="6" w:space="0"/>
              <w:right w:val="outset" w:color="auto" w:sz="6" w:space="0"/>
            </w:tcBorders>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技术因素</w:t>
            </w:r>
          </w:p>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(75分)</w:t>
            </w:r>
          </w:p>
        </w:tc>
        <w:tc>
          <w:tcPr>
            <w:tcW w:w="974" w:type="pct"/>
            <w:tcBorders>
              <w:top w:val="outset" w:color="auto" w:sz="6" w:space="0"/>
              <w:left w:val="outset" w:color="auto" w:sz="6" w:space="0"/>
              <w:bottom w:val="outset" w:color="auto" w:sz="6" w:space="0"/>
              <w:right w:val="outset" w:color="auto" w:sz="6" w:space="0"/>
            </w:tcBorders>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产品整体性能评价 (10分)</w:t>
            </w:r>
          </w:p>
        </w:tc>
        <w:tc>
          <w:tcPr>
            <w:tcW w:w="621" w:type="pct"/>
            <w:tcBorders>
              <w:top w:val="outset" w:color="auto" w:sz="6" w:space="0"/>
              <w:left w:val="outset" w:color="auto" w:sz="6" w:space="0"/>
              <w:bottom w:val="outset" w:color="auto" w:sz="6" w:space="0"/>
              <w:right w:val="outset" w:color="auto" w:sz="6" w:space="0"/>
            </w:tcBorders>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10分</w:t>
            </w:r>
          </w:p>
        </w:tc>
        <w:tc>
          <w:tcPr>
            <w:tcW w:w="2747" w:type="pct"/>
            <w:tcBorders>
              <w:top w:val="outset" w:color="auto" w:sz="6" w:space="0"/>
              <w:left w:val="outset" w:color="auto" w:sz="6" w:space="0"/>
              <w:bottom w:val="outset" w:color="auto" w:sz="6" w:space="0"/>
              <w:right w:val="outset" w:color="auto" w:sz="6" w:space="0"/>
            </w:tcBorders>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投标产品整体性能优良，设计理念先进，性能稳定，安全耐用。 完全满足 采购需求：10分； 满足招标文件要求，但内容存在1处瑕疵：6分； 满足 招标文件要求，但内容存在2处瑕疵：3分； 其他：0分。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657" w:type="pct"/>
            <w:vMerge w:val="continue"/>
            <w:tcBorders>
              <w:top w:val="outset" w:color="auto" w:sz="6" w:space="0"/>
              <w:left w:val="outset" w:color="auto" w:sz="6" w:space="0"/>
              <w:right w:val="outset" w:color="auto" w:sz="6" w:space="0"/>
            </w:tcBorders>
            <w:vAlign w:val="center"/>
          </w:tcPr>
          <w:p>
            <w:pPr>
              <w:jc w:val="center"/>
              <w:rPr>
                <w:rFonts w:cs="宋体" w:asciiTheme="minorEastAsia" w:hAnsiTheme="minorEastAsia" w:eastAsiaTheme="minorEastAsia"/>
                <w:szCs w:val="21"/>
              </w:rPr>
            </w:pPr>
          </w:p>
        </w:tc>
        <w:tc>
          <w:tcPr>
            <w:tcW w:w="974" w:type="pct"/>
            <w:tcBorders>
              <w:top w:val="outset" w:color="auto" w:sz="6" w:space="0"/>
              <w:left w:val="outset" w:color="auto" w:sz="6" w:space="0"/>
              <w:bottom w:val="outset" w:color="auto" w:sz="6" w:space="0"/>
              <w:right w:val="outset" w:color="auto" w:sz="6" w:space="0"/>
            </w:tcBorders>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“▲”技术参数评价 (30分)</w:t>
            </w:r>
          </w:p>
        </w:tc>
        <w:tc>
          <w:tcPr>
            <w:tcW w:w="621" w:type="pct"/>
            <w:tcBorders>
              <w:top w:val="outset" w:color="auto" w:sz="6" w:space="0"/>
              <w:left w:val="outset" w:color="auto" w:sz="6" w:space="0"/>
              <w:bottom w:val="outset" w:color="auto" w:sz="6" w:space="0"/>
              <w:right w:val="outset" w:color="auto" w:sz="6" w:space="0"/>
            </w:tcBorders>
            <w:vAlign w:val="center"/>
          </w:tcPr>
          <w:p>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30</w:t>
            </w:r>
          </w:p>
        </w:tc>
        <w:tc>
          <w:tcPr>
            <w:tcW w:w="2747" w:type="pct"/>
            <w:tcBorders>
              <w:top w:val="outset" w:color="auto" w:sz="6" w:space="0"/>
              <w:left w:val="outset" w:color="auto" w:sz="6" w:space="0"/>
              <w:bottom w:val="outset" w:color="auto" w:sz="6" w:space="0"/>
              <w:right w:val="outset" w:color="auto" w:sz="6" w:space="0"/>
            </w:tcBorders>
            <w:vAlign w:val="center"/>
          </w:tcPr>
          <w:p>
            <w:pP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招标文件功能要求及技术要求中：完全满足没有负偏离的得满分30分，加注“▲”号的功能要求有负偏离的，一项扣</w:t>
            </w:r>
            <w:r>
              <w:rPr>
                <w:rFonts w:hint="eastAsia" w:cs="宋体" w:asciiTheme="minorEastAsia" w:hAnsiTheme="minorEastAsia" w:eastAsiaTheme="minorEastAsia"/>
                <w:szCs w:val="21"/>
                <w:highlight w:val="none"/>
                <w:lang w:val="en-US" w:eastAsia="zh-CN"/>
              </w:rPr>
              <w:t>1.5</w:t>
            </w:r>
            <w:r>
              <w:rPr>
                <w:rFonts w:hint="eastAsia" w:cs="宋体" w:asciiTheme="minorEastAsia" w:hAnsiTheme="minorEastAsia" w:eastAsiaTheme="minorEastAsia"/>
                <w:szCs w:val="21"/>
                <w:highlight w:val="none"/>
              </w:rPr>
              <w:t>分，未加注“▲”号的功能要求有负偏离的，一项扣</w:t>
            </w:r>
            <w:r>
              <w:rPr>
                <w:rFonts w:hint="eastAsia" w:cs="宋体" w:asciiTheme="minorEastAsia" w:hAnsiTheme="minorEastAsia" w:eastAsiaTheme="minorEastAsia"/>
                <w:szCs w:val="21"/>
                <w:highlight w:val="none"/>
                <w:lang w:val="en-US" w:eastAsia="zh-CN"/>
              </w:rPr>
              <w:t>0.5</w:t>
            </w:r>
            <w:r>
              <w:rPr>
                <w:rFonts w:hint="eastAsia" w:cs="宋体" w:asciiTheme="minorEastAsia" w:hAnsiTheme="minorEastAsia" w:eastAsiaTheme="minorEastAsia"/>
                <w:szCs w:val="21"/>
                <w:highlight w:val="none"/>
              </w:rPr>
              <w:t>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657" w:type="pct"/>
            <w:vMerge w:val="continue"/>
            <w:tcBorders>
              <w:top w:val="outset" w:color="auto" w:sz="6" w:space="0"/>
              <w:left w:val="outset" w:color="auto" w:sz="6" w:space="0"/>
              <w:right w:val="outset" w:color="auto" w:sz="6" w:space="0"/>
            </w:tcBorders>
            <w:vAlign w:val="center"/>
          </w:tcPr>
          <w:p>
            <w:pPr>
              <w:jc w:val="center"/>
              <w:rPr>
                <w:rFonts w:cs="宋体" w:asciiTheme="minorEastAsia" w:hAnsiTheme="minorEastAsia" w:eastAsiaTheme="minorEastAsia"/>
                <w:szCs w:val="21"/>
              </w:rPr>
            </w:pPr>
          </w:p>
        </w:tc>
        <w:tc>
          <w:tcPr>
            <w:tcW w:w="974" w:type="pct"/>
            <w:tcBorders>
              <w:top w:val="outset" w:color="auto" w:sz="6" w:space="0"/>
              <w:left w:val="outset" w:color="auto" w:sz="6" w:space="0"/>
              <w:bottom w:val="outset" w:color="auto" w:sz="6" w:space="0"/>
              <w:right w:val="outset" w:color="auto" w:sz="6" w:space="0"/>
            </w:tcBorders>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技术培训方案评价 (10分)</w:t>
            </w:r>
          </w:p>
        </w:tc>
        <w:tc>
          <w:tcPr>
            <w:tcW w:w="621" w:type="pct"/>
            <w:tcBorders>
              <w:top w:val="outset" w:color="auto" w:sz="6" w:space="0"/>
              <w:left w:val="outset" w:color="auto" w:sz="6" w:space="0"/>
              <w:bottom w:val="outset" w:color="auto" w:sz="6" w:space="0"/>
              <w:right w:val="outset" w:color="auto" w:sz="6" w:space="0"/>
            </w:tcBorders>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10</w:t>
            </w:r>
          </w:p>
        </w:tc>
        <w:tc>
          <w:tcPr>
            <w:tcW w:w="2747" w:type="pct"/>
            <w:tcBorders>
              <w:top w:val="outset" w:color="auto" w:sz="6" w:space="0"/>
              <w:left w:val="outset" w:color="auto" w:sz="6" w:space="0"/>
              <w:bottom w:val="outset" w:color="auto" w:sz="6" w:space="0"/>
              <w:right w:val="outset" w:color="auto" w:sz="6" w:space="0"/>
            </w:tcBorders>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技术培训方案内容详实，考虑全面，详实完整，不漏项，专业性、系统性 强。培训人员资质高且配备人数充足。 完全满足采购需求：10分； 满足 招标文件要求，但内容存在1处瑕疵：6分； 满足招标文件要求，但内容存 在2处瑕疵：3分； 其他：0分。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657" w:type="pct"/>
            <w:vMerge w:val="continue"/>
            <w:tcBorders>
              <w:top w:val="outset" w:color="auto" w:sz="6" w:space="0"/>
              <w:left w:val="outset" w:color="auto" w:sz="6" w:space="0"/>
              <w:right w:val="outset" w:color="auto" w:sz="6" w:space="0"/>
            </w:tcBorders>
            <w:vAlign w:val="center"/>
          </w:tcPr>
          <w:p>
            <w:pPr>
              <w:jc w:val="center"/>
              <w:rPr>
                <w:rFonts w:cs="宋体" w:asciiTheme="minorEastAsia" w:hAnsiTheme="minorEastAsia" w:eastAsiaTheme="minorEastAsia"/>
                <w:szCs w:val="21"/>
              </w:rPr>
            </w:pPr>
          </w:p>
        </w:tc>
        <w:tc>
          <w:tcPr>
            <w:tcW w:w="974" w:type="pct"/>
            <w:tcBorders>
              <w:top w:val="outset" w:color="auto" w:sz="6" w:space="0"/>
              <w:left w:val="outset" w:color="auto" w:sz="6" w:space="0"/>
              <w:bottom w:val="outset" w:color="auto" w:sz="6" w:space="0"/>
              <w:right w:val="outset" w:color="auto" w:sz="6" w:space="0"/>
            </w:tcBorders>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解决方案评价 (10分)</w:t>
            </w:r>
          </w:p>
        </w:tc>
        <w:tc>
          <w:tcPr>
            <w:tcW w:w="621" w:type="pct"/>
            <w:tcBorders>
              <w:top w:val="outset" w:color="auto" w:sz="6" w:space="0"/>
              <w:left w:val="outset" w:color="auto" w:sz="6" w:space="0"/>
              <w:bottom w:val="outset" w:color="auto" w:sz="6" w:space="0"/>
              <w:right w:val="outset" w:color="auto" w:sz="6" w:space="0"/>
            </w:tcBorders>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10</w:t>
            </w:r>
          </w:p>
        </w:tc>
        <w:tc>
          <w:tcPr>
            <w:tcW w:w="2747" w:type="pct"/>
            <w:tcBorders>
              <w:top w:val="outset" w:color="auto" w:sz="6" w:space="0"/>
              <w:left w:val="outset" w:color="auto" w:sz="6" w:space="0"/>
              <w:bottom w:val="outset" w:color="auto" w:sz="6" w:space="0"/>
              <w:right w:val="outset" w:color="auto" w:sz="6" w:space="0"/>
            </w:tcBorders>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供应方需提供详细解决方案，方案应该包括软件功能页截图等。 评委根据供应商情况横向比较： 第一名（10分）：根据招标人的实际要求 ，能够提供最为详细科学可行的解决方案，并能够提供软件功能页截图；方案设计科学并提供详细的配置清单和实施方案。 第二名 （6分）：根据招标人的实际要求，能够提供解决方案，但方案科学性可行性一般；软件功能页截图合理；方案设计一般并且配置清单和实施方案不够详细。 第三名（3分）：根据招标人的实际要求，能够 提供设计方案但设计方案科学性可行性一般；软件功能页截图不合理；方案设计不够科学并且配置清单和实施方案不全。 其他（0分）： 未能提供解决方案及软件功能页截图、配置清单及实施方案。</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657" w:type="pct"/>
            <w:vMerge w:val="continue"/>
            <w:tcBorders>
              <w:left w:val="outset" w:color="auto" w:sz="6" w:space="0"/>
              <w:right w:val="outset" w:color="auto" w:sz="6" w:space="0"/>
            </w:tcBorders>
            <w:vAlign w:val="center"/>
          </w:tcPr>
          <w:p>
            <w:pPr>
              <w:jc w:val="center"/>
              <w:rPr>
                <w:rFonts w:cs="宋体" w:asciiTheme="minorEastAsia" w:hAnsiTheme="minorEastAsia" w:eastAsiaTheme="minorEastAsia"/>
                <w:szCs w:val="21"/>
              </w:rPr>
            </w:pPr>
          </w:p>
        </w:tc>
        <w:tc>
          <w:tcPr>
            <w:tcW w:w="974" w:type="pct"/>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项目技术人员配备</w:t>
            </w:r>
          </w:p>
        </w:tc>
        <w:tc>
          <w:tcPr>
            <w:tcW w:w="621" w:type="pct"/>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5分</w:t>
            </w:r>
          </w:p>
        </w:tc>
        <w:tc>
          <w:tcPr>
            <w:tcW w:w="2747" w:type="pct"/>
            <w:tcBorders>
              <w:top w:val="outset" w:color="auto" w:sz="6" w:space="0"/>
              <w:left w:val="outset" w:color="auto" w:sz="6" w:space="0"/>
              <w:bottom w:val="outset" w:color="auto" w:sz="6" w:space="0"/>
              <w:right w:val="outset" w:color="auto" w:sz="6" w:space="0"/>
            </w:tcBorders>
          </w:tcPr>
          <w:p>
            <w:pPr>
              <w:rPr>
                <w:rFonts w:cs="宋体" w:asciiTheme="minorEastAsia" w:hAnsiTheme="minorEastAsia" w:eastAsiaTheme="minorEastAsia"/>
                <w:szCs w:val="21"/>
              </w:rPr>
            </w:pPr>
            <w:r>
              <w:rPr>
                <w:rFonts w:hint="eastAsia" w:cs="宋体" w:asciiTheme="minorEastAsia" w:hAnsiTheme="minorEastAsia" w:eastAsiaTheme="minorEastAsia"/>
                <w:szCs w:val="21"/>
              </w:rPr>
              <w:t>项目团队人员配备充足，技术能力出众，人员分工合理“项目负责人具备PDMA证书。得2分; 项目团队人服务团队中具备至少 2名项目管理人员，并提供PMP证书。得2分 ；服务团队中软件实施人员需获得并提供信息系统项目管理师。得1分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657" w:type="pct"/>
            <w:vMerge w:val="continue"/>
            <w:tcBorders>
              <w:left w:val="outset" w:color="auto" w:sz="6" w:space="0"/>
              <w:bottom w:val="single" w:color="auto" w:sz="4" w:space="0"/>
              <w:right w:val="outset" w:color="auto" w:sz="6" w:space="0"/>
            </w:tcBorders>
            <w:vAlign w:val="center"/>
          </w:tcPr>
          <w:p>
            <w:pPr>
              <w:jc w:val="center"/>
              <w:rPr>
                <w:rFonts w:cs="宋体" w:asciiTheme="minorEastAsia" w:hAnsiTheme="minorEastAsia" w:eastAsiaTheme="minorEastAsia"/>
                <w:szCs w:val="21"/>
              </w:rPr>
            </w:pPr>
          </w:p>
        </w:tc>
        <w:tc>
          <w:tcPr>
            <w:tcW w:w="974" w:type="pct"/>
            <w:tcBorders>
              <w:top w:val="outset" w:color="auto" w:sz="6" w:space="0"/>
              <w:left w:val="outset" w:color="auto" w:sz="6" w:space="0"/>
              <w:bottom w:val="single" w:color="auto" w:sz="4" w:space="0"/>
              <w:right w:val="outset" w:color="auto" w:sz="6" w:space="0"/>
            </w:tcBorders>
            <w:vAlign w:val="center"/>
          </w:tcPr>
          <w:p>
            <w:pPr>
              <w:autoSpaceDE w:val="0"/>
              <w:autoSpaceDN w:val="0"/>
              <w:adjustRightIn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售后服务措施</w:t>
            </w:r>
          </w:p>
        </w:tc>
        <w:tc>
          <w:tcPr>
            <w:tcW w:w="621" w:type="pct"/>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10分</w:t>
            </w:r>
          </w:p>
        </w:tc>
        <w:tc>
          <w:tcPr>
            <w:tcW w:w="2747" w:type="pct"/>
            <w:tcBorders>
              <w:top w:val="outset" w:color="auto" w:sz="6" w:space="0"/>
              <w:left w:val="outset" w:color="auto" w:sz="6" w:space="0"/>
              <w:bottom w:val="outset" w:color="auto" w:sz="6" w:space="0"/>
              <w:right w:val="outset" w:color="auto" w:sz="6" w:space="0"/>
            </w:tcBorders>
          </w:tcPr>
          <w:p>
            <w:pPr>
              <w:rPr>
                <w:rFonts w:cs="宋体" w:asciiTheme="minorEastAsia" w:hAnsiTheme="minorEastAsia" w:eastAsiaTheme="minorEastAsia"/>
                <w:szCs w:val="21"/>
              </w:rPr>
            </w:pPr>
            <w:r>
              <w:rPr>
                <w:rFonts w:hint="eastAsia" w:cs="宋体" w:asciiTheme="minorEastAsia" w:hAnsiTheme="minorEastAsia" w:eastAsiaTheme="minorEastAsia"/>
                <w:szCs w:val="21"/>
              </w:rPr>
              <w:t>具备完备的售后服务体系，提供售后服务方案包含有：售后服务期限、服务方式、响应时间等。根据方案内容进行评分，方案全面合理，内容具体、适用性强，可全面满足采购人的售后服务需求得10分；售后服务方案较为全面，有基本的服务流程和内容，基本满足采购人的要求得5分；售后服务方案适用性差、不能完全满足采购人的需求或未提供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657" w:type="pct"/>
            <w:tcBorders>
              <w:top w:val="single" w:color="auto" w:sz="4" w:space="0"/>
              <w:left w:val="single" w:color="auto" w:sz="4" w:space="0"/>
              <w:right w:val="single" w:color="auto" w:sz="4" w:space="0"/>
            </w:tcBorders>
            <w:vAlign w:val="center"/>
          </w:tcPr>
          <w:p>
            <w:pPr>
              <w:jc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诚信因素（5分）</w:t>
            </w:r>
          </w:p>
        </w:tc>
        <w:tc>
          <w:tcPr>
            <w:tcW w:w="97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信用记录</w:t>
            </w:r>
          </w:p>
        </w:tc>
        <w:tc>
          <w:tcPr>
            <w:tcW w:w="621" w:type="pct"/>
            <w:tcBorders>
              <w:top w:val="outset" w:color="auto" w:sz="6" w:space="0"/>
              <w:left w:val="single" w:color="auto" w:sz="4" w:space="0"/>
              <w:right w:val="outset" w:color="auto" w:sz="6" w:space="0"/>
            </w:tcBorders>
            <w:vAlign w:val="center"/>
          </w:tcPr>
          <w:p>
            <w:pPr>
              <w:autoSpaceDE w:val="0"/>
              <w:autoSpaceDN w:val="0"/>
              <w:adjustRightInd w:val="0"/>
              <w:jc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5分</w:t>
            </w:r>
          </w:p>
        </w:tc>
        <w:tc>
          <w:tcPr>
            <w:tcW w:w="2747" w:type="pct"/>
            <w:tcBorders>
              <w:top w:val="outset" w:color="auto" w:sz="6" w:space="0"/>
              <w:left w:val="outset" w:color="auto" w:sz="6" w:space="0"/>
              <w:right w:val="outset" w:color="auto" w:sz="6" w:space="0"/>
            </w:tcBorders>
          </w:tcPr>
          <w:p>
            <w:pPr>
              <w:rPr>
                <w:rFonts w:hint="eastAsia"/>
                <w:highlight w:val="none"/>
                <w:lang w:val="en-US" w:eastAsia="zh-CN"/>
              </w:rPr>
            </w:pPr>
            <w:r>
              <w:rPr>
                <w:rFonts w:hint="eastAsia"/>
                <w:highlight w:val="none"/>
                <w:lang w:val="en-US" w:eastAsia="zh-CN"/>
              </w:rPr>
              <w:t>提供投标人近一年内纳税信用级别证明A级（3分）</w:t>
            </w:r>
          </w:p>
          <w:p>
            <w:pPr>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lang w:val="en-US" w:eastAsia="zh-CN"/>
              </w:rPr>
              <w:t>提供</w:t>
            </w:r>
            <w:r>
              <w:rPr>
                <w:rFonts w:hint="eastAsia" w:ascii="宋体" w:hAnsi="宋体" w:eastAsia="宋体" w:cs="宋体"/>
                <w:color w:val="000000"/>
                <w:kern w:val="0"/>
                <w:sz w:val="19"/>
                <w:szCs w:val="19"/>
                <w:highlight w:val="none"/>
                <w:lang w:val="en-US" w:eastAsia="zh-CN" w:bidi="ar"/>
              </w:rPr>
              <w:t>投标人未被列入失信被执行人、税收违法黑名单、政府采购严重违法失信行为记录名单</w:t>
            </w:r>
            <w:r>
              <w:rPr>
                <w:rFonts w:hint="eastAsia" w:ascii="宋体" w:hAnsi="宋体" w:cs="宋体"/>
                <w:color w:val="000000"/>
                <w:kern w:val="0"/>
                <w:sz w:val="19"/>
                <w:szCs w:val="19"/>
                <w:highlight w:val="none"/>
                <w:lang w:val="en-US" w:eastAsia="zh-CN" w:bidi="ar"/>
              </w:rPr>
              <w:t>的</w:t>
            </w:r>
            <w:r>
              <w:rPr>
                <w:rFonts w:hint="eastAsia" w:cs="宋体" w:asciiTheme="minorEastAsia" w:hAnsiTheme="minorEastAsia" w:eastAsiaTheme="minorEastAsia"/>
                <w:szCs w:val="21"/>
                <w:highlight w:val="none"/>
                <w:lang w:val="en-US" w:eastAsia="zh-CN"/>
              </w:rPr>
              <w:t>信用信息公示报告（2分）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657" w:type="pct"/>
            <w:vMerge w:val="restart"/>
            <w:tcBorders>
              <w:top w:val="single" w:color="auto" w:sz="4" w:space="0"/>
              <w:left w:val="single" w:color="auto" w:sz="4" w:space="0"/>
              <w:right w:val="single" w:color="auto" w:sz="4" w:space="0"/>
            </w:tcBorders>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商务因素</w:t>
            </w:r>
          </w:p>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hint="eastAsia" w:cs="宋体" w:asciiTheme="minorEastAsia" w:hAnsiTheme="minorEastAsia" w:eastAsiaTheme="minorEastAsia"/>
                <w:szCs w:val="21"/>
                <w:lang w:val="en-US" w:eastAsia="zh-CN"/>
              </w:rPr>
              <w:t>0</w:t>
            </w:r>
            <w:r>
              <w:rPr>
                <w:rFonts w:hint="eastAsia" w:cs="宋体" w:asciiTheme="minorEastAsia" w:hAnsiTheme="minorEastAsia" w:eastAsiaTheme="minorEastAsia"/>
                <w:szCs w:val="21"/>
              </w:rPr>
              <w:t>分)</w:t>
            </w:r>
          </w:p>
        </w:tc>
        <w:tc>
          <w:tcPr>
            <w:tcW w:w="97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资质证明</w:t>
            </w:r>
          </w:p>
        </w:tc>
        <w:tc>
          <w:tcPr>
            <w:tcW w:w="621" w:type="pct"/>
            <w:tcBorders>
              <w:top w:val="outset" w:color="auto" w:sz="6" w:space="0"/>
              <w:left w:val="single" w:color="auto" w:sz="4" w:space="0"/>
              <w:right w:val="outset" w:color="auto" w:sz="6" w:space="0"/>
            </w:tcBorders>
            <w:vAlign w:val="center"/>
          </w:tcPr>
          <w:p>
            <w:pPr>
              <w:autoSpaceDE w:val="0"/>
              <w:autoSpaceDN w:val="0"/>
              <w:adjustRightInd w:val="0"/>
              <w:jc w:val="center"/>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分</w:t>
            </w:r>
          </w:p>
        </w:tc>
        <w:tc>
          <w:tcPr>
            <w:tcW w:w="2747" w:type="pct"/>
            <w:tcBorders>
              <w:top w:val="outset" w:color="auto" w:sz="6" w:space="0"/>
              <w:left w:val="outset" w:color="auto" w:sz="6" w:space="0"/>
              <w:right w:val="outset" w:color="auto" w:sz="6" w:space="0"/>
            </w:tcBorders>
          </w:tcPr>
          <w:p>
            <w:pPr>
              <w:rPr>
                <w:rFonts w:cs="宋体" w:asciiTheme="minorEastAsia" w:hAnsiTheme="minorEastAsia" w:eastAsiaTheme="minorEastAsia"/>
                <w:szCs w:val="21"/>
              </w:rPr>
            </w:pPr>
            <w:r>
              <w:rPr>
                <w:rFonts w:hint="eastAsia" w:cs="宋体" w:asciiTheme="minorEastAsia" w:hAnsiTheme="minorEastAsia" w:eastAsiaTheme="minorEastAsia"/>
                <w:szCs w:val="21"/>
              </w:rPr>
              <w:t>投标产品必须依法取得软件著作权登记证书。（</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分）</w:t>
            </w:r>
          </w:p>
          <w:p>
            <w:pPr>
              <w:rPr>
                <w:rFonts w:cs="宋体" w:asciiTheme="minorEastAsia" w:hAnsiTheme="minorEastAsia" w:eastAsiaTheme="minorEastAsia"/>
                <w:szCs w:val="21"/>
              </w:rPr>
            </w:pPr>
            <w:r>
              <w:rPr>
                <w:rFonts w:hint="eastAsia" w:cs="宋体" w:asciiTheme="minorEastAsia" w:hAnsiTheme="minorEastAsia" w:eastAsiaTheme="minorEastAsia"/>
                <w:szCs w:val="21"/>
              </w:rPr>
              <w:t>所投产品生产厂商具备ISO9001质量管理体系认证证书、ISO14001环境管理体系认证证书及获得ISO13485 医疗器械质量管理体系认证证书。（全部提供得</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分，缺少任意一项或不提供不得分）</w:t>
            </w:r>
          </w:p>
          <w:p>
            <w:pPr>
              <w:rPr>
                <w:rFonts w:cs="宋体" w:asciiTheme="minorEastAsia" w:hAnsiTheme="minorEastAsia" w:eastAsiaTheme="minorEastAsia"/>
                <w:szCs w:val="21"/>
              </w:rPr>
            </w:pPr>
            <w:r>
              <w:rPr>
                <w:rFonts w:hint="eastAsia" w:cs="宋体" w:asciiTheme="minorEastAsia" w:hAnsiTheme="minorEastAsia" w:eastAsiaTheme="minorEastAsia"/>
                <w:szCs w:val="21"/>
              </w:rPr>
              <w:t>所投产品生产厂商具有GB/T29490-2013知识产权管理体系认证证书。（</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分）</w:t>
            </w:r>
          </w:p>
          <w:p>
            <w:pPr>
              <w:rPr>
                <w:rFonts w:cs="宋体" w:asciiTheme="minorEastAsia" w:hAnsiTheme="minorEastAsia" w:eastAsiaTheme="minorEastAsia"/>
                <w:szCs w:val="21"/>
              </w:rPr>
            </w:pPr>
            <w:r>
              <w:rPr>
                <w:rFonts w:hint="eastAsia" w:cs="宋体" w:asciiTheme="minorEastAsia" w:hAnsiTheme="minorEastAsia" w:eastAsiaTheme="minorEastAsia"/>
                <w:szCs w:val="21"/>
              </w:rPr>
              <w:t>所投产品生产厂商专精特新中小企业认证。（</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657" w:type="pct"/>
            <w:vMerge w:val="continue"/>
            <w:tcBorders>
              <w:left w:val="single" w:color="auto" w:sz="4" w:space="0"/>
              <w:right w:val="single" w:color="auto" w:sz="4" w:space="0"/>
            </w:tcBorders>
            <w:vAlign w:val="center"/>
          </w:tcPr>
          <w:p>
            <w:pPr>
              <w:jc w:val="center"/>
              <w:rPr>
                <w:rFonts w:cs="宋体" w:asciiTheme="minorEastAsia" w:hAnsiTheme="minorEastAsia" w:eastAsiaTheme="minorEastAsia"/>
                <w:szCs w:val="21"/>
              </w:rPr>
            </w:pPr>
          </w:p>
        </w:tc>
        <w:tc>
          <w:tcPr>
            <w:tcW w:w="97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业绩证明</w:t>
            </w:r>
          </w:p>
        </w:tc>
        <w:tc>
          <w:tcPr>
            <w:tcW w:w="621" w:type="pct"/>
            <w:tcBorders>
              <w:top w:val="outset" w:color="auto" w:sz="6" w:space="0"/>
              <w:left w:val="single" w:color="auto" w:sz="4" w:space="0"/>
              <w:bottom w:val="outset" w:color="auto" w:sz="6" w:space="0"/>
              <w:right w:val="outset" w:color="auto" w:sz="6" w:space="0"/>
            </w:tcBorders>
            <w:vAlign w:val="center"/>
          </w:tcPr>
          <w:p>
            <w:pPr>
              <w:autoSpaceDE w:val="0"/>
              <w:autoSpaceDN w:val="0"/>
              <w:adjustRightIn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6分</w:t>
            </w:r>
          </w:p>
        </w:tc>
        <w:tc>
          <w:tcPr>
            <w:tcW w:w="2747" w:type="pct"/>
            <w:tcBorders>
              <w:top w:val="outset" w:color="auto" w:sz="6" w:space="0"/>
              <w:left w:val="outset" w:color="auto" w:sz="6" w:space="0"/>
              <w:bottom w:val="outset" w:color="auto" w:sz="6" w:space="0"/>
              <w:right w:val="outset" w:color="auto" w:sz="6" w:space="0"/>
            </w:tcBorders>
          </w:tcPr>
          <w:p>
            <w:pPr>
              <w:rPr>
                <w:rFonts w:cs="宋体" w:asciiTheme="minorEastAsia" w:hAnsiTheme="minorEastAsia" w:eastAsiaTheme="minorEastAsia"/>
                <w:szCs w:val="21"/>
              </w:rPr>
            </w:pPr>
            <w:r>
              <w:rPr>
                <w:rFonts w:hint="eastAsia" w:cs="宋体" w:asciiTheme="minorEastAsia" w:hAnsiTheme="minorEastAsia" w:eastAsiaTheme="minorEastAsia"/>
                <w:szCs w:val="21"/>
              </w:rPr>
              <w:t>提供投标人或投标产品生产厂商近三年三甲医院的类似项目建设案例，需提供证明材料，提供一个得2分，此项最多得6分。</w:t>
            </w:r>
          </w:p>
          <w:p>
            <w:pPr>
              <w:rPr>
                <w:rFonts w:cs="宋体" w:asciiTheme="minorEastAsia" w:hAnsiTheme="minorEastAsia" w:eastAsiaTheme="minorEastAsia"/>
                <w:szCs w:val="21"/>
              </w:rPr>
            </w:pPr>
            <w:r>
              <w:rPr>
                <w:rFonts w:hint="eastAsia" w:cs="宋体" w:asciiTheme="minorEastAsia" w:hAnsiTheme="minorEastAsia" w:eastAsiaTheme="minorEastAsia"/>
                <w:szCs w:val="21"/>
              </w:rPr>
              <w:t>评审依据：提供合同关键页或验收单复印件作为证明材料，并加盖投标人公章。</w:t>
            </w:r>
          </w:p>
        </w:tc>
      </w:tr>
    </w:tbl>
    <w:p>
      <w:pPr>
        <w:rPr>
          <w:rFonts w:ascii="Arial" w:hAnsi="Arial" w:eastAsia="仿宋_GB2312" w:cs="Arial"/>
          <w:sz w:val="28"/>
          <w:szCs w:val="28"/>
        </w:rPr>
      </w:pPr>
      <w:r>
        <w:rPr>
          <w:rFonts w:hint="eastAsia" w:ascii="仿宋_GB2312" w:hAnsi="华文中宋" w:eastAsia="仿宋_GB2312"/>
          <w:b/>
          <w:sz w:val="28"/>
          <w:szCs w:val="28"/>
        </w:rPr>
        <w:t>注：投标文件中未提供评分标准中涉及的证书证明等资料复印件（加盖投标人公章）的，相应条款不得分。</w:t>
      </w:r>
    </w:p>
    <w:p>
      <w:pPr>
        <w:jc w:val="left"/>
        <w:rPr>
          <w:rFonts w:ascii="宋体" w:hAnsi="宋体"/>
          <w:szCs w:val="21"/>
        </w:rPr>
      </w:pPr>
      <w:r>
        <w:br w:type="page"/>
      </w:r>
    </w:p>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
        <w:gridCol w:w="8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rPr>
            </w:pPr>
            <w:r>
              <w:rPr>
                <w:rFonts w:hint="eastAsia" w:asciiTheme="majorEastAsia" w:hAnsiTheme="majorEastAsia" w:eastAsiaTheme="majorEastAsia"/>
                <w:szCs w:val="21"/>
              </w:rPr>
              <w:t>项目名称</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rPr>
            </w:pPr>
            <w:r>
              <w:rPr>
                <w:rFonts w:hint="eastAsia" w:asciiTheme="majorEastAsia" w:hAnsiTheme="majorEastAsia" w:eastAsiaTheme="majorEastAsia"/>
                <w:szCs w:val="21"/>
              </w:rPr>
              <w:t>医学影像教研协同系统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rPr>
            </w:pPr>
            <w:commentRangeStart w:id="0"/>
            <w:r>
              <w:rPr>
                <w:rFonts w:hint="eastAsia" w:asciiTheme="majorEastAsia" w:hAnsiTheme="majorEastAsia" w:eastAsiaTheme="majorEastAsia"/>
                <w:szCs w:val="21"/>
              </w:rPr>
              <w:t>项目预算</w:t>
            </w:r>
            <w:commentRangeEnd w:id="0"/>
            <w:r>
              <w:rPr>
                <w:rStyle w:val="23"/>
                <w:rFonts w:asciiTheme="majorEastAsia" w:hAnsiTheme="majorEastAsia" w:eastAsiaTheme="majorEastAsia"/>
              </w:rPr>
              <w:commentReference w:id="0"/>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rPr>
            </w:pPr>
            <w:r>
              <w:rPr>
                <w:rFonts w:hint="eastAsia" w:asciiTheme="majorEastAsia" w:hAnsiTheme="majorEastAsia" w:eastAsiaTheme="majorEastAsia"/>
                <w:szCs w:val="21"/>
              </w:rPr>
              <w:t>2</w:t>
            </w:r>
            <w:r>
              <w:rPr>
                <w:rFonts w:asciiTheme="majorEastAsia" w:hAnsiTheme="majorEastAsia" w:eastAsiaTheme="majorEastAsia"/>
                <w:szCs w:val="21"/>
              </w:rPr>
              <w:t>98000</w:t>
            </w:r>
            <w:r>
              <w:rPr>
                <w:rFonts w:hint="eastAsia" w:asciiTheme="majorEastAsia" w:hAnsiTheme="majorEastAsia" w:eastAsiaTheme="majorEastAsia"/>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kern w:val="0"/>
                <w:szCs w:val="21"/>
              </w:rPr>
            </w:pPr>
            <w:r>
              <w:rPr>
                <w:rFonts w:hint="eastAsia" w:asciiTheme="majorEastAsia" w:hAnsiTheme="majorEastAsia" w:eastAsiaTheme="majorEastAsia"/>
                <w:kern w:val="0"/>
                <w:szCs w:val="21"/>
              </w:rPr>
              <w:t>项目背景</w:t>
            </w:r>
          </w:p>
        </w:tc>
        <w:tc>
          <w:tcPr>
            <w:tcW w:w="0" w:type="auto"/>
            <w:tcBorders>
              <w:top w:val="single" w:color="auto" w:sz="4" w:space="0"/>
              <w:left w:val="single" w:color="auto" w:sz="4" w:space="0"/>
              <w:bottom w:val="single" w:color="auto" w:sz="4" w:space="0"/>
              <w:right w:val="single" w:color="auto" w:sz="4" w:space="0"/>
            </w:tcBorders>
            <w:vAlign w:val="center"/>
          </w:tcPr>
          <w:p>
            <w:pPr>
              <w:spacing w:before="120" w:beforeLines="50" w:after="240" w:afterLines="100" w:line="360" w:lineRule="auto"/>
              <w:ind w:firstLine="420" w:firstLineChars="200"/>
              <w:contextualSpacing/>
              <w:rPr>
                <w:rFonts w:cs="宋体" w:asciiTheme="minorEastAsia" w:hAnsiTheme="minorEastAsia" w:eastAsiaTheme="minorEastAsia"/>
                <w:szCs w:val="21"/>
              </w:rPr>
            </w:pPr>
            <w:r>
              <w:rPr>
                <w:rFonts w:hint="eastAsia" w:cs="宋体" w:asciiTheme="minorEastAsia" w:hAnsiTheme="minorEastAsia" w:eastAsiaTheme="minorEastAsia"/>
                <w:szCs w:val="21"/>
              </w:rPr>
              <w:t>自2009年国家发布“新医改”意见以及随后的一系列政策以来，国内各级医疗机构都开展了院内信息化系统的建设，各主要医疗流程已经实现了较为充分的信息化。但随着信息化系统的不断深入应用，医院管理者、临床医护人员逐渐发现：首先，患者在医院就诊期间产生的各种业务数据大量积累，由于数据分散在医院各系统，造成了诊疗数据的复杂性和多样性，难以实现符合医疗要求和诊断习惯的统一、智能展现；其次，在医院的日常工作中部分业务场景没有专业的信息化系统支撑，利用现有的信息化系统对应这些业务场景要么效率低下，要么流程管理不够完善，给相关人员的管理工作、业务开展带来了诸多不便。例如，科内病例讨论业务过程中，如果采用现在信息化系统应对，则需要分别打开数个不同的信息系统加以汇总整理，操作麻烦，且讨论过程无法详细记录甚至无处记录，这显然是不符合相关管理要求的；如果采用传统流程，手写申请单的输送、参与的医师无法及时阅读患者的病史病历及辅助检查结果相关资料等问题，参与讨论的医生无法快速了解患者病情，效率低下。</w:t>
            </w:r>
          </w:p>
          <w:p>
            <w:pPr>
              <w:spacing w:before="120" w:beforeLines="50" w:after="240" w:afterLines="100" w:line="360" w:lineRule="auto"/>
              <w:ind w:firstLine="420" w:firstLineChars="200"/>
              <w:contextualSpacing/>
              <w:rPr>
                <w:rFonts w:cs="宋体" w:asciiTheme="minorEastAsia" w:hAnsiTheme="minorEastAsia" w:eastAsiaTheme="minorEastAsia"/>
                <w:szCs w:val="21"/>
              </w:rPr>
            </w:pPr>
            <w:r>
              <w:rPr>
                <w:rFonts w:hint="eastAsia" w:cs="宋体" w:asciiTheme="minorEastAsia" w:hAnsiTheme="minorEastAsia" w:eastAsiaTheme="minorEastAsia"/>
                <w:szCs w:val="21"/>
              </w:rPr>
              <w:t>因此，无论从实际业务需要出发还是从国家相关管理制度要求出发，医生需要有一套即能够记录、管理相关业务完整流程又能够按医生的诊断习惯和思维方式快速的、有效的、科学的展现患者全流程诊疗信息和重点诊疗信息的系统，以提高相关医疗活动的效率，有效降低医疗事故发生的风险，提高整体医疗服务质量和患者满意度。</w:t>
            </w:r>
          </w:p>
          <w:p>
            <w:pPr>
              <w:adjustRightInd w:val="0"/>
              <w:snapToGrid w:val="0"/>
              <w:spacing w:line="360" w:lineRule="auto"/>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医学影像教研是医学院校教研任务中重要的组成部分。近年来，随着影像技术的高速发展，医学影像的范畴也逐渐增加，原有的教学科研设施和方法已无法满足实际所需。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kern w:val="0"/>
                <w:szCs w:val="21"/>
              </w:rPr>
            </w:pPr>
            <w:r>
              <w:rPr>
                <w:rFonts w:hint="eastAsia" w:asciiTheme="majorEastAsia" w:hAnsiTheme="majorEastAsia" w:eastAsiaTheme="majorEastAsia"/>
                <w:kern w:val="0"/>
                <w:szCs w:val="21"/>
              </w:rPr>
              <w:t>服务内容</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《医学影像教研协同系统》遵从DICOM3.0标准，提供DICOM Service Class Provider,PACS系统或设备可通过DICOM协议将影像发送至医学影像科教研系统，由医学影像科教研系统对病例进行分类、归档管理，为科室晨读、病例讨论、科研、教学、随访提供数据支撑。</w:t>
            </w:r>
          </w:p>
          <w:p>
            <w:pPr>
              <w:adjustRightInd w:val="0"/>
              <w:snapToGrid w:val="0"/>
              <w:spacing w:line="360" w:lineRule="auto"/>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建设医学影像教研协同系统，归档影像科优质病例，按学科、按病种分类、归档，通过影像病例的不断积累，为影像科科研及教学提供病例支持。晨读/病例讨论业务模块，将典型的、非典型病例的讨论过程运用信息化手段进行记录，既规范了科室流程，同时也可以积累大量的讨论过程，可用于后期教学。</w:t>
            </w:r>
          </w:p>
          <w:p>
            <w:pPr>
              <w:adjustRightInd w:val="0"/>
              <w:snapToGrid w:val="0"/>
              <w:spacing w:line="360" w:lineRule="auto"/>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医学影像教研协同系统面向影像科的全流程管理，科学、系统的解决了医学影像科教研协同系统的各种问题，可以有效的降低参与者的工作强度，提升教师的科研水平和学生的诊断能力。医学影像教研协同系统着眼于提升医学影像医生整体诊断水平、优化科室日常工作流程、规范医学影像科室的教/科/研工作的管理，为医学影像医生提供了一个更加智能、更加人性化的晨读、病例讨论、规培及进修培训/考试综合性工具，以科技的手段优化医学影像科室的日常教/科/研工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bCs/>
                <w:szCs w:val="21"/>
              </w:rPr>
            </w:pPr>
            <w:r>
              <w:rPr>
                <w:rFonts w:hint="eastAsia" w:asciiTheme="majorEastAsia" w:hAnsiTheme="majorEastAsia" w:eastAsiaTheme="majorEastAsia"/>
                <w:kern w:val="0"/>
                <w:szCs w:val="21"/>
              </w:rPr>
              <w:t>商务需求</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left"/>
              <w:rPr>
                <w:rFonts w:asciiTheme="minorEastAsia" w:hAnsiTheme="minorEastAsia" w:eastAsiaTheme="minorEastAsia"/>
                <w:bCs/>
                <w:szCs w:val="21"/>
              </w:rPr>
            </w:pPr>
            <w:r>
              <w:rPr>
                <w:rFonts w:hint="eastAsia" w:asciiTheme="minorEastAsia" w:hAnsiTheme="minorEastAsia" w:eastAsiaTheme="minorEastAsia"/>
                <w:bCs/>
                <w:szCs w:val="21"/>
              </w:rPr>
              <w:t>一、服务要求</w:t>
            </w:r>
          </w:p>
          <w:p>
            <w:pPr>
              <w:snapToGrid w:val="0"/>
              <w:jc w:val="left"/>
              <w:rPr>
                <w:rFonts w:asciiTheme="minorEastAsia" w:hAnsiTheme="minorEastAsia" w:eastAsiaTheme="minorEastAsia"/>
                <w:bCs/>
                <w:szCs w:val="21"/>
              </w:rPr>
            </w:pPr>
            <w:r>
              <w:rPr>
                <w:rFonts w:hint="eastAsia" w:asciiTheme="minorEastAsia" w:hAnsiTheme="minorEastAsia" w:eastAsiaTheme="minorEastAsia"/>
                <w:bCs/>
                <w:szCs w:val="21"/>
              </w:rPr>
              <w:t>1. 在中华人民共和国境内注册，具有独立法人资格；</w:t>
            </w:r>
          </w:p>
          <w:p>
            <w:pPr>
              <w:snapToGrid w:val="0"/>
              <w:jc w:val="left"/>
              <w:rPr>
                <w:rFonts w:asciiTheme="minorEastAsia" w:hAnsiTheme="minorEastAsia" w:eastAsiaTheme="minorEastAsia"/>
                <w:bCs/>
                <w:szCs w:val="21"/>
              </w:rPr>
            </w:pPr>
            <w:r>
              <w:rPr>
                <w:rFonts w:hint="eastAsia" w:asciiTheme="minorEastAsia" w:hAnsiTheme="minorEastAsia" w:eastAsiaTheme="minorEastAsia"/>
                <w:bCs/>
                <w:szCs w:val="21"/>
              </w:rPr>
              <w:t>2. 意向服务商须承诺近三年无重大行政处罚；</w:t>
            </w:r>
          </w:p>
          <w:p>
            <w:pPr>
              <w:snapToGrid w:val="0"/>
              <w:jc w:val="left"/>
              <w:rPr>
                <w:rFonts w:asciiTheme="minorEastAsia" w:hAnsiTheme="minorEastAsia" w:eastAsiaTheme="minorEastAsia"/>
                <w:bCs/>
                <w:szCs w:val="21"/>
              </w:rPr>
            </w:pPr>
            <w:r>
              <w:rPr>
                <w:rFonts w:hint="eastAsia" w:asciiTheme="minorEastAsia" w:hAnsiTheme="minorEastAsia" w:eastAsiaTheme="minorEastAsia"/>
                <w:bCs/>
                <w:szCs w:val="21"/>
              </w:rPr>
              <w:t>3. 不接受联合体参与本采购项目；</w:t>
            </w:r>
          </w:p>
          <w:p>
            <w:pPr>
              <w:snapToGrid w:val="0"/>
              <w:jc w:val="left"/>
              <w:rPr>
                <w:rFonts w:asciiTheme="minorEastAsia" w:hAnsiTheme="minorEastAsia" w:eastAsiaTheme="minorEastAsia"/>
                <w:bCs/>
                <w:szCs w:val="21"/>
              </w:rPr>
            </w:pPr>
            <w:r>
              <w:rPr>
                <w:rFonts w:hint="eastAsia" w:asciiTheme="minorEastAsia" w:hAnsiTheme="minorEastAsia" w:eastAsiaTheme="minorEastAsia"/>
                <w:bCs/>
                <w:szCs w:val="21"/>
              </w:rPr>
              <w:t>4. 具有合同履行能力。</w:t>
            </w:r>
          </w:p>
          <w:p>
            <w:pPr>
              <w:snapToGrid w:val="0"/>
              <w:jc w:val="left"/>
              <w:rPr>
                <w:rFonts w:asciiTheme="minorEastAsia" w:hAnsiTheme="minorEastAsia" w:eastAsiaTheme="minorEastAsia"/>
                <w:bCs/>
                <w:szCs w:val="21"/>
              </w:rPr>
            </w:pPr>
            <w:r>
              <w:rPr>
                <w:rFonts w:hint="eastAsia" w:asciiTheme="minorEastAsia" w:hAnsiTheme="minorEastAsia" w:eastAsiaTheme="minorEastAsia"/>
                <w:bCs/>
                <w:szCs w:val="21"/>
              </w:rPr>
              <w:t>二、付款方式</w:t>
            </w:r>
          </w:p>
          <w:p>
            <w:pPr>
              <w:snapToGrid w:val="0"/>
              <w:jc w:val="left"/>
              <w:rPr>
                <w:rFonts w:asciiTheme="minorEastAsia" w:hAnsiTheme="minorEastAsia" w:eastAsiaTheme="minorEastAsia"/>
              </w:rPr>
            </w:pPr>
            <w:r>
              <w:rPr>
                <w:rFonts w:hint="eastAsia" w:asciiTheme="minorEastAsia" w:hAnsiTheme="minorEastAsia" w:eastAsiaTheme="minorEastAsia"/>
                <w:bCs/>
                <w:szCs w:val="21"/>
              </w:rPr>
              <w:t>1．履</w:t>
            </w:r>
            <w:r>
              <w:rPr>
                <w:rFonts w:asciiTheme="minorEastAsia" w:hAnsiTheme="minorEastAsia" w:eastAsiaTheme="minorEastAsia"/>
              </w:rPr>
              <w:t>约保证金</w:t>
            </w:r>
            <w:r>
              <w:rPr>
                <w:rFonts w:hint="eastAsia" w:asciiTheme="minorEastAsia" w:hAnsiTheme="minorEastAsia" w:eastAsiaTheme="minorEastAsia"/>
                <w:bCs/>
                <w:szCs w:val="21"/>
              </w:rPr>
              <w:t>收</w:t>
            </w:r>
            <w:r>
              <w:rPr>
                <w:rFonts w:asciiTheme="minorEastAsia" w:hAnsiTheme="minorEastAsia" w:eastAsiaTheme="minorEastAsia"/>
              </w:rPr>
              <w:t>取比例：5%,说明：中标企业在中标后先向采购人支付中标金额的</w:t>
            </w:r>
            <w:r>
              <w:rPr>
                <w:rFonts w:hint="eastAsia" w:asciiTheme="minorEastAsia" w:hAnsiTheme="minorEastAsia" w:eastAsiaTheme="minorEastAsia"/>
              </w:rPr>
              <w:t>5</w:t>
            </w:r>
            <w:r>
              <w:rPr>
                <w:rFonts w:asciiTheme="minorEastAsia" w:hAnsiTheme="minorEastAsia" w:eastAsiaTheme="minorEastAsia"/>
              </w:rPr>
              <w:t>%作为履约保证金，履约保证金在质保期结束后付清。履约保证金的收取方式及退还时间及不予退还情况均在合同中约定。</w:t>
            </w:r>
          </w:p>
          <w:p>
            <w:pPr>
              <w:snapToGrid w:val="0"/>
              <w:jc w:val="left"/>
              <w:rPr>
                <w:rFonts w:asciiTheme="minorEastAsia" w:hAnsiTheme="minorEastAsia" w:eastAsiaTheme="minorEastAsia"/>
              </w:rPr>
            </w:pPr>
            <w:r>
              <w:rPr>
                <w:rFonts w:hint="eastAsia" w:asciiTheme="minorEastAsia" w:hAnsiTheme="minorEastAsia" w:eastAsiaTheme="minorEastAsia"/>
                <w:bCs/>
                <w:szCs w:val="21"/>
              </w:rPr>
              <w:t>2.付款方式：</w:t>
            </w:r>
            <w:r>
              <w:rPr>
                <w:rFonts w:asciiTheme="minorEastAsia" w:hAnsiTheme="minorEastAsia" w:eastAsiaTheme="minorEastAsia"/>
              </w:rPr>
              <w:t xml:space="preserve">  1期：支付比例30%，合同签订后支付合同金额的30% </w:t>
            </w:r>
          </w:p>
          <w:p>
            <w:pPr>
              <w:snapToGrid w:val="0"/>
              <w:ind w:firstLine="1470" w:firstLineChars="700"/>
              <w:jc w:val="left"/>
              <w:rPr>
                <w:rFonts w:asciiTheme="minorEastAsia" w:hAnsiTheme="minorEastAsia" w:eastAsiaTheme="minorEastAsia"/>
                <w:bCs/>
                <w:szCs w:val="21"/>
              </w:rPr>
            </w:pPr>
            <w:r>
              <w:rPr>
                <w:rFonts w:asciiTheme="minorEastAsia" w:hAnsiTheme="minorEastAsia" w:eastAsiaTheme="minorEastAsia"/>
              </w:rPr>
              <w:t>2期：支付比例70%，验收合格后支付合同金额的70%</w:t>
            </w:r>
            <w:r>
              <w:rPr>
                <w:rFonts w:asciiTheme="minorEastAsia" w:hAnsiTheme="minorEastAsia" w:eastAsiaTheme="minorEastAsia"/>
                <w:bCs/>
                <w:szCs w:val="21"/>
              </w:rPr>
              <w:t xml:space="preserve"> </w:t>
            </w:r>
          </w:p>
          <w:p>
            <w:pPr>
              <w:snapToGrid w:val="0"/>
              <w:jc w:val="left"/>
              <w:rPr>
                <w:rFonts w:asciiTheme="minorEastAsia" w:hAnsiTheme="minorEastAsia" w:eastAsiaTheme="minorEastAsia"/>
                <w:bCs/>
                <w:szCs w:val="21"/>
              </w:rPr>
            </w:pPr>
            <w:r>
              <w:rPr>
                <w:rFonts w:hint="eastAsia" w:asciiTheme="minorEastAsia" w:hAnsiTheme="minorEastAsia" w:eastAsiaTheme="minorEastAsia"/>
                <w:bCs/>
                <w:szCs w:val="21"/>
              </w:rPr>
              <w:t>3.</w:t>
            </w:r>
            <w:r>
              <w:rPr>
                <w:rFonts w:asciiTheme="minorEastAsia" w:hAnsiTheme="minorEastAsia" w:eastAsiaTheme="minorEastAsia"/>
              </w:rPr>
              <w:t xml:space="preserve"> </w:t>
            </w:r>
            <w:r>
              <w:rPr>
                <w:rFonts w:hint="eastAsia" w:asciiTheme="minorEastAsia" w:hAnsiTheme="minorEastAsia" w:eastAsiaTheme="minorEastAsia"/>
              </w:rPr>
              <w:t>验</w:t>
            </w:r>
            <w:r>
              <w:rPr>
                <w:rFonts w:asciiTheme="minorEastAsia" w:hAnsiTheme="minorEastAsia" w:eastAsiaTheme="minorEastAsia"/>
              </w:rPr>
              <w:t>收要求</w:t>
            </w:r>
            <w:r>
              <w:rPr>
                <w:rFonts w:hint="eastAsia" w:asciiTheme="minorEastAsia" w:hAnsiTheme="minorEastAsia" w:eastAsiaTheme="minorEastAsia"/>
                <w:bCs/>
                <w:szCs w:val="21"/>
              </w:rPr>
              <w:t>：1</w:t>
            </w:r>
            <w:r>
              <w:rPr>
                <w:rFonts w:asciiTheme="minorEastAsia" w:hAnsiTheme="minorEastAsia" w:eastAsiaTheme="minorEastAsia"/>
              </w:rPr>
              <w:t>期：符合国家规定验收标准及采购人要求</w:t>
            </w:r>
          </w:p>
          <w:p>
            <w:pPr>
              <w:snapToGrid w:val="0"/>
              <w:jc w:val="left"/>
              <w:rPr>
                <w:rFonts w:asciiTheme="minorEastAsia" w:hAnsiTheme="minorEastAsia" w:eastAsiaTheme="minorEastAsia"/>
                <w:bCs/>
                <w:szCs w:val="21"/>
              </w:rPr>
            </w:pPr>
            <w:r>
              <w:rPr>
                <w:rFonts w:hint="eastAsia" w:asciiTheme="minorEastAsia" w:hAnsiTheme="minorEastAsia" w:eastAsiaTheme="minorEastAsia"/>
                <w:bCs/>
                <w:szCs w:val="21"/>
              </w:rPr>
              <w:t>三、违约责任</w:t>
            </w:r>
          </w:p>
          <w:p>
            <w:pPr>
              <w:snapToGrid w:val="0"/>
              <w:jc w:val="left"/>
              <w:rPr>
                <w:rFonts w:asciiTheme="minorEastAsia" w:hAnsiTheme="minorEastAsia" w:eastAsiaTheme="minorEastAsia"/>
                <w:bCs/>
                <w:szCs w:val="21"/>
              </w:rPr>
            </w:pPr>
            <w:r>
              <w:rPr>
                <w:rFonts w:hint="eastAsia" w:asciiTheme="minorEastAsia" w:hAnsiTheme="minorEastAsia" w:eastAsiaTheme="minorEastAsia"/>
                <w:bCs/>
                <w:szCs w:val="21"/>
              </w:rPr>
              <w:t>1．如中标人未按照投标文件中承诺的时间交货或提供服务，投标人应承担延期交货和延期服务的违约责任，并可要求投标人按合同赔偿采购人因此造成的实际经济损失。</w:t>
            </w:r>
          </w:p>
          <w:p>
            <w:pPr>
              <w:snapToGrid w:val="0"/>
              <w:jc w:val="left"/>
              <w:rPr>
                <w:rFonts w:asciiTheme="minorEastAsia" w:hAnsiTheme="minorEastAsia" w:eastAsiaTheme="minorEastAsia"/>
                <w:bCs/>
                <w:szCs w:val="21"/>
              </w:rPr>
            </w:pPr>
            <w:r>
              <w:rPr>
                <w:rFonts w:asciiTheme="minorEastAsia" w:hAnsiTheme="minorEastAsia" w:eastAsiaTheme="minorEastAsia"/>
                <w:bCs/>
                <w:szCs w:val="21"/>
              </w:rPr>
              <w:t>四、服务内容</w:t>
            </w:r>
          </w:p>
          <w:p>
            <w:pPr>
              <w:rPr>
                <w:rFonts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ab/>
            </w:r>
            <w:r>
              <w:rPr>
                <w:rFonts w:hint="eastAsia" w:asciiTheme="minorEastAsia" w:hAnsiTheme="minorEastAsia" w:eastAsiaTheme="minorEastAsia"/>
              </w:rPr>
              <w:t>指定1名客服工程师负责医院的技术服务工作</w:t>
            </w:r>
          </w:p>
          <w:p>
            <w:pPr>
              <w:rPr>
                <w:rFonts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ab/>
            </w:r>
            <w:r>
              <w:rPr>
                <w:rFonts w:hint="eastAsia" w:asciiTheme="minorEastAsia" w:hAnsiTheme="minorEastAsia" w:eastAsiaTheme="minorEastAsia"/>
              </w:rPr>
              <w:t>提供多种问题受理渠道：包括客服热线、微信公众号、客服邮箱、专属客服工程师的联系方式等</w:t>
            </w:r>
          </w:p>
          <w:p>
            <w:pPr>
              <w:rPr>
                <w:rFonts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ab/>
            </w:r>
            <w:r>
              <w:rPr>
                <w:rFonts w:hint="eastAsia" w:asciiTheme="minorEastAsia" w:hAnsiTheme="minorEastAsia" w:eastAsiaTheme="minorEastAsia"/>
              </w:rPr>
              <w:t>提供电话或远程桌面技术支持服务，响应时间为7*24小时，紧急问题4小时内开始处理，并及时反馈解决时间</w:t>
            </w:r>
          </w:p>
          <w:p>
            <w:pPr>
              <w:rPr>
                <w:rFonts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ab/>
            </w:r>
            <w:r>
              <w:rPr>
                <w:rFonts w:hint="eastAsia" w:asciiTheme="minorEastAsia" w:hAnsiTheme="minorEastAsia" w:eastAsiaTheme="minorEastAsia"/>
              </w:rPr>
              <w:t>为保障产品稳定运行，对用户反馈的产品使用相关问题进行及时响应和分析，对远程无法解决的问题，需安排人员到现场进行处理</w:t>
            </w:r>
          </w:p>
          <w:p>
            <w:pPr>
              <w:rPr>
                <w:rFonts w:asciiTheme="minorEastAsia" w:hAnsiTheme="minorEastAsia" w:eastAsiaTheme="minorEastAsia"/>
              </w:rPr>
            </w:pPr>
            <w:r>
              <w:rPr>
                <w:rFonts w:hint="eastAsia" w:asciiTheme="minorEastAsia" w:hAnsiTheme="minorEastAsia" w:eastAsiaTheme="minorEastAsia"/>
              </w:rPr>
              <w:t>5.</w:t>
            </w:r>
            <w:r>
              <w:rPr>
                <w:rFonts w:hint="eastAsia" w:asciiTheme="minorEastAsia" w:hAnsiTheme="minorEastAsia" w:eastAsiaTheme="minorEastAsia"/>
              </w:rPr>
              <w:tab/>
            </w:r>
            <w:r>
              <w:rPr>
                <w:rFonts w:hint="eastAsia" w:asciiTheme="minorEastAsia" w:hAnsiTheme="minorEastAsia" w:eastAsiaTheme="minorEastAsia"/>
              </w:rPr>
              <w:t>提供1次/年的现场巡检调优服务，服务内容包括服务器环境检查和调优、产品使用培训及集中答疑等，现场服务完成后向客户提交现场巡检报告</w:t>
            </w:r>
          </w:p>
          <w:p>
            <w:pPr>
              <w:rPr>
                <w:rFonts w:asciiTheme="minorEastAsia" w:hAnsiTheme="minorEastAsia" w:eastAsiaTheme="minorEastAsia"/>
              </w:rPr>
            </w:pPr>
            <w:r>
              <w:rPr>
                <w:rFonts w:hint="eastAsia" w:asciiTheme="minorEastAsia" w:hAnsiTheme="minorEastAsia" w:eastAsiaTheme="minorEastAsia"/>
              </w:rPr>
              <w:t>6.</w:t>
            </w:r>
            <w:r>
              <w:rPr>
                <w:rFonts w:hint="eastAsia" w:asciiTheme="minorEastAsia" w:hAnsiTheme="minorEastAsia" w:eastAsiaTheme="minorEastAsia"/>
              </w:rPr>
              <w:tab/>
            </w:r>
            <w:r>
              <w:rPr>
                <w:rFonts w:hint="eastAsia" w:asciiTheme="minorEastAsia" w:hAnsiTheme="minorEastAsia" w:eastAsiaTheme="minorEastAsia"/>
              </w:rPr>
              <w:t>协助提供医院所需要的项目产品相关的文档资料</w:t>
            </w:r>
          </w:p>
          <w:p>
            <w:pPr>
              <w:rPr>
                <w:rFonts w:asciiTheme="minorEastAsia" w:hAnsiTheme="minorEastAsia" w:eastAsiaTheme="minorEastAsia"/>
              </w:rPr>
            </w:pPr>
            <w:r>
              <w:rPr>
                <w:rFonts w:hint="eastAsia" w:asciiTheme="minorEastAsia" w:hAnsiTheme="minorEastAsia" w:eastAsiaTheme="minorEastAsia"/>
              </w:rPr>
              <w:t>7.</w:t>
            </w:r>
            <w:r>
              <w:rPr>
                <w:rFonts w:hint="eastAsia" w:asciiTheme="minorEastAsia" w:hAnsiTheme="minorEastAsia" w:eastAsiaTheme="minorEastAsia"/>
              </w:rPr>
              <w:tab/>
            </w:r>
            <w:r>
              <w:rPr>
                <w:rFonts w:hint="eastAsia" w:asciiTheme="minorEastAsia" w:hAnsiTheme="minorEastAsia" w:eastAsiaTheme="minorEastAsia"/>
              </w:rPr>
              <w:t xml:space="preserve">提供两年维保服务 </w:t>
            </w:r>
          </w:p>
          <w:p>
            <w:pPr>
              <w:rPr>
                <w:rFonts w:asciiTheme="minorEastAsia" w:hAnsiTheme="minorEastAsia" w:eastAsiaTheme="minorEastAsia"/>
              </w:rPr>
            </w:pPr>
            <w:r>
              <w:rPr>
                <w:rFonts w:hint="eastAsia" w:asciiTheme="minorEastAsia" w:hAnsiTheme="minorEastAsia" w:eastAsiaTheme="minorEastAsia"/>
              </w:rPr>
              <w:t>8.</w:t>
            </w:r>
            <w:r>
              <w:rPr>
                <w:rFonts w:hint="eastAsia" w:asciiTheme="minorEastAsia" w:hAnsiTheme="minorEastAsia" w:eastAsiaTheme="minorEastAsia"/>
              </w:rPr>
              <w:tab/>
            </w:r>
            <w:r>
              <w:rPr>
                <w:rFonts w:hint="eastAsia" w:asciiTheme="minorEastAsia" w:hAnsiTheme="minorEastAsia" w:eastAsiaTheme="minorEastAsia"/>
              </w:rPr>
              <w:t>提供电话回访服务，了解产品使用、维保问题解决情况等方面的用户体验，不低于4次/年</w:t>
            </w:r>
          </w:p>
          <w:p>
            <w:pPr>
              <w:rPr>
                <w:rFonts w:asciiTheme="minorEastAsia" w:hAnsiTheme="minorEastAsia" w:eastAsiaTheme="minorEastAsia"/>
              </w:rPr>
            </w:pPr>
            <w:r>
              <w:rPr>
                <w:rFonts w:hint="eastAsia" w:asciiTheme="minorEastAsia" w:hAnsiTheme="minorEastAsia" w:eastAsiaTheme="minorEastAsia"/>
              </w:rPr>
              <w:t>9.</w:t>
            </w:r>
            <w:r>
              <w:rPr>
                <w:rFonts w:hint="eastAsia" w:asciiTheme="minorEastAsia" w:hAnsiTheme="minorEastAsia" w:eastAsiaTheme="minorEastAsia"/>
              </w:rPr>
              <w:tab/>
            </w:r>
            <w:r>
              <w:rPr>
                <w:rFonts w:hint="eastAsia" w:asciiTheme="minorEastAsia" w:hAnsiTheme="minorEastAsia" w:eastAsiaTheme="minorEastAsia"/>
              </w:rPr>
              <w:t>提供年度服务报告；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kern w:val="0"/>
                <w:szCs w:val="21"/>
              </w:rPr>
            </w:pPr>
            <w:commentRangeStart w:id="1"/>
            <w:r>
              <w:rPr>
                <w:rFonts w:hint="eastAsia" w:asciiTheme="majorEastAsia" w:hAnsiTheme="majorEastAsia" w:eastAsiaTheme="majorEastAsia"/>
                <w:kern w:val="0"/>
                <w:szCs w:val="21"/>
              </w:rPr>
              <w:t>技术参数</w:t>
            </w:r>
            <w:commentRangeEnd w:id="1"/>
            <w:r>
              <w:rPr>
                <w:rStyle w:val="23"/>
                <w:rFonts w:asciiTheme="majorEastAsia" w:hAnsiTheme="majorEastAsia" w:eastAsiaTheme="majorEastAsia"/>
              </w:rPr>
              <w:commentReference w:id="1"/>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rPr>
            </w:pPr>
            <w:r>
              <w:rPr>
                <w:rFonts w:hint="eastAsia" w:asciiTheme="majorEastAsia" w:hAnsiTheme="majorEastAsia" w:eastAsiaTheme="majorEastAsia"/>
              </w:rPr>
              <w:t>详见下文“技术参数要求”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ajorEastAsia" w:hAnsiTheme="majorEastAsia" w:eastAsiaTheme="majorEastAsia"/>
                <w:kern w:val="0"/>
                <w:szCs w:val="21"/>
              </w:rPr>
            </w:pPr>
          </w:p>
          <w:p>
            <w:pPr>
              <w:pStyle w:val="2"/>
              <w:rPr>
                <w:rFonts w:hint="eastAsia"/>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rPr>
            </w:pPr>
          </w:p>
        </w:tc>
      </w:tr>
    </w:tbl>
    <w:p>
      <w:pPr>
        <w:spacing w:line="360" w:lineRule="auto"/>
        <w:rPr>
          <w:rFonts w:ascii="宋体" w:hAnsi="宋体" w:cstheme="minorBidi"/>
          <w:b/>
          <w:szCs w:val="21"/>
        </w:rPr>
      </w:pPr>
    </w:p>
    <w:p>
      <w:pPr>
        <w:spacing w:line="360" w:lineRule="auto"/>
        <w:rPr>
          <w:rFonts w:ascii="宋体" w:hAnsi="宋体" w:cstheme="minorBidi"/>
          <w:b/>
          <w:szCs w:val="21"/>
        </w:rPr>
      </w:pPr>
    </w:p>
    <w:p>
      <w:pPr>
        <w:spacing w:line="360" w:lineRule="auto"/>
        <w:rPr>
          <w:rFonts w:ascii="宋体" w:hAnsi="宋体" w:cstheme="minorBidi"/>
          <w:b/>
          <w:szCs w:val="21"/>
        </w:rPr>
      </w:pPr>
    </w:p>
    <w:p>
      <w:pPr>
        <w:spacing w:line="360" w:lineRule="auto"/>
        <w:rPr>
          <w:rFonts w:ascii="宋体" w:hAnsi="宋体" w:cstheme="minorBidi"/>
          <w:b/>
          <w:szCs w:val="21"/>
        </w:rPr>
      </w:pPr>
    </w:p>
    <w:p>
      <w:pPr>
        <w:spacing w:line="360" w:lineRule="auto"/>
        <w:rPr>
          <w:sz w:val="24"/>
          <w:szCs w:val="22"/>
        </w:rPr>
      </w:pPr>
      <w:bookmarkStart w:id="12" w:name="_GoBack"/>
      <w:r>
        <w:rPr>
          <w:rFonts w:ascii="宋体" w:hAnsi="宋体" w:cstheme="minorBidi"/>
          <w:b/>
          <w:sz w:val="24"/>
          <w:szCs w:val="24"/>
        </w:rPr>
        <w:t>技术参数要求：</w:t>
      </w:r>
    </w:p>
    <w:bookmarkEnd w:id="12"/>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842"/>
        <w:gridCol w:w="5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pPr>
              <w:spacing w:line="276" w:lineRule="auto"/>
              <w:jc w:val="center"/>
              <w:rPr>
                <w:rFonts w:ascii="宋体" w:hAnsi="宋体"/>
                <w:b/>
                <w:szCs w:val="24"/>
                <w:highlight w:val="none"/>
              </w:rPr>
            </w:pPr>
            <w:r>
              <w:rPr>
                <w:rFonts w:hint="eastAsia" w:ascii="宋体" w:hAnsi="宋体"/>
                <w:b/>
                <w:szCs w:val="24"/>
                <w:highlight w:val="none"/>
              </w:rPr>
              <w:t>序号</w:t>
            </w:r>
          </w:p>
        </w:tc>
        <w:tc>
          <w:tcPr>
            <w:tcW w:w="1842" w:type="dxa"/>
            <w:noWrap w:val="0"/>
            <w:vAlign w:val="top"/>
          </w:tcPr>
          <w:p>
            <w:pPr>
              <w:spacing w:line="276" w:lineRule="auto"/>
              <w:jc w:val="center"/>
              <w:rPr>
                <w:rFonts w:ascii="宋体" w:hAnsi="宋体"/>
                <w:b/>
                <w:szCs w:val="24"/>
                <w:highlight w:val="none"/>
              </w:rPr>
            </w:pPr>
            <w:r>
              <w:rPr>
                <w:rFonts w:hint="eastAsia" w:ascii="宋体" w:hAnsi="宋体"/>
                <w:b/>
                <w:szCs w:val="24"/>
                <w:highlight w:val="none"/>
              </w:rPr>
              <w:t>模块名称</w:t>
            </w:r>
          </w:p>
        </w:tc>
        <w:tc>
          <w:tcPr>
            <w:tcW w:w="5183" w:type="dxa"/>
            <w:noWrap w:val="0"/>
            <w:vAlign w:val="top"/>
          </w:tcPr>
          <w:p>
            <w:pPr>
              <w:spacing w:line="276" w:lineRule="auto"/>
              <w:jc w:val="center"/>
              <w:rPr>
                <w:rFonts w:ascii="宋体" w:hAnsi="宋体"/>
                <w:b/>
                <w:szCs w:val="24"/>
                <w:highlight w:val="none"/>
              </w:rPr>
            </w:pPr>
            <w:r>
              <w:rPr>
                <w:rFonts w:hint="eastAsia" w:ascii="宋体" w:hAnsi="宋体"/>
                <w:b/>
                <w:szCs w:val="24"/>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pPr>
              <w:spacing w:line="276" w:lineRule="auto"/>
              <w:rPr>
                <w:rFonts w:hint="eastAsia" w:ascii="宋体" w:hAnsi="宋体" w:eastAsia="宋体"/>
                <w:szCs w:val="24"/>
                <w:highlight w:val="none"/>
                <w:lang w:val="en-US" w:eastAsia="zh-CN"/>
              </w:rPr>
            </w:pPr>
            <w:r>
              <w:rPr>
                <w:rFonts w:hint="eastAsia" w:ascii="宋体" w:hAnsi="宋体"/>
                <w:szCs w:val="24"/>
                <w:highlight w:val="none"/>
                <w:lang w:val="en-US" w:eastAsia="zh-CN"/>
              </w:rPr>
              <w:t>1</w:t>
            </w:r>
          </w:p>
        </w:tc>
        <w:tc>
          <w:tcPr>
            <w:tcW w:w="1842" w:type="dxa"/>
            <w:noWrap w:val="0"/>
            <w:vAlign w:val="top"/>
          </w:tcPr>
          <w:p>
            <w:pPr>
              <w:spacing w:line="276" w:lineRule="auto"/>
              <w:rPr>
                <w:rFonts w:ascii="宋体" w:hAnsi="宋体"/>
                <w:szCs w:val="24"/>
                <w:highlight w:val="none"/>
              </w:rPr>
            </w:pPr>
            <w:r>
              <w:rPr>
                <w:rFonts w:hint="eastAsia" w:ascii="宋体" w:hAnsi="宋体"/>
                <w:szCs w:val="24"/>
                <w:highlight w:val="none"/>
              </w:rPr>
              <w:t>平台基础模块</w:t>
            </w:r>
          </w:p>
        </w:tc>
        <w:tc>
          <w:tcPr>
            <w:tcW w:w="5183" w:type="dxa"/>
            <w:noWrap w:val="0"/>
            <w:vAlign w:val="top"/>
          </w:tcPr>
          <w:p>
            <w:pPr>
              <w:pStyle w:val="64"/>
              <w:numPr>
                <w:ilvl w:val="0"/>
                <w:numId w:val="2"/>
              </w:numPr>
              <w:spacing w:line="276" w:lineRule="auto"/>
              <w:ind w:firstLineChars="0"/>
              <w:jc w:val="left"/>
              <w:rPr>
                <w:rFonts w:ascii="宋体" w:hAnsi="宋体" w:cs="宋体"/>
                <w:szCs w:val="24"/>
                <w:highlight w:val="none"/>
              </w:rPr>
            </w:pPr>
            <w:r>
              <w:rPr>
                <w:rFonts w:hint="eastAsia" w:ascii="宋体" w:hAnsi="宋体" w:cs="宋体"/>
                <w:szCs w:val="24"/>
                <w:highlight w:val="none"/>
              </w:rPr>
              <w:t>系统涵盖晨读/病例讨论、教学培训、模拟考试、模拟报告、科研病例管理、影像病例库、资料管理、病历资料采集等业务功能；</w:t>
            </w:r>
          </w:p>
          <w:p>
            <w:pPr>
              <w:pStyle w:val="64"/>
              <w:spacing w:line="276" w:lineRule="auto"/>
              <w:ind w:firstLine="0" w:firstLineChars="0"/>
              <w:jc w:val="left"/>
              <w:rPr>
                <w:rFonts w:ascii="宋体" w:hAnsi="宋体" w:cs="宋体"/>
                <w:szCs w:val="24"/>
                <w:highlight w:val="none"/>
              </w:rPr>
            </w:pPr>
            <w:r>
              <w:rPr>
                <w:rFonts w:hint="eastAsia" w:ascii="宋体" w:hAnsi="宋体" w:cs="宋体"/>
                <w:szCs w:val="24"/>
                <w:highlight w:val="none"/>
              </w:rPr>
              <w:t>2、平台采用B/S架构，支持常用浏览器，支持移动设备登录系统，方便系统部署、维护、使用和升级；</w:t>
            </w:r>
          </w:p>
          <w:p>
            <w:pPr>
              <w:pStyle w:val="64"/>
              <w:spacing w:line="276" w:lineRule="auto"/>
              <w:ind w:firstLine="0" w:firstLineChars="0"/>
              <w:jc w:val="left"/>
              <w:rPr>
                <w:rFonts w:ascii="宋体" w:hAnsi="宋体" w:cs="宋体"/>
                <w:szCs w:val="24"/>
                <w:highlight w:val="none"/>
              </w:rPr>
            </w:pPr>
            <w:r>
              <w:rPr>
                <w:rFonts w:hint="eastAsia" w:ascii="宋体" w:hAnsi="宋体" w:cs="宋体"/>
                <w:szCs w:val="24"/>
                <w:highlight w:val="none"/>
              </w:rPr>
              <w:t>3、可在Windows、Linux等多种服务器版操作系统上灵活部署；</w:t>
            </w:r>
          </w:p>
          <w:p>
            <w:pPr>
              <w:pStyle w:val="64"/>
              <w:spacing w:line="276" w:lineRule="auto"/>
              <w:ind w:firstLine="0" w:firstLineChars="0"/>
              <w:jc w:val="left"/>
              <w:rPr>
                <w:rFonts w:ascii="宋体" w:hAnsi="宋体"/>
                <w:szCs w:val="24"/>
                <w:highlight w:val="none"/>
              </w:rPr>
            </w:pPr>
            <w:r>
              <w:rPr>
                <w:rFonts w:hint="eastAsia" w:ascii="宋体" w:hAnsi="宋体" w:cs="宋体"/>
                <w:szCs w:val="24"/>
                <w:highlight w:val="none"/>
              </w:rPr>
              <w:t>4、支持Oracle、SQL Server、MySQL等通用关系型数据库，方便数据管理和系统维护；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pPr>
              <w:spacing w:line="276" w:lineRule="auto"/>
              <w:rPr>
                <w:rFonts w:hint="eastAsia" w:ascii="宋体" w:hAnsi="宋体" w:eastAsia="宋体"/>
                <w:szCs w:val="24"/>
                <w:highlight w:val="none"/>
                <w:lang w:val="en-US" w:eastAsia="zh-CN"/>
              </w:rPr>
            </w:pPr>
            <w:r>
              <w:rPr>
                <w:rFonts w:hint="eastAsia" w:ascii="宋体" w:hAnsi="宋体"/>
                <w:szCs w:val="24"/>
                <w:highlight w:val="none"/>
                <w:lang w:val="en-US" w:eastAsia="zh-CN"/>
              </w:rPr>
              <w:t>2</w:t>
            </w:r>
          </w:p>
        </w:tc>
        <w:tc>
          <w:tcPr>
            <w:tcW w:w="1842" w:type="dxa"/>
            <w:noWrap w:val="0"/>
            <w:vAlign w:val="top"/>
          </w:tcPr>
          <w:p>
            <w:pPr>
              <w:spacing w:line="276" w:lineRule="auto"/>
              <w:rPr>
                <w:rFonts w:ascii="宋体" w:hAnsi="宋体"/>
                <w:szCs w:val="24"/>
                <w:highlight w:val="none"/>
              </w:rPr>
            </w:pPr>
            <w:r>
              <w:rPr>
                <w:rFonts w:hint="eastAsia" w:ascii="宋体" w:hAnsi="宋体"/>
                <w:szCs w:val="24"/>
                <w:highlight w:val="none"/>
              </w:rPr>
              <w:t>晨读/讨论模块</w:t>
            </w:r>
          </w:p>
        </w:tc>
        <w:tc>
          <w:tcPr>
            <w:tcW w:w="5183" w:type="dxa"/>
            <w:noWrap w:val="0"/>
            <w:vAlign w:val="top"/>
          </w:tcPr>
          <w:p>
            <w:pPr>
              <w:pStyle w:val="47"/>
              <w:numPr>
                <w:ilvl w:val="0"/>
                <w:numId w:val="3"/>
              </w:numPr>
              <w:spacing w:line="276" w:lineRule="auto"/>
              <w:ind w:firstLineChars="0"/>
              <w:rPr>
                <w:rFonts w:ascii="宋体" w:hAnsi="宋体"/>
                <w:szCs w:val="24"/>
                <w:highlight w:val="none"/>
              </w:rPr>
            </w:pPr>
            <w:r>
              <w:rPr>
                <w:rFonts w:hint="eastAsia" w:ascii="宋体" w:hAnsi="宋体"/>
                <w:szCs w:val="24"/>
                <w:highlight w:val="none"/>
              </w:rPr>
              <w:t>支持讨论主题、讨论类型、讨论目的等讨论关键信息设定。</w:t>
            </w:r>
          </w:p>
          <w:p>
            <w:pPr>
              <w:pStyle w:val="47"/>
              <w:numPr>
                <w:ilvl w:val="0"/>
                <w:numId w:val="3"/>
              </w:numPr>
              <w:spacing w:line="276" w:lineRule="auto"/>
              <w:ind w:left="33" w:firstLine="0" w:firstLineChars="0"/>
              <w:rPr>
                <w:rFonts w:ascii="宋体" w:hAnsi="宋体"/>
                <w:szCs w:val="24"/>
                <w:highlight w:val="none"/>
              </w:rPr>
            </w:pPr>
            <w:r>
              <w:rPr>
                <w:rFonts w:hint="eastAsia" w:cs="宋体" w:asciiTheme="minorEastAsia" w:hAnsiTheme="minorEastAsia" w:eastAsiaTheme="minorEastAsia"/>
                <w:szCs w:val="21"/>
                <w:highlight w:val="none"/>
              </w:rPr>
              <w:t>▲</w:t>
            </w:r>
            <w:r>
              <w:rPr>
                <w:rFonts w:hint="eastAsia" w:ascii="宋体" w:hAnsi="宋体"/>
                <w:szCs w:val="24"/>
                <w:highlight w:val="none"/>
              </w:rPr>
              <w:t>支持接口模式获取患者病历信息并自动填充页面表单，提供病历浏览器在线查看患者病历数据。</w:t>
            </w:r>
          </w:p>
          <w:p>
            <w:pPr>
              <w:pStyle w:val="47"/>
              <w:numPr>
                <w:ilvl w:val="0"/>
                <w:numId w:val="3"/>
              </w:numPr>
              <w:spacing w:line="276" w:lineRule="auto"/>
              <w:ind w:left="33" w:firstLine="0" w:firstLineChars="0"/>
              <w:rPr>
                <w:rFonts w:ascii="宋体" w:hAnsi="宋体"/>
                <w:szCs w:val="24"/>
                <w:highlight w:val="none"/>
              </w:rPr>
            </w:pPr>
            <w:r>
              <w:rPr>
                <w:rFonts w:hint="eastAsia" w:ascii="宋体" w:hAnsi="宋体"/>
                <w:szCs w:val="24"/>
                <w:highlight w:val="none"/>
              </w:rPr>
              <w:t>支持参与人签到功能，可在讨论开始前进行人员签到确认，支持批量签到操作及参与人的追加功能。</w:t>
            </w:r>
          </w:p>
          <w:p>
            <w:pPr>
              <w:pStyle w:val="47"/>
              <w:numPr>
                <w:ilvl w:val="0"/>
                <w:numId w:val="3"/>
              </w:numPr>
              <w:spacing w:line="276" w:lineRule="auto"/>
              <w:ind w:left="33" w:firstLine="0" w:firstLineChars="0"/>
              <w:rPr>
                <w:rFonts w:ascii="宋体" w:hAnsi="宋体"/>
                <w:szCs w:val="24"/>
                <w:highlight w:val="none"/>
              </w:rPr>
            </w:pPr>
            <w:r>
              <w:rPr>
                <w:rFonts w:hint="eastAsia" w:ascii="宋体" w:hAnsi="宋体"/>
                <w:szCs w:val="24"/>
                <w:highlight w:val="none"/>
              </w:rPr>
              <w:t>支持随访标记设置，可在讨论结束后定期对病例进行随访跟踪。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pPr>
              <w:spacing w:line="276" w:lineRule="auto"/>
              <w:rPr>
                <w:rFonts w:hint="eastAsia" w:ascii="宋体" w:hAnsi="宋体" w:eastAsia="宋体"/>
                <w:szCs w:val="24"/>
                <w:highlight w:val="none"/>
                <w:lang w:val="en-US" w:eastAsia="zh-CN"/>
              </w:rPr>
            </w:pPr>
            <w:r>
              <w:rPr>
                <w:rFonts w:hint="eastAsia" w:ascii="宋体" w:hAnsi="宋体"/>
                <w:szCs w:val="24"/>
                <w:highlight w:val="none"/>
                <w:lang w:val="en-US" w:eastAsia="zh-CN"/>
              </w:rPr>
              <w:t>3</w:t>
            </w:r>
          </w:p>
        </w:tc>
        <w:tc>
          <w:tcPr>
            <w:tcW w:w="1842" w:type="dxa"/>
            <w:noWrap w:val="0"/>
            <w:vAlign w:val="top"/>
          </w:tcPr>
          <w:p>
            <w:pPr>
              <w:spacing w:line="276" w:lineRule="auto"/>
              <w:rPr>
                <w:rFonts w:ascii="宋体" w:hAnsi="宋体"/>
                <w:szCs w:val="24"/>
                <w:highlight w:val="none"/>
              </w:rPr>
            </w:pPr>
            <w:r>
              <w:rPr>
                <w:rFonts w:hint="eastAsia" w:ascii="宋体" w:hAnsi="宋体"/>
                <w:szCs w:val="24"/>
                <w:highlight w:val="none"/>
              </w:rPr>
              <w:t>教学培训模块</w:t>
            </w:r>
          </w:p>
        </w:tc>
        <w:tc>
          <w:tcPr>
            <w:tcW w:w="5183" w:type="dxa"/>
            <w:noWrap w:val="0"/>
            <w:vAlign w:val="top"/>
          </w:tcPr>
          <w:p>
            <w:pPr>
              <w:pStyle w:val="47"/>
              <w:numPr>
                <w:ilvl w:val="0"/>
                <w:numId w:val="4"/>
              </w:numPr>
              <w:spacing w:line="276" w:lineRule="auto"/>
              <w:ind w:firstLineChars="0"/>
              <w:rPr>
                <w:rFonts w:ascii="宋体" w:hAnsi="宋体"/>
                <w:szCs w:val="24"/>
                <w:highlight w:val="none"/>
              </w:rPr>
            </w:pPr>
            <w:r>
              <w:rPr>
                <w:rFonts w:hint="eastAsia" w:ascii="宋体" w:hAnsi="宋体"/>
                <w:szCs w:val="24"/>
                <w:highlight w:val="none"/>
              </w:rPr>
              <w:t>支持课件分类、课件来源、课件学分、课件学时设定，视频类文件可根据文件大小自动计算。</w:t>
            </w:r>
          </w:p>
          <w:p>
            <w:pPr>
              <w:pStyle w:val="47"/>
              <w:numPr>
                <w:ilvl w:val="0"/>
                <w:numId w:val="4"/>
              </w:numPr>
              <w:spacing w:line="276" w:lineRule="auto"/>
              <w:ind w:firstLineChars="0"/>
              <w:rPr>
                <w:rFonts w:ascii="宋体" w:hAnsi="宋体"/>
                <w:szCs w:val="24"/>
                <w:highlight w:val="none"/>
              </w:rPr>
            </w:pPr>
            <w:r>
              <w:rPr>
                <w:rFonts w:hint="eastAsia" w:cs="宋体" w:asciiTheme="minorEastAsia" w:hAnsiTheme="minorEastAsia" w:eastAsiaTheme="minorEastAsia"/>
                <w:szCs w:val="21"/>
                <w:highlight w:val="none"/>
              </w:rPr>
              <w:t>▲</w:t>
            </w:r>
            <w:r>
              <w:rPr>
                <w:rFonts w:hint="eastAsia" w:ascii="宋体" w:hAnsi="宋体"/>
                <w:szCs w:val="24"/>
                <w:highlight w:val="none"/>
              </w:rPr>
              <w:t>支持阅片课模式，可在课件中添加典型影像病例、典型临床病历等教学资料，学员可在线进行影像的浏览实操操作并参考病历数据，患者关键信息需要进行隐私化处理。</w:t>
            </w:r>
          </w:p>
          <w:p>
            <w:pPr>
              <w:pStyle w:val="47"/>
              <w:numPr>
                <w:ilvl w:val="0"/>
                <w:numId w:val="4"/>
              </w:numPr>
              <w:spacing w:line="276" w:lineRule="auto"/>
              <w:ind w:firstLineChars="0"/>
              <w:rPr>
                <w:rFonts w:ascii="宋体" w:hAnsi="宋体"/>
                <w:szCs w:val="24"/>
                <w:highlight w:val="none"/>
              </w:rPr>
            </w:pPr>
            <w:r>
              <w:rPr>
                <w:rFonts w:hint="eastAsia" w:ascii="宋体" w:hAnsi="宋体"/>
                <w:szCs w:val="24"/>
                <w:highlight w:val="none"/>
              </w:rPr>
              <w:t>支持课程讲义编辑功能，提供课程讲义编写工具，可在讲义中标注重点信息。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pPr>
              <w:spacing w:line="276" w:lineRule="auto"/>
              <w:rPr>
                <w:rFonts w:hint="eastAsia" w:ascii="宋体" w:hAnsi="宋体" w:eastAsia="宋体"/>
                <w:szCs w:val="24"/>
                <w:highlight w:val="none"/>
                <w:lang w:val="en-US" w:eastAsia="zh-CN"/>
              </w:rPr>
            </w:pPr>
            <w:r>
              <w:rPr>
                <w:rFonts w:hint="eastAsia" w:ascii="宋体" w:hAnsi="宋体"/>
                <w:szCs w:val="24"/>
                <w:highlight w:val="none"/>
                <w:lang w:val="en-US" w:eastAsia="zh-CN"/>
              </w:rPr>
              <w:t>4</w:t>
            </w:r>
          </w:p>
        </w:tc>
        <w:tc>
          <w:tcPr>
            <w:tcW w:w="1842" w:type="dxa"/>
            <w:noWrap w:val="0"/>
            <w:vAlign w:val="top"/>
          </w:tcPr>
          <w:p>
            <w:pPr>
              <w:spacing w:line="276" w:lineRule="auto"/>
              <w:rPr>
                <w:rFonts w:ascii="宋体" w:hAnsi="宋体"/>
                <w:szCs w:val="24"/>
                <w:highlight w:val="none"/>
              </w:rPr>
            </w:pPr>
            <w:r>
              <w:rPr>
                <w:rFonts w:hint="eastAsia" w:ascii="宋体" w:hAnsi="宋体"/>
                <w:szCs w:val="24"/>
                <w:highlight w:val="none"/>
              </w:rPr>
              <w:t>模拟考试模块</w:t>
            </w:r>
          </w:p>
        </w:tc>
        <w:tc>
          <w:tcPr>
            <w:tcW w:w="5183" w:type="dxa"/>
            <w:noWrap w:val="0"/>
            <w:vAlign w:val="top"/>
          </w:tcPr>
          <w:p>
            <w:pPr>
              <w:pStyle w:val="47"/>
              <w:numPr>
                <w:ilvl w:val="0"/>
                <w:numId w:val="5"/>
              </w:numPr>
              <w:spacing w:line="276" w:lineRule="auto"/>
              <w:ind w:firstLineChars="0"/>
              <w:rPr>
                <w:rFonts w:ascii="宋体" w:hAnsi="宋体"/>
                <w:szCs w:val="24"/>
                <w:highlight w:val="none"/>
              </w:rPr>
            </w:pPr>
            <w:r>
              <w:rPr>
                <w:rFonts w:hint="eastAsia" w:ascii="宋体" w:hAnsi="宋体"/>
                <w:szCs w:val="24"/>
                <w:highlight w:val="none"/>
              </w:rPr>
              <w:t>支持单选、多选、填空、判断、简单等常见试题模式</w:t>
            </w:r>
          </w:p>
          <w:p>
            <w:pPr>
              <w:pStyle w:val="47"/>
              <w:numPr>
                <w:ilvl w:val="0"/>
                <w:numId w:val="5"/>
              </w:numPr>
              <w:spacing w:line="276" w:lineRule="auto"/>
              <w:ind w:firstLineChars="0"/>
              <w:rPr>
                <w:rFonts w:ascii="宋体" w:hAnsi="宋体"/>
                <w:szCs w:val="24"/>
                <w:highlight w:val="none"/>
              </w:rPr>
            </w:pPr>
            <w:r>
              <w:rPr>
                <w:rFonts w:hint="eastAsia" w:cs="宋体" w:asciiTheme="minorEastAsia" w:hAnsiTheme="minorEastAsia" w:eastAsiaTheme="minorEastAsia"/>
                <w:szCs w:val="21"/>
                <w:highlight w:val="none"/>
              </w:rPr>
              <w:t>▲</w:t>
            </w:r>
            <w:r>
              <w:rPr>
                <w:rFonts w:hint="eastAsia" w:ascii="宋体" w:hAnsi="宋体"/>
                <w:szCs w:val="24"/>
                <w:highlight w:val="none"/>
              </w:rPr>
              <w:t>支持试题和Dicom影像相结合的模式，可在回答问题的同时进行Dicom影像浏览操作。</w:t>
            </w:r>
          </w:p>
          <w:p>
            <w:pPr>
              <w:pStyle w:val="47"/>
              <w:numPr>
                <w:ilvl w:val="0"/>
                <w:numId w:val="5"/>
              </w:numPr>
              <w:spacing w:line="276" w:lineRule="auto"/>
              <w:ind w:firstLineChars="0"/>
              <w:rPr>
                <w:rFonts w:ascii="宋体" w:hAnsi="宋体"/>
                <w:szCs w:val="24"/>
                <w:highlight w:val="none"/>
              </w:rPr>
            </w:pPr>
            <w:r>
              <w:rPr>
                <w:rFonts w:hint="eastAsia" w:cs="宋体" w:asciiTheme="minorEastAsia" w:hAnsiTheme="minorEastAsia" w:eastAsiaTheme="minorEastAsia"/>
                <w:szCs w:val="21"/>
                <w:highlight w:val="none"/>
              </w:rPr>
              <w:t>▲</w:t>
            </w:r>
            <w:r>
              <w:rPr>
                <w:rFonts w:hint="eastAsia" w:ascii="宋体" w:hAnsi="宋体"/>
                <w:szCs w:val="24"/>
                <w:highlight w:val="none"/>
              </w:rPr>
              <w:t>支持试题和病历数据结合的模式，可参考指定病历数据内容结合试题进行回答。例如：仅可查看首次病程信息等。</w:t>
            </w:r>
          </w:p>
          <w:p>
            <w:pPr>
              <w:pStyle w:val="47"/>
              <w:numPr>
                <w:ilvl w:val="0"/>
                <w:numId w:val="5"/>
              </w:numPr>
              <w:spacing w:line="276" w:lineRule="auto"/>
              <w:ind w:firstLineChars="0"/>
              <w:rPr>
                <w:rFonts w:ascii="宋体" w:hAnsi="宋体"/>
                <w:szCs w:val="24"/>
                <w:highlight w:val="none"/>
              </w:rPr>
            </w:pPr>
            <w:r>
              <w:rPr>
                <w:rFonts w:hint="eastAsia" w:ascii="宋体" w:hAnsi="宋体"/>
                <w:szCs w:val="24"/>
                <w:highlight w:val="none"/>
              </w:rPr>
              <w:t>支持自动出卷功能，可由出题人给出试题筛选条件，自动组成试卷并可根据出题人需要手动添加其他试题。</w:t>
            </w:r>
          </w:p>
          <w:p>
            <w:pPr>
              <w:pStyle w:val="47"/>
              <w:numPr>
                <w:ilvl w:val="0"/>
                <w:numId w:val="5"/>
              </w:numPr>
              <w:spacing w:line="276" w:lineRule="auto"/>
              <w:ind w:firstLineChars="0"/>
              <w:rPr>
                <w:rFonts w:ascii="宋体" w:hAnsi="宋体"/>
                <w:szCs w:val="24"/>
                <w:highlight w:val="none"/>
              </w:rPr>
            </w:pPr>
            <w:r>
              <w:rPr>
                <w:rFonts w:hint="eastAsia" w:ascii="宋体" w:hAnsi="宋体"/>
                <w:szCs w:val="24"/>
                <w:highlight w:val="none"/>
              </w:rPr>
              <w:t>支持AB卷模式，可实现相同试题下，试题乱序、选项乱序等考试条件设定。</w:t>
            </w:r>
          </w:p>
          <w:p>
            <w:pPr>
              <w:pStyle w:val="47"/>
              <w:numPr>
                <w:ilvl w:val="0"/>
                <w:numId w:val="5"/>
              </w:numPr>
              <w:spacing w:line="276" w:lineRule="auto"/>
              <w:ind w:firstLineChars="0"/>
              <w:rPr>
                <w:rFonts w:ascii="宋体" w:hAnsi="宋体"/>
                <w:szCs w:val="24"/>
                <w:highlight w:val="none"/>
              </w:rPr>
            </w:pPr>
            <w:r>
              <w:rPr>
                <w:rFonts w:hint="eastAsia" w:ascii="宋体" w:hAnsi="宋体"/>
                <w:szCs w:val="24"/>
                <w:highlight w:val="none"/>
              </w:rPr>
              <w:t>支持成绩发布后学员查看试卷，可查看正确答案及答案相关解析。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pPr>
              <w:spacing w:line="276" w:lineRule="auto"/>
              <w:rPr>
                <w:rFonts w:hint="eastAsia" w:ascii="宋体" w:hAnsi="宋体" w:eastAsia="宋体"/>
                <w:szCs w:val="24"/>
                <w:highlight w:val="none"/>
                <w:lang w:val="en-US" w:eastAsia="zh-CN"/>
              </w:rPr>
            </w:pPr>
            <w:r>
              <w:rPr>
                <w:rFonts w:hint="eastAsia" w:ascii="宋体" w:hAnsi="宋体"/>
                <w:szCs w:val="24"/>
                <w:highlight w:val="none"/>
                <w:lang w:val="en-US" w:eastAsia="zh-CN"/>
              </w:rPr>
              <w:t>5</w:t>
            </w:r>
          </w:p>
        </w:tc>
        <w:tc>
          <w:tcPr>
            <w:tcW w:w="1842" w:type="dxa"/>
            <w:noWrap w:val="0"/>
            <w:vAlign w:val="top"/>
          </w:tcPr>
          <w:p>
            <w:pPr>
              <w:spacing w:line="276" w:lineRule="auto"/>
              <w:rPr>
                <w:rFonts w:ascii="宋体" w:hAnsi="宋体"/>
                <w:szCs w:val="24"/>
                <w:highlight w:val="none"/>
              </w:rPr>
            </w:pPr>
            <w:r>
              <w:rPr>
                <w:rFonts w:hint="eastAsia" w:ascii="宋体" w:hAnsi="宋体"/>
                <w:szCs w:val="24"/>
                <w:highlight w:val="none"/>
              </w:rPr>
              <w:t>模拟报告模块</w:t>
            </w:r>
          </w:p>
        </w:tc>
        <w:tc>
          <w:tcPr>
            <w:tcW w:w="5183" w:type="dxa"/>
            <w:noWrap w:val="0"/>
            <w:vAlign w:val="top"/>
          </w:tcPr>
          <w:p>
            <w:pPr>
              <w:pStyle w:val="47"/>
              <w:numPr>
                <w:ilvl w:val="0"/>
                <w:numId w:val="6"/>
              </w:numPr>
              <w:spacing w:line="276" w:lineRule="auto"/>
              <w:ind w:firstLineChars="0"/>
              <w:rPr>
                <w:rFonts w:ascii="宋体" w:hAnsi="宋体"/>
                <w:szCs w:val="24"/>
                <w:highlight w:val="none"/>
              </w:rPr>
            </w:pPr>
            <w:r>
              <w:rPr>
                <w:rFonts w:hint="eastAsia" w:ascii="宋体" w:hAnsi="宋体"/>
                <w:szCs w:val="24"/>
                <w:highlight w:val="none"/>
              </w:rPr>
              <w:t>支持模拟报告功能，可使用Dicom影像浏览器进行影像的在线调阅及常规影像操作，用户可参照影像出具报告。</w:t>
            </w:r>
          </w:p>
          <w:p>
            <w:pPr>
              <w:pStyle w:val="47"/>
              <w:numPr>
                <w:ilvl w:val="0"/>
                <w:numId w:val="6"/>
              </w:numPr>
              <w:spacing w:line="276" w:lineRule="auto"/>
              <w:ind w:firstLineChars="0"/>
              <w:rPr>
                <w:rFonts w:ascii="宋体" w:hAnsi="宋体"/>
                <w:szCs w:val="24"/>
                <w:highlight w:val="none"/>
              </w:rPr>
            </w:pPr>
            <w:r>
              <w:rPr>
                <w:rFonts w:hint="eastAsia" w:ascii="宋体" w:hAnsi="宋体"/>
                <w:szCs w:val="24"/>
                <w:highlight w:val="none"/>
              </w:rPr>
              <w:t>支持练习报告对比功能，可参照正确的诊断报告进行对比查看，对不匹配的内容进行高亮显示</w:t>
            </w:r>
          </w:p>
          <w:p>
            <w:pPr>
              <w:pStyle w:val="47"/>
              <w:numPr>
                <w:ilvl w:val="0"/>
                <w:numId w:val="6"/>
              </w:numPr>
              <w:spacing w:line="276" w:lineRule="auto"/>
              <w:ind w:firstLineChars="0"/>
              <w:rPr>
                <w:rFonts w:ascii="宋体" w:hAnsi="宋体"/>
                <w:szCs w:val="24"/>
                <w:highlight w:val="none"/>
              </w:rPr>
            </w:pPr>
            <w:r>
              <w:rPr>
                <w:rFonts w:hint="eastAsia" w:cs="宋体" w:asciiTheme="minorEastAsia" w:hAnsiTheme="minorEastAsia" w:eastAsiaTheme="minorEastAsia"/>
                <w:szCs w:val="21"/>
                <w:highlight w:val="none"/>
              </w:rPr>
              <w:t>▲</w:t>
            </w:r>
            <w:r>
              <w:rPr>
                <w:rFonts w:hint="eastAsia" w:ascii="宋体" w:hAnsi="宋体"/>
                <w:szCs w:val="24"/>
                <w:highlight w:val="none"/>
              </w:rPr>
              <w:t>支持报告关键字重点标注功能，可突出显示诊断报告中的关键语句。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pPr>
              <w:spacing w:line="276" w:lineRule="auto"/>
              <w:rPr>
                <w:rFonts w:hint="eastAsia" w:ascii="宋体" w:hAnsi="宋体" w:eastAsia="宋体"/>
                <w:szCs w:val="24"/>
                <w:highlight w:val="none"/>
                <w:lang w:val="en-US" w:eastAsia="zh-CN"/>
              </w:rPr>
            </w:pPr>
            <w:r>
              <w:rPr>
                <w:rFonts w:hint="eastAsia" w:ascii="宋体" w:hAnsi="宋体"/>
                <w:szCs w:val="24"/>
                <w:highlight w:val="none"/>
                <w:lang w:val="en-US" w:eastAsia="zh-CN"/>
              </w:rPr>
              <w:t>6</w:t>
            </w:r>
          </w:p>
        </w:tc>
        <w:tc>
          <w:tcPr>
            <w:tcW w:w="1842" w:type="dxa"/>
            <w:noWrap w:val="0"/>
            <w:vAlign w:val="top"/>
          </w:tcPr>
          <w:p>
            <w:pPr>
              <w:spacing w:line="276" w:lineRule="auto"/>
              <w:rPr>
                <w:rFonts w:ascii="宋体" w:hAnsi="宋体"/>
                <w:szCs w:val="24"/>
                <w:highlight w:val="none"/>
              </w:rPr>
            </w:pPr>
            <w:r>
              <w:rPr>
                <w:rFonts w:hint="eastAsia" w:ascii="宋体" w:hAnsi="宋体"/>
                <w:szCs w:val="24"/>
                <w:highlight w:val="none"/>
              </w:rPr>
              <w:t>科研病例管理模块</w:t>
            </w:r>
          </w:p>
        </w:tc>
        <w:tc>
          <w:tcPr>
            <w:tcW w:w="5183" w:type="dxa"/>
            <w:noWrap w:val="0"/>
            <w:vAlign w:val="top"/>
          </w:tcPr>
          <w:p>
            <w:pPr>
              <w:pStyle w:val="47"/>
              <w:numPr>
                <w:ilvl w:val="0"/>
                <w:numId w:val="7"/>
              </w:numPr>
              <w:spacing w:line="276" w:lineRule="auto"/>
              <w:ind w:firstLineChars="0"/>
              <w:rPr>
                <w:rFonts w:ascii="宋体" w:hAnsi="宋体"/>
                <w:szCs w:val="24"/>
                <w:highlight w:val="none"/>
              </w:rPr>
            </w:pPr>
            <w:r>
              <w:rPr>
                <w:rFonts w:hint="eastAsia" w:ascii="宋体" w:hAnsi="宋体"/>
                <w:szCs w:val="24"/>
                <w:highlight w:val="none"/>
              </w:rPr>
              <w:t>支持创建科研项目，可填写项目基础信息、里程碑信息、经费信息、参与人及项目相关附件资料。</w:t>
            </w:r>
          </w:p>
          <w:p>
            <w:pPr>
              <w:pStyle w:val="47"/>
              <w:numPr>
                <w:ilvl w:val="0"/>
                <w:numId w:val="7"/>
              </w:numPr>
              <w:spacing w:line="276" w:lineRule="auto"/>
              <w:ind w:firstLineChars="0"/>
              <w:rPr>
                <w:rFonts w:ascii="宋体" w:hAnsi="宋体"/>
                <w:szCs w:val="24"/>
                <w:highlight w:val="none"/>
              </w:rPr>
            </w:pPr>
            <w:r>
              <w:rPr>
                <w:rFonts w:hint="eastAsia" w:ascii="宋体" w:hAnsi="宋体"/>
                <w:szCs w:val="24"/>
                <w:highlight w:val="none"/>
              </w:rPr>
              <w:t>支持关联影像数据，可以从病例库或个人科研收藏数据中进行影像添加。</w:t>
            </w:r>
          </w:p>
          <w:p>
            <w:pPr>
              <w:pStyle w:val="47"/>
              <w:numPr>
                <w:ilvl w:val="0"/>
                <w:numId w:val="7"/>
              </w:numPr>
              <w:spacing w:line="276" w:lineRule="auto"/>
              <w:ind w:firstLineChars="0"/>
              <w:rPr>
                <w:rFonts w:ascii="宋体" w:hAnsi="宋体"/>
                <w:szCs w:val="24"/>
                <w:highlight w:val="none"/>
              </w:rPr>
            </w:pPr>
            <w:r>
              <w:rPr>
                <w:rFonts w:hint="eastAsia" w:cs="宋体" w:asciiTheme="minorEastAsia" w:hAnsiTheme="minorEastAsia" w:eastAsiaTheme="minorEastAsia"/>
                <w:szCs w:val="21"/>
                <w:highlight w:val="none"/>
              </w:rPr>
              <w:t>▲</w:t>
            </w:r>
            <w:r>
              <w:rPr>
                <w:rFonts w:hint="eastAsia" w:ascii="宋体" w:hAnsi="宋体"/>
                <w:szCs w:val="24"/>
                <w:highlight w:val="none"/>
              </w:rPr>
              <w:t>支持结构化表单编辑功能，可根据科研需要快速响应进行表单调整。</w:t>
            </w:r>
          </w:p>
          <w:p>
            <w:pPr>
              <w:pStyle w:val="47"/>
              <w:numPr>
                <w:ilvl w:val="0"/>
                <w:numId w:val="7"/>
              </w:numPr>
              <w:spacing w:line="276" w:lineRule="auto"/>
              <w:ind w:firstLineChars="0"/>
              <w:rPr>
                <w:rFonts w:ascii="宋体" w:hAnsi="宋体"/>
                <w:szCs w:val="24"/>
                <w:highlight w:val="none"/>
              </w:rPr>
            </w:pPr>
            <w:r>
              <w:rPr>
                <w:rFonts w:hint="eastAsia" w:cs="宋体" w:asciiTheme="minorEastAsia" w:hAnsiTheme="minorEastAsia" w:eastAsiaTheme="minorEastAsia"/>
                <w:szCs w:val="21"/>
                <w:highlight w:val="none"/>
              </w:rPr>
              <w:t>▲</w:t>
            </w:r>
            <w:r>
              <w:rPr>
                <w:rFonts w:hint="eastAsia" w:ascii="宋体" w:hAnsi="宋体"/>
                <w:szCs w:val="24"/>
                <w:highlight w:val="none"/>
              </w:rPr>
              <w:t>支持科研病例关键字预设功能，可自动识别科研表单中的关键字，作为标签进行关联。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pPr>
              <w:spacing w:line="276" w:lineRule="auto"/>
              <w:rPr>
                <w:rFonts w:hint="eastAsia" w:ascii="宋体" w:hAnsi="宋体" w:eastAsia="宋体"/>
                <w:szCs w:val="24"/>
                <w:highlight w:val="none"/>
                <w:lang w:val="en-US" w:eastAsia="zh-CN"/>
              </w:rPr>
            </w:pPr>
            <w:r>
              <w:rPr>
                <w:rFonts w:hint="eastAsia" w:ascii="宋体" w:hAnsi="宋体"/>
                <w:szCs w:val="24"/>
                <w:highlight w:val="none"/>
                <w:lang w:val="en-US" w:eastAsia="zh-CN"/>
              </w:rPr>
              <w:t>7</w:t>
            </w:r>
          </w:p>
        </w:tc>
        <w:tc>
          <w:tcPr>
            <w:tcW w:w="1842" w:type="dxa"/>
            <w:noWrap w:val="0"/>
            <w:vAlign w:val="top"/>
          </w:tcPr>
          <w:p>
            <w:pPr>
              <w:spacing w:line="276" w:lineRule="auto"/>
              <w:rPr>
                <w:rFonts w:ascii="宋体" w:hAnsi="宋体"/>
                <w:szCs w:val="24"/>
                <w:highlight w:val="none"/>
              </w:rPr>
            </w:pPr>
            <w:r>
              <w:rPr>
                <w:rFonts w:hint="eastAsia" w:ascii="宋体" w:hAnsi="宋体"/>
                <w:szCs w:val="24"/>
                <w:highlight w:val="none"/>
              </w:rPr>
              <w:t>病例库模块</w:t>
            </w:r>
          </w:p>
        </w:tc>
        <w:tc>
          <w:tcPr>
            <w:tcW w:w="5183" w:type="dxa"/>
            <w:noWrap w:val="0"/>
            <w:vAlign w:val="top"/>
          </w:tcPr>
          <w:p>
            <w:pPr>
              <w:pStyle w:val="47"/>
              <w:numPr>
                <w:ilvl w:val="0"/>
                <w:numId w:val="8"/>
              </w:numPr>
              <w:spacing w:line="276" w:lineRule="auto"/>
              <w:ind w:firstLineChars="0"/>
              <w:rPr>
                <w:rFonts w:ascii="宋体" w:hAnsi="宋体"/>
                <w:szCs w:val="24"/>
                <w:highlight w:val="none"/>
              </w:rPr>
            </w:pPr>
            <w:r>
              <w:rPr>
                <w:rFonts w:hint="eastAsia" w:ascii="宋体" w:hAnsi="宋体"/>
                <w:szCs w:val="24"/>
                <w:highlight w:val="none"/>
              </w:rPr>
              <w:t>支持关键图选择操作，最小分级可到IMAGE级。</w:t>
            </w:r>
          </w:p>
          <w:p>
            <w:pPr>
              <w:pStyle w:val="47"/>
              <w:numPr>
                <w:ilvl w:val="0"/>
                <w:numId w:val="8"/>
              </w:numPr>
              <w:spacing w:line="276" w:lineRule="auto"/>
              <w:ind w:firstLineChars="0"/>
              <w:rPr>
                <w:rFonts w:ascii="宋体" w:hAnsi="宋体"/>
                <w:szCs w:val="24"/>
                <w:highlight w:val="none"/>
              </w:rPr>
            </w:pPr>
            <w:r>
              <w:rPr>
                <w:rFonts w:hint="eastAsia" w:ascii="宋体" w:hAnsi="宋体"/>
                <w:szCs w:val="24"/>
                <w:highlight w:val="none"/>
              </w:rPr>
              <w:t>支持查看影像诊断报告及申请单。</w:t>
            </w:r>
          </w:p>
          <w:p>
            <w:pPr>
              <w:pStyle w:val="47"/>
              <w:numPr>
                <w:ilvl w:val="0"/>
                <w:numId w:val="8"/>
              </w:numPr>
              <w:spacing w:line="276" w:lineRule="auto"/>
              <w:ind w:firstLineChars="0"/>
              <w:rPr>
                <w:rFonts w:ascii="宋体" w:hAnsi="宋体"/>
                <w:szCs w:val="24"/>
                <w:highlight w:val="none"/>
              </w:rPr>
            </w:pPr>
            <w:r>
              <w:rPr>
                <w:rFonts w:hint="eastAsia" w:cs="宋体" w:asciiTheme="minorEastAsia" w:hAnsiTheme="minorEastAsia" w:eastAsiaTheme="minorEastAsia"/>
                <w:szCs w:val="21"/>
                <w:highlight w:val="none"/>
              </w:rPr>
              <w:t>▲</w:t>
            </w:r>
            <w:r>
              <w:rPr>
                <w:rFonts w:hint="eastAsia" w:ascii="宋体" w:hAnsi="宋体"/>
                <w:szCs w:val="24"/>
                <w:highlight w:val="none"/>
              </w:rPr>
              <w:t>支持导出PPT格式文件，包括图片、患者信息等。</w:t>
            </w:r>
          </w:p>
          <w:p>
            <w:pPr>
              <w:pStyle w:val="47"/>
              <w:numPr>
                <w:ilvl w:val="0"/>
                <w:numId w:val="8"/>
              </w:numPr>
              <w:spacing w:line="276" w:lineRule="auto"/>
              <w:ind w:firstLineChars="0"/>
              <w:rPr>
                <w:rFonts w:ascii="宋体" w:hAnsi="宋体"/>
                <w:szCs w:val="24"/>
                <w:highlight w:val="none"/>
              </w:rPr>
            </w:pPr>
            <w:r>
              <w:rPr>
                <w:rFonts w:hint="eastAsia" w:ascii="宋体" w:hAnsi="宋体"/>
                <w:szCs w:val="24"/>
                <w:highlight w:val="none"/>
              </w:rPr>
              <w:t>支持影像病例库分类操作，可按疑似库、确诊库区分保存的病例数据</w:t>
            </w:r>
            <w:r>
              <w:rPr>
                <w:rFonts w:hint="eastAsia" w:ascii="宋体" w:hAnsi="宋体"/>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pPr>
              <w:spacing w:line="276" w:lineRule="auto"/>
              <w:rPr>
                <w:rFonts w:hint="default" w:ascii="宋体" w:hAnsi="宋体" w:eastAsia="宋体"/>
                <w:szCs w:val="24"/>
                <w:highlight w:val="none"/>
                <w:lang w:val="en-US" w:eastAsia="zh-CN"/>
              </w:rPr>
            </w:pPr>
            <w:r>
              <w:rPr>
                <w:rFonts w:hint="eastAsia" w:ascii="宋体" w:hAnsi="宋体"/>
                <w:szCs w:val="24"/>
                <w:highlight w:val="none"/>
                <w:lang w:val="en-US" w:eastAsia="zh-CN"/>
              </w:rPr>
              <w:t>8</w:t>
            </w:r>
          </w:p>
        </w:tc>
        <w:tc>
          <w:tcPr>
            <w:tcW w:w="1842" w:type="dxa"/>
            <w:noWrap w:val="0"/>
            <w:vAlign w:val="top"/>
          </w:tcPr>
          <w:p>
            <w:pPr>
              <w:spacing w:line="276" w:lineRule="auto"/>
              <w:rPr>
                <w:rFonts w:ascii="宋体" w:hAnsi="宋体"/>
                <w:szCs w:val="24"/>
                <w:highlight w:val="none"/>
              </w:rPr>
            </w:pPr>
            <w:r>
              <w:rPr>
                <w:rFonts w:hint="eastAsia" w:ascii="宋体" w:hAnsi="宋体"/>
                <w:szCs w:val="24"/>
                <w:highlight w:val="none"/>
              </w:rPr>
              <w:t>影像随访</w:t>
            </w:r>
          </w:p>
        </w:tc>
        <w:tc>
          <w:tcPr>
            <w:tcW w:w="5183" w:type="dxa"/>
            <w:noWrap w:val="0"/>
            <w:vAlign w:val="top"/>
          </w:tcPr>
          <w:p>
            <w:pPr>
              <w:pStyle w:val="64"/>
              <w:numPr>
                <w:ilvl w:val="0"/>
                <w:numId w:val="9"/>
              </w:numPr>
              <w:spacing w:before="156" w:after="156" w:line="276" w:lineRule="auto"/>
              <w:ind w:firstLineChars="0"/>
              <w:jc w:val="left"/>
              <w:rPr>
                <w:rFonts w:ascii="宋体" w:hAnsi="宋体" w:cs="宋体"/>
                <w:szCs w:val="24"/>
                <w:highlight w:val="none"/>
              </w:rPr>
            </w:pPr>
            <w:r>
              <w:rPr>
                <w:rFonts w:hint="eastAsia" w:ascii="宋体" w:hAnsi="宋体" w:cs="宋体"/>
                <w:szCs w:val="24"/>
                <w:highlight w:val="none"/>
              </w:rPr>
              <w:t>支持公共随访模式和个人随访模式，可对感兴趣的病例数据进行个人随访跟踪。</w:t>
            </w:r>
          </w:p>
          <w:p>
            <w:pPr>
              <w:pStyle w:val="64"/>
              <w:numPr>
                <w:ilvl w:val="0"/>
                <w:numId w:val="9"/>
              </w:numPr>
              <w:spacing w:before="156" w:after="156" w:line="276" w:lineRule="auto"/>
              <w:ind w:firstLineChars="0"/>
              <w:jc w:val="left"/>
              <w:rPr>
                <w:rFonts w:ascii="宋体" w:hAnsi="宋体" w:cs="宋体"/>
                <w:szCs w:val="24"/>
                <w:highlight w:val="none"/>
              </w:rPr>
            </w:pPr>
            <w:r>
              <w:rPr>
                <w:rFonts w:hint="eastAsia" w:ascii="宋体" w:hAnsi="宋体" w:cs="宋体"/>
                <w:szCs w:val="24"/>
                <w:highlight w:val="none"/>
              </w:rPr>
              <w:t>支持多次随访记录的添加，按时间轴模式显示随访记录及相关随访信息，添加随访记录时可设置是否继续随访及下次随访时间。</w:t>
            </w:r>
          </w:p>
          <w:p>
            <w:pPr>
              <w:pStyle w:val="64"/>
              <w:numPr>
                <w:ilvl w:val="0"/>
                <w:numId w:val="9"/>
              </w:numPr>
              <w:spacing w:before="156" w:after="156" w:line="276" w:lineRule="auto"/>
              <w:ind w:firstLineChars="0"/>
              <w:jc w:val="left"/>
              <w:rPr>
                <w:rFonts w:ascii="宋体" w:hAnsi="宋体" w:cs="宋体"/>
                <w:szCs w:val="24"/>
                <w:highlight w:val="none"/>
              </w:rPr>
            </w:pPr>
            <w:r>
              <w:rPr>
                <w:rFonts w:hint="eastAsia" w:ascii="宋体" w:hAnsi="宋体" w:cs="宋体"/>
                <w:szCs w:val="24"/>
                <w:highlight w:val="none"/>
              </w:rPr>
              <w:t>支持随访提醒，可在页面高亮显示待随访记录。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pPr>
              <w:spacing w:line="276" w:lineRule="auto"/>
              <w:rPr>
                <w:rFonts w:hint="eastAsia" w:ascii="宋体" w:hAnsi="宋体" w:eastAsia="宋体"/>
                <w:szCs w:val="24"/>
                <w:highlight w:val="none"/>
                <w:lang w:val="en-US" w:eastAsia="zh-CN"/>
              </w:rPr>
            </w:pPr>
            <w:r>
              <w:rPr>
                <w:rFonts w:hint="eastAsia" w:ascii="宋体" w:hAnsi="宋体"/>
                <w:szCs w:val="24"/>
                <w:highlight w:val="none"/>
                <w:lang w:val="en-US" w:eastAsia="zh-CN"/>
              </w:rPr>
              <w:t>9</w:t>
            </w:r>
          </w:p>
        </w:tc>
        <w:tc>
          <w:tcPr>
            <w:tcW w:w="1842" w:type="dxa"/>
            <w:noWrap w:val="0"/>
            <w:vAlign w:val="top"/>
          </w:tcPr>
          <w:p>
            <w:pPr>
              <w:spacing w:line="276" w:lineRule="auto"/>
              <w:rPr>
                <w:rFonts w:ascii="宋体" w:hAnsi="宋体"/>
                <w:szCs w:val="24"/>
                <w:highlight w:val="none"/>
              </w:rPr>
            </w:pPr>
            <w:r>
              <w:rPr>
                <w:rFonts w:hint="eastAsia" w:ascii="宋体" w:hAnsi="宋体"/>
                <w:szCs w:val="24"/>
                <w:highlight w:val="none"/>
              </w:rPr>
              <w:t>资料管理</w:t>
            </w:r>
          </w:p>
        </w:tc>
        <w:tc>
          <w:tcPr>
            <w:tcW w:w="5183" w:type="dxa"/>
            <w:noWrap w:val="0"/>
            <w:vAlign w:val="top"/>
          </w:tcPr>
          <w:p>
            <w:pPr>
              <w:pStyle w:val="64"/>
              <w:numPr>
                <w:ilvl w:val="0"/>
                <w:numId w:val="10"/>
              </w:numPr>
              <w:spacing w:before="156" w:after="156" w:line="276" w:lineRule="auto"/>
              <w:ind w:firstLineChars="0"/>
              <w:jc w:val="left"/>
              <w:rPr>
                <w:rFonts w:ascii="宋体" w:hAnsi="宋体" w:cs="宋体"/>
                <w:szCs w:val="24"/>
                <w:highlight w:val="none"/>
              </w:rPr>
            </w:pPr>
            <w:r>
              <w:rPr>
                <w:rFonts w:hint="eastAsia" w:ascii="宋体" w:hAnsi="宋体" w:cs="宋体"/>
                <w:szCs w:val="24"/>
                <w:highlight w:val="none"/>
              </w:rPr>
              <w:t>支持PDF、word、Mp4等常见资料文件的上传操作，支持资料的在线查看操作、</w:t>
            </w:r>
          </w:p>
          <w:p>
            <w:pPr>
              <w:pStyle w:val="64"/>
              <w:numPr>
                <w:ilvl w:val="0"/>
                <w:numId w:val="10"/>
              </w:numPr>
              <w:spacing w:before="156" w:after="156" w:line="276" w:lineRule="auto"/>
              <w:ind w:firstLineChars="0"/>
              <w:jc w:val="left"/>
              <w:rPr>
                <w:rFonts w:ascii="宋体" w:hAnsi="宋体" w:cs="宋体"/>
                <w:szCs w:val="24"/>
                <w:highlight w:val="none"/>
              </w:rPr>
            </w:pPr>
            <w:r>
              <w:rPr>
                <w:rFonts w:hint="eastAsia" w:ascii="宋体" w:hAnsi="宋体" w:cs="宋体"/>
                <w:szCs w:val="24"/>
                <w:highlight w:val="none"/>
              </w:rPr>
              <w:t>支持关联影像数据文件，可关联DICOM影像浏览器实现资料与影像数据的关联操作。</w:t>
            </w:r>
          </w:p>
          <w:p>
            <w:pPr>
              <w:pStyle w:val="64"/>
              <w:numPr>
                <w:ilvl w:val="0"/>
                <w:numId w:val="10"/>
              </w:numPr>
              <w:spacing w:before="156" w:after="156" w:line="276" w:lineRule="auto"/>
              <w:ind w:firstLineChars="0"/>
              <w:jc w:val="left"/>
              <w:rPr>
                <w:rFonts w:ascii="宋体" w:hAnsi="宋体" w:cs="宋体"/>
                <w:szCs w:val="24"/>
                <w:highlight w:val="none"/>
              </w:rPr>
            </w:pPr>
            <w:r>
              <w:rPr>
                <w:rFonts w:hint="eastAsia" w:ascii="宋体" w:hAnsi="宋体" w:cs="宋体"/>
                <w:szCs w:val="24"/>
                <w:highlight w:val="none"/>
              </w:rPr>
              <w:t>支持资料文件发布审核，只有审核通过的资料文件才能被所有用户进行查阅。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pPr>
              <w:spacing w:line="276" w:lineRule="auto"/>
              <w:rPr>
                <w:rFonts w:hint="default" w:ascii="宋体" w:hAnsi="宋体" w:eastAsia="宋体"/>
                <w:szCs w:val="24"/>
                <w:highlight w:val="none"/>
                <w:lang w:val="en-US" w:eastAsia="zh-CN"/>
              </w:rPr>
            </w:pPr>
            <w:r>
              <w:rPr>
                <w:rFonts w:hint="eastAsia" w:ascii="宋体" w:hAnsi="宋体"/>
                <w:szCs w:val="24"/>
                <w:highlight w:val="none"/>
                <w:lang w:val="en-US" w:eastAsia="zh-CN"/>
              </w:rPr>
              <w:t>10</w:t>
            </w:r>
          </w:p>
        </w:tc>
        <w:tc>
          <w:tcPr>
            <w:tcW w:w="1842" w:type="dxa"/>
            <w:noWrap w:val="0"/>
            <w:vAlign w:val="top"/>
          </w:tcPr>
          <w:p>
            <w:pPr>
              <w:spacing w:line="276" w:lineRule="auto"/>
              <w:rPr>
                <w:rFonts w:ascii="宋体" w:hAnsi="宋体"/>
                <w:szCs w:val="24"/>
                <w:highlight w:val="none"/>
              </w:rPr>
            </w:pPr>
            <w:r>
              <w:rPr>
                <w:rFonts w:hint="eastAsia" w:ascii="宋体" w:hAnsi="宋体"/>
                <w:szCs w:val="24"/>
                <w:highlight w:val="none"/>
              </w:rPr>
              <w:t>病历资料采集模块</w:t>
            </w:r>
          </w:p>
        </w:tc>
        <w:tc>
          <w:tcPr>
            <w:tcW w:w="5183" w:type="dxa"/>
            <w:noWrap w:val="0"/>
            <w:vAlign w:val="top"/>
          </w:tcPr>
          <w:p>
            <w:pPr>
              <w:pStyle w:val="64"/>
              <w:spacing w:before="156" w:after="156" w:line="276" w:lineRule="auto"/>
              <w:ind w:firstLine="0" w:firstLineChars="0"/>
              <w:jc w:val="left"/>
              <w:rPr>
                <w:rFonts w:ascii="宋体" w:hAnsi="宋体" w:cs="宋体"/>
                <w:szCs w:val="24"/>
                <w:highlight w:val="none"/>
              </w:rPr>
            </w:pPr>
            <w:r>
              <w:rPr>
                <w:rFonts w:hint="eastAsia" w:ascii="宋体" w:hAnsi="宋体" w:cs="宋体"/>
                <w:szCs w:val="24"/>
                <w:highlight w:val="none"/>
              </w:rPr>
              <w:t>1、系统支持纸质/胶片资料扫描/拍照文件的传输、存储和阅读，支持病历资料的手工录入；</w:t>
            </w:r>
          </w:p>
          <w:p>
            <w:pPr>
              <w:pStyle w:val="64"/>
              <w:spacing w:before="156" w:after="156" w:line="276" w:lineRule="auto"/>
              <w:ind w:firstLine="0" w:firstLineChars="0"/>
              <w:jc w:val="left"/>
              <w:rPr>
                <w:rFonts w:ascii="宋体" w:hAnsi="宋体" w:cs="宋体"/>
                <w:szCs w:val="24"/>
                <w:highlight w:val="none"/>
              </w:rPr>
            </w:pPr>
            <w:r>
              <w:rPr>
                <w:rFonts w:hint="eastAsia" w:ascii="宋体" w:hAnsi="宋体" w:cs="宋体"/>
                <w:szCs w:val="24"/>
                <w:highlight w:val="none"/>
              </w:rPr>
              <w:t>2、系统具备DICOM网关功能，既支持从具有DICOM 3.0接口的影像设备获取患者的影像资料，也支持从PACS工作站导入DICOM 影像，同时支持从光盘等介质导入图像；</w:t>
            </w:r>
          </w:p>
          <w:p>
            <w:pPr>
              <w:pStyle w:val="64"/>
              <w:spacing w:before="156" w:after="156" w:line="276" w:lineRule="auto"/>
              <w:ind w:firstLine="0" w:firstLineChars="0"/>
              <w:jc w:val="left"/>
              <w:rPr>
                <w:rFonts w:ascii="宋体" w:hAnsi="宋体" w:cs="宋体"/>
                <w:szCs w:val="24"/>
                <w:highlight w:val="none"/>
              </w:rPr>
            </w:pPr>
            <w:r>
              <w:rPr>
                <w:rFonts w:hint="eastAsia" w:ascii="宋体" w:hAnsi="宋体" w:cs="宋体"/>
                <w:szCs w:val="24"/>
                <w:highlight w:val="none"/>
              </w:rPr>
              <w:t>3、支持跟医院信息平台或HIS、EMR、PACS等系统做接口的模式获取患者临床病历资料；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pPr>
              <w:spacing w:line="276" w:lineRule="auto"/>
              <w:rPr>
                <w:rFonts w:hint="default" w:ascii="宋体" w:hAnsi="宋体" w:eastAsia="宋体"/>
                <w:szCs w:val="24"/>
                <w:highlight w:val="none"/>
                <w:lang w:val="en-US" w:eastAsia="zh-CN"/>
              </w:rPr>
            </w:pPr>
            <w:r>
              <w:rPr>
                <w:rFonts w:hint="eastAsia" w:ascii="宋体" w:hAnsi="宋体"/>
                <w:szCs w:val="24"/>
                <w:highlight w:val="none"/>
                <w:lang w:val="en-US" w:eastAsia="zh-CN"/>
              </w:rPr>
              <w:t>11</w:t>
            </w:r>
          </w:p>
        </w:tc>
        <w:tc>
          <w:tcPr>
            <w:tcW w:w="1842" w:type="dxa"/>
            <w:noWrap w:val="0"/>
            <w:vAlign w:val="top"/>
          </w:tcPr>
          <w:p>
            <w:pPr>
              <w:spacing w:line="276" w:lineRule="auto"/>
              <w:rPr>
                <w:rFonts w:ascii="宋体" w:hAnsi="宋体"/>
                <w:szCs w:val="24"/>
                <w:highlight w:val="none"/>
              </w:rPr>
            </w:pPr>
            <w:r>
              <w:rPr>
                <w:rFonts w:hint="eastAsia" w:ascii="宋体" w:hAnsi="宋体" w:cs="宋体"/>
                <w:szCs w:val="24"/>
                <w:highlight w:val="none"/>
              </w:rPr>
              <w:t>病历资料展示模块</w:t>
            </w:r>
          </w:p>
        </w:tc>
        <w:tc>
          <w:tcPr>
            <w:tcW w:w="5183" w:type="dxa"/>
            <w:noWrap w:val="0"/>
            <w:vAlign w:val="top"/>
          </w:tcPr>
          <w:p>
            <w:pPr>
              <w:pStyle w:val="64"/>
              <w:spacing w:line="276" w:lineRule="auto"/>
              <w:ind w:firstLine="0" w:firstLineChars="0"/>
              <w:jc w:val="left"/>
              <w:rPr>
                <w:rFonts w:ascii="宋体" w:hAnsi="宋体" w:cs="宋体"/>
                <w:bCs/>
                <w:szCs w:val="24"/>
                <w:highlight w:val="none"/>
              </w:rPr>
            </w:pPr>
            <w:r>
              <w:rPr>
                <w:rFonts w:hint="eastAsia" w:ascii="宋体" w:hAnsi="宋体" w:cs="宋体"/>
                <w:bCs/>
                <w:szCs w:val="24"/>
                <w:highlight w:val="none"/>
                <w:lang w:val="en-US" w:eastAsia="zh-CN"/>
              </w:rPr>
              <w:t>1</w:t>
            </w:r>
            <w:r>
              <w:rPr>
                <w:rFonts w:hint="eastAsia" w:ascii="宋体" w:hAnsi="宋体" w:cs="宋体"/>
                <w:bCs/>
                <w:szCs w:val="24"/>
                <w:highlight w:val="none"/>
              </w:rPr>
              <w:t>、支持以综合视图方式，全面展现患者病历信息（包括医嘱，检查检验报告，医疗事件，医疗文书等）；</w:t>
            </w:r>
          </w:p>
          <w:p>
            <w:pPr>
              <w:pStyle w:val="65"/>
              <w:spacing w:before="156" w:after="156" w:line="276" w:lineRule="auto"/>
              <w:ind w:firstLine="0" w:firstLineChars="0"/>
              <w:jc w:val="left"/>
              <w:rPr>
                <w:rFonts w:ascii="宋体" w:hAnsi="宋体"/>
                <w:szCs w:val="24"/>
                <w:highlight w:val="none"/>
              </w:rPr>
            </w:pPr>
            <w:r>
              <w:rPr>
                <w:rFonts w:hint="eastAsia" w:cs="宋体" w:asciiTheme="minorEastAsia" w:hAnsiTheme="minorEastAsia" w:eastAsiaTheme="minorEastAsia"/>
                <w:szCs w:val="21"/>
                <w:highlight w:val="none"/>
              </w:rPr>
              <w:t>▲</w:t>
            </w:r>
            <w:r>
              <w:rPr>
                <w:rFonts w:hint="eastAsia" w:ascii="宋体" w:hAnsi="宋体"/>
                <w:szCs w:val="24"/>
                <w:highlight w:val="none"/>
                <w:lang w:val="en-US" w:eastAsia="zh-CN"/>
              </w:rPr>
              <w:t>2</w:t>
            </w:r>
            <w:r>
              <w:rPr>
                <w:rFonts w:hint="eastAsia" w:ascii="宋体" w:hAnsi="宋体"/>
                <w:szCs w:val="24"/>
                <w:highlight w:val="none"/>
              </w:rPr>
              <w:t>、支持同一住院周期内同一检查项目多次检查的报告对比、影像对比显示；</w:t>
            </w:r>
          </w:p>
          <w:p>
            <w:pPr>
              <w:pStyle w:val="65"/>
              <w:spacing w:before="156" w:after="156" w:line="276" w:lineRule="auto"/>
              <w:ind w:firstLine="0" w:firstLineChars="0"/>
              <w:jc w:val="left"/>
              <w:rPr>
                <w:rFonts w:ascii="宋体" w:hAnsi="宋体"/>
                <w:szCs w:val="24"/>
                <w:highlight w:val="none"/>
              </w:rPr>
            </w:pPr>
            <w:r>
              <w:rPr>
                <w:rFonts w:hint="eastAsia" w:ascii="宋体" w:hAnsi="宋体"/>
                <w:szCs w:val="24"/>
                <w:highlight w:val="none"/>
                <w:lang w:val="en-US" w:eastAsia="zh-CN"/>
              </w:rPr>
              <w:t>3</w:t>
            </w:r>
            <w:r>
              <w:rPr>
                <w:rFonts w:hint="eastAsia" w:ascii="宋体" w:hAnsi="宋体"/>
                <w:szCs w:val="24"/>
                <w:highlight w:val="none"/>
              </w:rPr>
              <w:t>、</w:t>
            </w:r>
            <w:r>
              <w:rPr>
                <w:rFonts w:hint="eastAsia" w:cs="宋体" w:asciiTheme="minorEastAsia" w:hAnsiTheme="minorEastAsia" w:eastAsiaTheme="minorEastAsia"/>
                <w:szCs w:val="21"/>
                <w:highlight w:val="none"/>
              </w:rPr>
              <w:t>▲</w:t>
            </w:r>
            <w:r>
              <w:rPr>
                <w:rFonts w:hint="eastAsia" w:ascii="宋体" w:hAnsi="宋体"/>
                <w:szCs w:val="24"/>
                <w:highlight w:val="none"/>
              </w:rPr>
              <w:t>支持同一住院周期内同一检验项目多次检验报告对比显示，异常值提醒，趋势显示；</w:t>
            </w:r>
          </w:p>
        </w:tc>
      </w:tr>
    </w:tbl>
    <w:p>
      <w:pPr>
        <w:widowControl/>
        <w:jc w:val="left"/>
        <w:rPr>
          <w:highlight w:val="none"/>
        </w:rPr>
      </w:pPr>
    </w:p>
    <w:p>
      <w:pPr>
        <w:widowControl/>
        <w:jc w:val="left"/>
        <w:rPr>
          <w:highlight w:val="none"/>
        </w:rPr>
      </w:pPr>
    </w:p>
    <w:p>
      <w:pPr>
        <w:pStyle w:val="2"/>
        <w:rPr>
          <w:highlight w:val="none"/>
        </w:rPr>
      </w:pPr>
    </w:p>
    <w:p>
      <w:pPr>
        <w:pStyle w:val="3"/>
        <w:rPr>
          <w:highlight w:val="none"/>
        </w:rPr>
      </w:pPr>
    </w:p>
    <w:p>
      <w:pPr>
        <w:pStyle w:val="3"/>
        <w:rPr>
          <w:highlight w:val="none"/>
        </w:rPr>
      </w:pPr>
    </w:p>
    <w:p>
      <w:pPr>
        <w:pStyle w:val="2"/>
        <w:rPr>
          <w:highlight w:val="none"/>
        </w:rPr>
      </w:pPr>
    </w:p>
    <w:p>
      <w:pPr>
        <w:pStyle w:val="3"/>
        <w:rPr>
          <w:highlight w:val="none"/>
        </w:rPr>
      </w:pPr>
    </w:p>
    <w:p>
      <w:pPr>
        <w:pStyle w:val="2"/>
        <w:rPr>
          <w:highlight w:val="none"/>
        </w:rPr>
      </w:pPr>
    </w:p>
    <w:p>
      <w:pPr>
        <w:pStyle w:val="3"/>
        <w:rPr>
          <w:highlight w:val="none"/>
        </w:rPr>
      </w:pPr>
    </w:p>
    <w:p>
      <w:pPr>
        <w:pStyle w:val="2"/>
        <w:rPr>
          <w:highlight w:val="none"/>
        </w:rPr>
      </w:pPr>
    </w:p>
    <w:p>
      <w:pPr>
        <w:pStyle w:val="3"/>
      </w:pPr>
    </w:p>
    <w:p>
      <w:pPr>
        <w:pStyle w:val="2"/>
      </w:pPr>
    </w:p>
    <w:p>
      <w:pPr>
        <w:pStyle w:val="3"/>
      </w:pPr>
    </w:p>
    <w:p>
      <w:pPr>
        <w:pStyle w:val="2"/>
      </w:pPr>
    </w:p>
    <w:p>
      <w:pPr>
        <w:pStyle w:val="3"/>
      </w:pPr>
    </w:p>
    <w:p>
      <w:pPr>
        <w:pStyle w:val="2"/>
      </w:pPr>
    </w:p>
    <w:p>
      <w:pPr>
        <w:pStyle w:val="3"/>
      </w:pPr>
    </w:p>
    <w:p>
      <w:pPr>
        <w:pStyle w:val="2"/>
      </w:pPr>
    </w:p>
    <w:p>
      <w:pPr>
        <w:pStyle w:val="3"/>
      </w:pPr>
    </w:p>
    <w:p>
      <w:pPr>
        <w:pStyle w:val="2"/>
      </w:pPr>
    </w:p>
    <w:p>
      <w:pPr>
        <w:pStyle w:val="3"/>
      </w:pPr>
    </w:p>
    <w:p>
      <w:pPr>
        <w:pStyle w:val="2"/>
      </w:pPr>
    </w:p>
    <w:p>
      <w:pPr>
        <w:pStyle w:val="3"/>
      </w:pPr>
    </w:p>
    <w:p>
      <w:pPr>
        <w:pStyle w:val="2"/>
      </w:pPr>
    </w:p>
    <w:p>
      <w:pPr>
        <w:pStyle w:val="3"/>
      </w:pPr>
    </w:p>
    <w:p>
      <w:pPr>
        <w:pStyle w:val="2"/>
      </w:pPr>
    </w:p>
    <w:p>
      <w:pPr>
        <w:pStyle w:val="3"/>
      </w:pPr>
    </w:p>
    <w:p>
      <w:pPr>
        <w:pStyle w:val="2"/>
      </w:pPr>
    </w:p>
    <w:p>
      <w:pPr>
        <w:pStyle w:val="2"/>
      </w:pPr>
    </w:p>
    <w:p>
      <w:pPr>
        <w:jc w:val="center"/>
        <w:rPr>
          <w:rFonts w:ascii="宋体" w:hAnsi="宋体"/>
          <w:b/>
          <w:sz w:val="24"/>
          <w:szCs w:val="24"/>
        </w:rPr>
      </w:pPr>
      <w:r>
        <w:rPr>
          <w:rFonts w:hint="eastAsia" w:ascii="宋体" w:hAnsi="宋体"/>
          <w:b/>
          <w:sz w:val="24"/>
          <w:szCs w:val="24"/>
          <w:u w:val="single"/>
        </w:rPr>
        <w:t xml:space="preserve">  医学影像教研协同系统 </w:t>
      </w:r>
      <w:r>
        <w:rPr>
          <w:rFonts w:hint="eastAsia" w:ascii="宋体" w:hAnsi="宋体"/>
          <w:b/>
          <w:sz w:val="24"/>
          <w:szCs w:val="24"/>
        </w:rPr>
        <w:t>项目投标文件</w:t>
      </w:r>
    </w:p>
    <w:p>
      <w:pPr>
        <w:rPr>
          <w:rFonts w:ascii="宋体" w:hAnsi="宋体"/>
          <w:b/>
          <w:sz w:val="24"/>
          <w:szCs w:val="24"/>
        </w:rPr>
      </w:pPr>
    </w:p>
    <w:p>
      <w:pPr>
        <w:jc w:val="cente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w:t>
      </w:r>
      <w:r>
        <w:rPr>
          <w:rFonts w:hint="eastAsia" w:ascii="宋体" w:hAnsi="宋体"/>
          <w:b/>
          <w:sz w:val="24"/>
          <w:szCs w:val="24"/>
          <w:u w:val="single"/>
        </w:rPr>
        <w:t xml:space="preserve">                          </w:t>
      </w:r>
    </w:p>
    <w:p>
      <w:pPr>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pPr>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pPr>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pPr>
        <w:rPr>
          <w:rFonts w:ascii="宋体" w:hAnsi="宋体"/>
          <w:sz w:val="24"/>
          <w:szCs w:val="24"/>
        </w:rPr>
        <w:sectPr>
          <w:footerReference r:id="rId6" w:type="default"/>
          <w:headerReference r:id="rId5" w:type="even"/>
          <w:pgSz w:w="11906" w:h="16838"/>
          <w:pgMar w:top="1701" w:right="1588" w:bottom="1304" w:left="1588" w:header="1247" w:footer="737" w:gutter="0"/>
          <w:cols w:space="720" w:num="1"/>
          <w:docGrid w:linePitch="380" w:charSpace="-4301"/>
        </w:sectPr>
      </w:pPr>
    </w:p>
    <w:p>
      <w:pPr>
        <w:rPr>
          <w:rFonts w:ascii="宋体" w:hAnsi="宋体"/>
          <w:szCs w:val="21"/>
        </w:rPr>
      </w:pPr>
      <w:bookmarkStart w:id="1" w:name="_Toc211243316"/>
      <w:bookmarkStart w:id="2" w:name="_Toc311468376"/>
      <w:r>
        <w:rPr>
          <w:rFonts w:ascii="宋体" w:hAnsi="宋体"/>
          <w:szCs w:val="21"/>
        </w:rPr>
        <w:t>格式2.</w:t>
      </w:r>
      <w:bookmarkEnd w:id="1"/>
      <w:r>
        <w:rPr>
          <w:rFonts w:ascii="宋体" w:hAnsi="宋体"/>
          <w:szCs w:val="21"/>
        </w:rPr>
        <w:t xml:space="preserve"> 开标一览表格式</w:t>
      </w:r>
      <w:bookmarkEnd w:id="2"/>
    </w:p>
    <w:p>
      <w:pPr>
        <w:spacing w:before="120" w:after="240"/>
        <w:jc w:val="center"/>
        <w:rPr>
          <w:rFonts w:eastAsia="黑体"/>
          <w:sz w:val="30"/>
          <w:szCs w:val="30"/>
        </w:rPr>
      </w:pPr>
      <w:r>
        <w:rPr>
          <w:rFonts w:eastAsia="黑体"/>
          <w:sz w:val="30"/>
          <w:szCs w:val="30"/>
        </w:rPr>
        <w:t>开标一览表</w:t>
      </w:r>
    </w:p>
    <w:p>
      <w:pPr>
        <w:rPr>
          <w:szCs w:val="21"/>
          <w:u w:val="single"/>
        </w:rPr>
      </w:pPr>
      <w:r>
        <w:rPr>
          <w:szCs w:val="21"/>
        </w:rPr>
        <w:t>投标人名称</w:t>
      </w:r>
      <w:r>
        <w:rPr>
          <w:rFonts w:hint="eastAsia"/>
          <w:szCs w:val="21"/>
        </w:rPr>
        <w:t>：</w:t>
      </w:r>
      <w:r>
        <w:rPr>
          <w:szCs w:val="21"/>
          <w:u w:val="single"/>
        </w:rPr>
        <w:t xml:space="preserve">                        </w:t>
      </w:r>
      <w:r>
        <w:rPr>
          <w:szCs w:val="21"/>
        </w:rPr>
        <w:t xml:space="preserve">  </w:t>
      </w:r>
      <w:r>
        <w:rPr>
          <w:rFonts w:hint="eastAsia"/>
          <w:szCs w:val="21"/>
        </w:rPr>
        <w:t xml:space="preserve">                 </w:t>
      </w:r>
      <w:r>
        <w:rPr>
          <w:szCs w:val="21"/>
        </w:rPr>
        <w:t>招标编号</w:t>
      </w:r>
      <w:r>
        <w:rPr>
          <w:rFonts w:hint="eastAsia"/>
          <w:szCs w:val="21"/>
        </w:rPr>
        <w:t>：</w:t>
      </w:r>
      <w:r>
        <w:rPr>
          <w:szCs w:val="21"/>
          <w:u w:val="single"/>
        </w:rPr>
        <w:t xml:space="preserve">                           </w:t>
      </w:r>
      <w:r>
        <w:rPr>
          <w:szCs w:val="21"/>
        </w:rPr>
        <w:t xml:space="preserve">  </w:t>
      </w:r>
      <w:r>
        <w:rPr>
          <w:rFonts w:hint="eastAsia"/>
          <w:szCs w:val="21"/>
        </w:rPr>
        <w:t xml:space="preserve">                </w:t>
      </w:r>
      <w:r>
        <w:rPr>
          <w:szCs w:val="21"/>
        </w:rPr>
        <w:t>包号</w:t>
      </w:r>
      <w:r>
        <w:rPr>
          <w:rFonts w:hint="eastAsia"/>
          <w:szCs w:val="21"/>
        </w:rPr>
        <w:t xml:space="preserve">： </w:t>
      </w:r>
      <w:r>
        <w:rPr>
          <w:szCs w:val="21"/>
          <w:u w:val="single"/>
        </w:rPr>
        <w:t xml:space="preserve">         </w:t>
      </w:r>
    </w:p>
    <w:p>
      <w:pPr>
        <w:rPr>
          <w:szCs w:val="21"/>
        </w:rPr>
      </w:pPr>
    </w:p>
    <w:tbl>
      <w:tblPr>
        <w:tblStyle w:val="17"/>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3260"/>
        <w:gridCol w:w="3224"/>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center"/>
          </w:tcPr>
          <w:p>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Pr>
                <w:rFonts w:hint="eastAsia" w:ascii="宋体" w:hAnsi="宋体"/>
                <w:szCs w:val="21"/>
              </w:rPr>
              <w:t>投标总价</w:t>
            </w:r>
          </w:p>
        </w:tc>
        <w:tc>
          <w:tcPr>
            <w:tcW w:w="3260" w:type="dxa"/>
            <w:vAlign w:val="center"/>
          </w:tcPr>
          <w:p>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Pr>
                <w:rFonts w:hint="eastAsia" w:ascii="宋体" w:hAnsi="宋体"/>
                <w:szCs w:val="21"/>
              </w:rPr>
              <w:t>投标保证金</w:t>
            </w:r>
          </w:p>
        </w:tc>
        <w:tc>
          <w:tcPr>
            <w:tcW w:w="3224" w:type="dxa"/>
            <w:vAlign w:val="center"/>
          </w:tcPr>
          <w:p>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Pr>
                <w:rFonts w:hint="eastAsia" w:ascii="宋体" w:hAnsi="宋体"/>
                <w:bCs/>
                <w:szCs w:val="24"/>
              </w:rPr>
              <w:t>服务期限</w:t>
            </w:r>
          </w:p>
        </w:tc>
        <w:tc>
          <w:tcPr>
            <w:tcW w:w="1908" w:type="dxa"/>
            <w:vAlign w:val="center"/>
          </w:tcPr>
          <w:p>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tcPr>
          <w:p>
            <w:pPr>
              <w:tabs>
                <w:tab w:val="left" w:pos="654"/>
                <w:tab w:val="left" w:pos="1734"/>
                <w:tab w:val="left" w:pos="2814"/>
                <w:tab w:val="left" w:pos="3894"/>
                <w:tab w:val="left" w:pos="5334"/>
                <w:tab w:val="left" w:pos="6414"/>
                <w:tab w:val="left" w:pos="7254"/>
                <w:tab w:val="left" w:pos="8574"/>
                <w:tab w:val="left" w:pos="9654"/>
              </w:tabs>
              <w:rPr>
                <w:rFonts w:ascii="宋体" w:hAnsi="宋体"/>
                <w:szCs w:val="21"/>
              </w:rPr>
            </w:pPr>
          </w:p>
        </w:tc>
        <w:tc>
          <w:tcPr>
            <w:tcW w:w="3260" w:type="dxa"/>
          </w:tcPr>
          <w:p>
            <w:pPr>
              <w:tabs>
                <w:tab w:val="left" w:pos="654"/>
                <w:tab w:val="left" w:pos="1734"/>
                <w:tab w:val="left" w:pos="2814"/>
                <w:tab w:val="left" w:pos="3894"/>
                <w:tab w:val="left" w:pos="5334"/>
                <w:tab w:val="left" w:pos="6414"/>
                <w:tab w:val="left" w:pos="7254"/>
                <w:tab w:val="left" w:pos="8574"/>
                <w:tab w:val="left" w:pos="9654"/>
              </w:tabs>
              <w:rPr>
                <w:rFonts w:ascii="宋体" w:hAnsi="宋体"/>
                <w:szCs w:val="21"/>
              </w:rPr>
            </w:pPr>
          </w:p>
        </w:tc>
        <w:tc>
          <w:tcPr>
            <w:tcW w:w="3224" w:type="dxa"/>
          </w:tcPr>
          <w:p>
            <w:pPr>
              <w:tabs>
                <w:tab w:val="left" w:pos="654"/>
                <w:tab w:val="left" w:pos="1734"/>
                <w:tab w:val="left" w:pos="2814"/>
                <w:tab w:val="left" w:pos="3894"/>
                <w:tab w:val="left" w:pos="5334"/>
                <w:tab w:val="left" w:pos="6414"/>
                <w:tab w:val="left" w:pos="7254"/>
                <w:tab w:val="left" w:pos="8574"/>
                <w:tab w:val="left" w:pos="9654"/>
              </w:tabs>
              <w:rPr>
                <w:rFonts w:ascii="宋体" w:hAnsi="宋体"/>
                <w:szCs w:val="21"/>
              </w:rPr>
            </w:pPr>
          </w:p>
        </w:tc>
        <w:tc>
          <w:tcPr>
            <w:tcW w:w="1908" w:type="dxa"/>
          </w:tcPr>
          <w:p>
            <w:pPr>
              <w:tabs>
                <w:tab w:val="left" w:pos="654"/>
                <w:tab w:val="left" w:pos="1734"/>
                <w:tab w:val="left" w:pos="2814"/>
                <w:tab w:val="left" w:pos="3894"/>
                <w:tab w:val="left" w:pos="5334"/>
                <w:tab w:val="left" w:pos="6414"/>
                <w:tab w:val="left" w:pos="7254"/>
                <w:tab w:val="left" w:pos="8574"/>
                <w:tab w:val="left" w:pos="9654"/>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3"/>
            <w:vAlign w:val="center"/>
          </w:tcPr>
          <w:p>
            <w:pPr>
              <w:tabs>
                <w:tab w:val="left" w:pos="654"/>
                <w:tab w:val="left" w:pos="1734"/>
                <w:tab w:val="left" w:pos="2814"/>
                <w:tab w:val="left" w:pos="3894"/>
                <w:tab w:val="left" w:pos="5334"/>
                <w:tab w:val="left" w:pos="6414"/>
                <w:tab w:val="left" w:pos="7254"/>
                <w:tab w:val="left" w:pos="8574"/>
                <w:tab w:val="left" w:pos="9654"/>
              </w:tabs>
              <w:rPr>
                <w:rFonts w:ascii="宋体" w:hAnsi="宋体"/>
                <w:szCs w:val="21"/>
              </w:rPr>
            </w:pPr>
            <w:r>
              <w:rPr>
                <w:rFonts w:hint="eastAsia" w:ascii="宋体" w:hAnsi="宋体"/>
                <w:szCs w:val="21"/>
              </w:rPr>
              <w:t>投标总价（人民币大写）：</w:t>
            </w:r>
          </w:p>
        </w:tc>
        <w:tc>
          <w:tcPr>
            <w:tcW w:w="1908" w:type="dxa"/>
          </w:tcPr>
          <w:p>
            <w:pPr>
              <w:tabs>
                <w:tab w:val="left" w:pos="654"/>
                <w:tab w:val="left" w:pos="1734"/>
                <w:tab w:val="left" w:pos="2814"/>
                <w:tab w:val="left" w:pos="3894"/>
                <w:tab w:val="left" w:pos="5334"/>
                <w:tab w:val="left" w:pos="6414"/>
                <w:tab w:val="left" w:pos="7254"/>
                <w:tab w:val="left" w:pos="8574"/>
                <w:tab w:val="left" w:pos="9654"/>
              </w:tabs>
              <w:rPr>
                <w:rFonts w:ascii="宋体" w:hAnsi="宋体"/>
                <w:szCs w:val="21"/>
              </w:rPr>
            </w:pPr>
          </w:p>
        </w:tc>
      </w:tr>
    </w:tbl>
    <w:p>
      <w:pPr>
        <w:tabs>
          <w:tab w:val="left" w:pos="654"/>
          <w:tab w:val="left" w:pos="1734"/>
          <w:tab w:val="left" w:pos="2814"/>
          <w:tab w:val="left" w:pos="3894"/>
          <w:tab w:val="left" w:pos="5334"/>
          <w:tab w:val="left" w:pos="6414"/>
          <w:tab w:val="left" w:pos="7254"/>
          <w:tab w:val="left" w:pos="8574"/>
          <w:tab w:val="left" w:pos="9654"/>
        </w:tabs>
        <w:rPr>
          <w:szCs w:val="21"/>
        </w:rPr>
      </w:pPr>
    </w:p>
    <w:p>
      <w:pPr>
        <w:tabs>
          <w:tab w:val="left" w:pos="654"/>
          <w:tab w:val="left" w:pos="1734"/>
          <w:tab w:val="left" w:pos="2814"/>
          <w:tab w:val="left" w:pos="3894"/>
          <w:tab w:val="left" w:pos="5334"/>
          <w:tab w:val="left" w:pos="6414"/>
          <w:tab w:val="left" w:pos="7254"/>
          <w:tab w:val="left" w:pos="8574"/>
          <w:tab w:val="left" w:pos="9654"/>
        </w:tabs>
        <w:rPr>
          <w:szCs w:val="21"/>
          <w:u w:val="single"/>
        </w:rPr>
      </w:pPr>
      <w:r>
        <w:rPr>
          <w:szCs w:val="21"/>
        </w:rPr>
        <w:t>法人代表或被授权人签字</w:t>
      </w:r>
      <w:r>
        <w:rPr>
          <w:rFonts w:hint="eastAsia"/>
          <w:szCs w:val="21"/>
        </w:rPr>
        <w:t>：</w:t>
      </w:r>
      <w:r>
        <w:rPr>
          <w:szCs w:val="21"/>
          <w:u w:val="single"/>
        </w:rPr>
        <w:t xml:space="preserve">                          </w:t>
      </w:r>
      <w:r>
        <w:rPr>
          <w:szCs w:val="21"/>
        </w:rPr>
        <w:t xml:space="preserve">                                                     单位盖章：</w:t>
      </w:r>
      <w:r>
        <w:rPr>
          <w:szCs w:val="21"/>
          <w:u w:val="single"/>
        </w:rPr>
        <w:t xml:space="preserve">                        </w:t>
      </w:r>
    </w:p>
    <w:p>
      <w:pPr>
        <w:tabs>
          <w:tab w:val="left" w:pos="654"/>
          <w:tab w:val="left" w:pos="1734"/>
          <w:tab w:val="left" w:pos="2814"/>
          <w:tab w:val="left" w:pos="3894"/>
          <w:tab w:val="left" w:pos="5334"/>
          <w:tab w:val="left" w:pos="6414"/>
          <w:tab w:val="left" w:pos="7254"/>
          <w:tab w:val="left" w:pos="8574"/>
          <w:tab w:val="left" w:pos="9654"/>
        </w:tabs>
        <w:rPr>
          <w:szCs w:val="21"/>
          <w:u w:val="single"/>
        </w:rPr>
      </w:pPr>
    </w:p>
    <w:p>
      <w:pPr>
        <w:rPr>
          <w:rFonts w:ascii="宋体" w:hAnsi="宋体"/>
          <w:bCs/>
          <w:sz w:val="24"/>
          <w:szCs w:val="24"/>
        </w:rPr>
      </w:pPr>
      <w:r>
        <w:rPr>
          <w:rFonts w:ascii="宋体" w:hAnsi="宋体"/>
          <w:szCs w:val="21"/>
        </w:rPr>
        <w:br w:type="page"/>
      </w:r>
    </w:p>
    <w:p>
      <w:pPr>
        <w:rPr>
          <w:rFonts w:ascii="宋体" w:hAnsi="宋体"/>
          <w:szCs w:val="21"/>
        </w:rPr>
      </w:pPr>
      <w:r>
        <w:rPr>
          <w:rFonts w:ascii="宋体" w:hAnsi="宋体"/>
          <w:szCs w:val="21"/>
        </w:rPr>
        <w:t>格式3. 投标分项报价表格式</w:t>
      </w:r>
    </w:p>
    <w:p>
      <w:pPr>
        <w:spacing w:before="120" w:after="240"/>
        <w:jc w:val="center"/>
        <w:rPr>
          <w:rFonts w:eastAsia="黑体"/>
          <w:sz w:val="30"/>
          <w:szCs w:val="30"/>
        </w:rPr>
      </w:pPr>
      <w:bookmarkStart w:id="3" w:name="_Toc211248414"/>
      <w:r>
        <w:rPr>
          <w:rFonts w:eastAsia="黑体"/>
          <w:sz w:val="30"/>
          <w:szCs w:val="30"/>
        </w:rPr>
        <w:t>投标分项报价表</w:t>
      </w:r>
      <w:bookmarkEnd w:id="3"/>
    </w:p>
    <w:p>
      <w:pPr>
        <w:tabs>
          <w:tab w:val="left" w:pos="654"/>
          <w:tab w:val="left" w:pos="1734"/>
          <w:tab w:val="left" w:pos="2814"/>
          <w:tab w:val="left" w:pos="3894"/>
          <w:tab w:val="left" w:pos="5334"/>
          <w:tab w:val="left" w:pos="6414"/>
          <w:tab w:val="left" w:pos="7254"/>
          <w:tab w:val="left" w:pos="8574"/>
          <w:tab w:val="left" w:pos="9654"/>
        </w:tabs>
        <w:jc w:val="center"/>
        <w:rPr>
          <w:rFonts w:eastAsia="黑体"/>
          <w:szCs w:val="21"/>
        </w:rPr>
      </w:pPr>
    </w:p>
    <w:p>
      <w:pPr>
        <w:spacing w:after="80"/>
        <w:rPr>
          <w:szCs w:val="21"/>
          <w:u w:val="single"/>
        </w:rPr>
      </w:pPr>
      <w:r>
        <w:rPr>
          <w:szCs w:val="21"/>
        </w:rPr>
        <w:t>投标人名称：</w:t>
      </w:r>
      <w:r>
        <w:rPr>
          <w:szCs w:val="21"/>
          <w:u w:val="single"/>
        </w:rPr>
        <w:t xml:space="preserve">                        </w:t>
      </w:r>
      <w:r>
        <w:rPr>
          <w:szCs w:val="21"/>
        </w:rPr>
        <w:t xml:space="preserve">                                                        招标编号：</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tbl>
      <w:tblPr>
        <w:tblStyle w:val="17"/>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13144" w:type="dxa"/>
            <w:vAlign w:val="center"/>
          </w:tcPr>
          <w:p>
            <w:pPr>
              <w:spacing w:after="80"/>
              <w:jc w:val="center"/>
              <w:rPr>
                <w:szCs w:val="21"/>
              </w:rPr>
            </w:pPr>
            <w:r>
              <w:rPr>
                <w:rFonts w:hint="eastAsia" w:ascii="宋体" w:hAnsi="宋体"/>
                <w:szCs w:val="21"/>
              </w:rPr>
              <w:t>投标人招标文件内容自行制作</w:t>
            </w:r>
            <w:r>
              <w:rPr>
                <w:rFonts w:ascii="宋体" w:hAnsi="宋体"/>
                <w:szCs w:val="21"/>
              </w:rPr>
              <w:t>投标分项报价表</w:t>
            </w:r>
          </w:p>
        </w:tc>
      </w:tr>
    </w:tbl>
    <w:p>
      <w:pPr>
        <w:rPr>
          <w:szCs w:val="21"/>
          <w:u w:val="single"/>
        </w:rPr>
      </w:pPr>
    </w:p>
    <w:p>
      <w:pPr>
        <w:rPr>
          <w:szCs w:val="21"/>
          <w:u w:val="single"/>
        </w:rPr>
      </w:pPr>
    </w:p>
    <w:p>
      <w:pPr>
        <w:rPr>
          <w:szCs w:val="21"/>
          <w:u w:val="single"/>
        </w:rPr>
      </w:pPr>
      <w:r>
        <w:rPr>
          <w:szCs w:val="21"/>
        </w:rPr>
        <w:t>法人代表或被授权人签字</w:t>
      </w:r>
      <w:r>
        <w:rPr>
          <w:rFonts w:hint="eastAsia"/>
          <w:szCs w:val="21"/>
        </w:rPr>
        <w:t>：</w:t>
      </w:r>
      <w:r>
        <w:rPr>
          <w:szCs w:val="21"/>
          <w:u w:val="single"/>
        </w:rPr>
        <w:t xml:space="preserve">                          </w:t>
      </w:r>
      <w:r>
        <w:rPr>
          <w:szCs w:val="21"/>
        </w:rPr>
        <w:t xml:space="preserve">                                                  单位盖章：</w:t>
      </w:r>
      <w:r>
        <w:rPr>
          <w:szCs w:val="21"/>
          <w:u w:val="single"/>
        </w:rPr>
        <w:t xml:space="preserve">                       </w:t>
      </w:r>
    </w:p>
    <w:p>
      <w:pPr>
        <w:rPr>
          <w:rFonts w:ascii="宋体" w:hAnsi="宋体"/>
          <w:szCs w:val="21"/>
        </w:rPr>
      </w:pPr>
      <w:r>
        <w:rPr>
          <w:rFonts w:ascii="宋体" w:hAnsi="宋体"/>
          <w:szCs w:val="21"/>
        </w:rPr>
        <w:t>注：1、如果分项报价与总价不一致，以总价为准。</w:t>
      </w:r>
    </w:p>
    <w:p>
      <w:pPr>
        <w:rPr>
          <w:rFonts w:ascii="宋体" w:hAnsi="宋体"/>
          <w:szCs w:val="21"/>
        </w:rPr>
      </w:pPr>
      <w:r>
        <w:rPr>
          <w:rFonts w:ascii="宋体" w:hAnsi="宋体"/>
          <w:szCs w:val="21"/>
        </w:rPr>
        <w:t xml:space="preserve">    2、如果不提供详细分项报价将视为没有实质性相应招标文件。</w:t>
      </w:r>
    </w:p>
    <w:p>
      <w:pPr>
        <w:rPr>
          <w:rFonts w:ascii="宋体" w:hAnsi="宋体"/>
          <w:szCs w:val="21"/>
        </w:rPr>
        <w:sectPr>
          <w:headerReference r:id="rId7" w:type="default"/>
          <w:footerReference r:id="rId8" w:type="default"/>
          <w:footerReference r:id="rId9" w:type="even"/>
          <w:pgSz w:w="16840" w:h="11907" w:orient="landscape"/>
          <w:pgMar w:top="1440" w:right="1797" w:bottom="1440" w:left="1797" w:header="851" w:footer="992" w:gutter="0"/>
          <w:cols w:space="720" w:num="1"/>
          <w:docGrid w:linePitch="462" w:charSpace="0"/>
        </w:sectPr>
      </w:pPr>
      <w:r>
        <w:rPr>
          <w:rFonts w:ascii="宋体" w:hAnsi="宋体"/>
          <w:szCs w:val="21"/>
        </w:rPr>
        <w:t xml:space="preserve">    3、总计价应等于“开标一览表”中的投标总价</w:t>
      </w:r>
    </w:p>
    <w:p>
      <w:pPr>
        <w:rPr>
          <w:rFonts w:ascii="宋体" w:hAnsi="宋体"/>
          <w:szCs w:val="21"/>
        </w:rPr>
      </w:pPr>
      <w:bookmarkStart w:id="4" w:name="_Toc211243319"/>
      <w:bookmarkStart w:id="5" w:name="_Toc311468378"/>
      <w:r>
        <w:rPr>
          <w:rFonts w:ascii="宋体" w:hAnsi="宋体"/>
          <w:szCs w:val="21"/>
        </w:rPr>
        <w:t>格式</w:t>
      </w:r>
      <w:r>
        <w:rPr>
          <w:rFonts w:hint="eastAsia" w:ascii="宋体" w:hAnsi="宋体"/>
          <w:szCs w:val="21"/>
        </w:rPr>
        <w:t>4</w:t>
      </w:r>
      <w:r>
        <w:rPr>
          <w:rFonts w:ascii="宋体" w:hAnsi="宋体"/>
          <w:szCs w:val="21"/>
        </w:rPr>
        <w:t>.</w:t>
      </w:r>
      <w:bookmarkEnd w:id="4"/>
      <w:r>
        <w:rPr>
          <w:rFonts w:ascii="宋体" w:hAnsi="宋体"/>
          <w:szCs w:val="21"/>
        </w:rPr>
        <w:t xml:space="preserve"> 技术</w:t>
      </w:r>
      <w:r>
        <w:rPr>
          <w:rFonts w:hint="eastAsia" w:ascii="宋体" w:hAnsi="宋体"/>
          <w:szCs w:val="21"/>
        </w:rPr>
        <w:t>需求</w:t>
      </w:r>
      <w:r>
        <w:rPr>
          <w:rFonts w:ascii="宋体" w:hAnsi="宋体"/>
          <w:szCs w:val="21"/>
        </w:rPr>
        <w:t>响应/偏离表</w:t>
      </w:r>
      <w:bookmarkEnd w:id="5"/>
    </w:p>
    <w:p>
      <w:pPr>
        <w:spacing w:before="240" w:after="240"/>
        <w:jc w:val="center"/>
        <w:rPr>
          <w:rFonts w:eastAsia="黑体"/>
          <w:sz w:val="30"/>
          <w:szCs w:val="30"/>
        </w:rPr>
      </w:pPr>
      <w:r>
        <w:rPr>
          <w:rFonts w:eastAsia="黑体"/>
          <w:sz w:val="30"/>
          <w:szCs w:val="30"/>
        </w:rPr>
        <w:t>技术</w:t>
      </w:r>
      <w:r>
        <w:rPr>
          <w:rFonts w:hint="eastAsia" w:eastAsia="黑体"/>
          <w:sz w:val="30"/>
          <w:szCs w:val="30"/>
        </w:rPr>
        <w:t>需求</w:t>
      </w:r>
      <w:r>
        <w:rPr>
          <w:rFonts w:eastAsia="黑体"/>
          <w:sz w:val="30"/>
          <w:szCs w:val="30"/>
        </w:rPr>
        <w:t>响应/偏离表</w:t>
      </w:r>
    </w:p>
    <w:p>
      <w:pPr>
        <w:rPr>
          <w:szCs w:val="21"/>
          <w:u w:val="single"/>
        </w:rPr>
      </w:pPr>
      <w:r>
        <w:rPr>
          <w:szCs w:val="21"/>
        </w:rPr>
        <w:t>投标人名称：</w:t>
      </w:r>
      <w:r>
        <w:rPr>
          <w:szCs w:val="21"/>
          <w:u w:val="single"/>
        </w:rPr>
        <w:t xml:space="preserve">                          </w:t>
      </w:r>
      <w:r>
        <w:rPr>
          <w:szCs w:val="21"/>
        </w:rPr>
        <w:t xml:space="preserve">          </w:t>
      </w:r>
      <w:r>
        <w:rPr>
          <w:rFonts w:hint="eastAsia"/>
          <w:szCs w:val="21"/>
        </w:rPr>
        <w:t xml:space="preserve">    </w:t>
      </w:r>
      <w:r>
        <w:rPr>
          <w:szCs w:val="21"/>
        </w:rPr>
        <w:t>招标编号：</w:t>
      </w:r>
      <w:r>
        <w:rPr>
          <w:szCs w:val="21"/>
          <w:u w:val="single"/>
        </w:rPr>
        <w:t xml:space="preserve">         </w:t>
      </w:r>
      <w:r>
        <w:rPr>
          <w:rFonts w:hint="eastAsia"/>
          <w:szCs w:val="21"/>
          <w:u w:val="single"/>
        </w:rPr>
        <w:t xml:space="preserve">    </w:t>
      </w:r>
      <w:r>
        <w:rPr>
          <w:szCs w:val="21"/>
          <w:u w:val="single"/>
        </w:rPr>
        <w:t xml:space="preserve">    </w:t>
      </w:r>
    </w:p>
    <w:tbl>
      <w:tblPr>
        <w:tblStyle w:val="17"/>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sz w:val="24"/>
                <w:szCs w:val="24"/>
              </w:rPr>
            </w:pPr>
            <w:r>
              <w:rPr>
                <w:rFonts w:hint="eastAsia"/>
                <w:szCs w:val="24"/>
              </w:rPr>
              <w:t>项目</w:t>
            </w:r>
            <w:r>
              <w:rPr>
                <w:szCs w:val="24"/>
              </w:rPr>
              <w:t>名称</w:t>
            </w:r>
          </w:p>
        </w:tc>
        <w:tc>
          <w:tcPr>
            <w:tcW w:w="1980" w:type="dxa"/>
            <w:vAlign w:val="center"/>
          </w:tcPr>
          <w:p>
            <w:pPr>
              <w:jc w:val="center"/>
              <w:rPr>
                <w:szCs w:val="24"/>
              </w:rPr>
            </w:pPr>
            <w:r>
              <w:rPr>
                <w:szCs w:val="24"/>
              </w:rPr>
              <w:t>招标文件技术需求</w:t>
            </w:r>
          </w:p>
        </w:tc>
        <w:tc>
          <w:tcPr>
            <w:tcW w:w="1832" w:type="dxa"/>
            <w:vAlign w:val="center"/>
          </w:tcPr>
          <w:p>
            <w:pPr>
              <w:jc w:val="center"/>
              <w:rPr>
                <w:sz w:val="24"/>
                <w:szCs w:val="24"/>
              </w:rPr>
            </w:pPr>
            <w:r>
              <w:rPr>
                <w:szCs w:val="24"/>
              </w:rPr>
              <w:t>投标人响应情况</w:t>
            </w:r>
          </w:p>
        </w:tc>
        <w:tc>
          <w:tcPr>
            <w:tcW w:w="1675" w:type="dxa"/>
            <w:vAlign w:val="center"/>
          </w:tcPr>
          <w:p>
            <w:pPr>
              <w:jc w:val="center"/>
              <w:rPr>
                <w:szCs w:val="24"/>
              </w:rPr>
            </w:pPr>
            <w:r>
              <w:rPr>
                <w:szCs w:val="24"/>
              </w:rPr>
              <w:t>是否有偏离</w:t>
            </w:r>
          </w:p>
          <w:p>
            <w:pPr>
              <w:jc w:val="center"/>
              <w:rPr>
                <w:sz w:val="24"/>
                <w:szCs w:val="24"/>
              </w:rPr>
            </w:pPr>
            <w:r>
              <w:rPr>
                <w:szCs w:val="24"/>
              </w:rPr>
              <w:t>（填写有/无）</w:t>
            </w:r>
          </w:p>
        </w:tc>
        <w:tc>
          <w:tcPr>
            <w:tcW w:w="1673" w:type="dxa"/>
            <w:vAlign w:val="center"/>
          </w:tcPr>
          <w:p>
            <w:pPr>
              <w:jc w:val="center"/>
              <w:rPr>
                <w:sz w:val="24"/>
                <w:szCs w:val="24"/>
              </w:rPr>
            </w:pPr>
            <w:r>
              <w:rPr>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rFonts w:ascii="宋体" w:hAnsi="宋体"/>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bl>
    <w:p>
      <w:pPr>
        <w:rPr>
          <w:rFonts w:ascii="宋体" w:hAnsi="宋体"/>
          <w:szCs w:val="21"/>
          <w:u w:val="single"/>
        </w:rPr>
      </w:pPr>
    </w:p>
    <w:p>
      <w:pPr>
        <w:rPr>
          <w:rFonts w:ascii="宋体" w:hAnsi="宋体"/>
          <w:sz w:val="18"/>
          <w:szCs w:val="24"/>
        </w:rPr>
      </w:pPr>
      <w:r>
        <w:rPr>
          <w:rFonts w:ascii="宋体" w:hAnsi="宋体"/>
          <w:sz w:val="18"/>
          <w:szCs w:val="24"/>
        </w:rPr>
        <w:t>填报说明：</w:t>
      </w:r>
    </w:p>
    <w:p>
      <w:pPr>
        <w:rPr>
          <w:rFonts w:ascii="宋体" w:hAnsi="宋体"/>
          <w:sz w:val="18"/>
          <w:szCs w:val="24"/>
        </w:rPr>
      </w:pPr>
      <w:r>
        <w:rPr>
          <w:rFonts w:ascii="宋体" w:hAnsi="宋体"/>
          <w:sz w:val="18"/>
          <w:szCs w:val="24"/>
        </w:rPr>
        <w:t>1</w:t>
      </w:r>
      <w:r>
        <w:rPr>
          <w:rFonts w:hint="eastAsia" w:ascii="宋体" w:hAnsi="宋体"/>
          <w:sz w:val="18"/>
          <w:szCs w:val="24"/>
        </w:rPr>
        <w:t>、</w:t>
      </w:r>
      <w:r>
        <w:rPr>
          <w:rFonts w:ascii="宋体" w:hAnsi="宋体"/>
          <w:sz w:val="18"/>
          <w:szCs w:val="24"/>
        </w:rPr>
        <w:t>本表中的《招标文件技术需求》来自招标文件第二章“</w:t>
      </w:r>
      <w:r>
        <w:rPr>
          <w:rFonts w:ascii="宋体" w:hAnsi="宋体"/>
          <w:bCs/>
          <w:kern w:val="0"/>
          <w:sz w:val="18"/>
          <w:szCs w:val="18"/>
          <w:lang w:val="zh-CN"/>
        </w:rPr>
        <w:t>技术</w:t>
      </w:r>
      <w:r>
        <w:rPr>
          <w:rFonts w:ascii="宋体" w:hAnsi="宋体"/>
          <w:sz w:val="18"/>
          <w:szCs w:val="18"/>
        </w:rPr>
        <w:t>需求明细”</w:t>
      </w:r>
      <w:r>
        <w:rPr>
          <w:rFonts w:ascii="宋体" w:hAnsi="宋体"/>
          <w:sz w:val="18"/>
          <w:szCs w:val="24"/>
        </w:rPr>
        <w:t>，投标人须逐条填写在本表中，并</w:t>
      </w:r>
      <w:r>
        <w:rPr>
          <w:rFonts w:hint="eastAsia" w:ascii="宋体" w:hAnsi="宋体"/>
          <w:sz w:val="18"/>
          <w:szCs w:val="24"/>
        </w:rPr>
        <w:t>做出</w:t>
      </w:r>
      <w:r>
        <w:rPr>
          <w:rFonts w:ascii="宋体" w:hAnsi="宋体"/>
          <w:sz w:val="18"/>
          <w:szCs w:val="24"/>
        </w:rPr>
        <w:t>响应。</w:t>
      </w:r>
    </w:p>
    <w:p>
      <w:pPr>
        <w:rPr>
          <w:rFonts w:ascii="宋体" w:hAnsi="宋体"/>
          <w:sz w:val="18"/>
          <w:szCs w:val="24"/>
        </w:rPr>
      </w:pPr>
      <w:r>
        <w:rPr>
          <w:rFonts w:ascii="宋体" w:hAnsi="宋体"/>
          <w:sz w:val="18"/>
          <w:szCs w:val="24"/>
        </w:rPr>
        <w:t>2</w:t>
      </w:r>
      <w:r>
        <w:rPr>
          <w:rFonts w:hint="eastAsia" w:ascii="宋体" w:hAnsi="宋体"/>
          <w:sz w:val="18"/>
          <w:szCs w:val="24"/>
        </w:rPr>
        <w:t>、</w:t>
      </w:r>
      <w:r>
        <w:rPr>
          <w:rFonts w:ascii="宋体" w:hAnsi="宋体"/>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rPr>
          <w:rFonts w:ascii="宋体" w:hAnsi="宋体"/>
          <w:sz w:val="18"/>
          <w:szCs w:val="24"/>
        </w:rPr>
      </w:pPr>
      <w:r>
        <w:rPr>
          <w:rFonts w:ascii="宋体" w:hAnsi="宋体"/>
          <w:sz w:val="18"/>
          <w:szCs w:val="24"/>
        </w:rPr>
        <w:t>3</w:t>
      </w:r>
      <w:r>
        <w:rPr>
          <w:rFonts w:hint="eastAsia" w:ascii="宋体" w:hAnsi="宋体"/>
          <w:sz w:val="18"/>
          <w:szCs w:val="24"/>
        </w:rPr>
        <w:t>、</w:t>
      </w:r>
      <w:r>
        <w:rPr>
          <w:rFonts w:ascii="宋体" w:hAnsi="宋体"/>
          <w:sz w:val="18"/>
          <w:szCs w:val="24"/>
        </w:rPr>
        <w:t>《有/无偏离》栏只需填“有”或“无”，填“有”的可以在其后《</w:t>
      </w:r>
      <w:r>
        <w:rPr>
          <w:rFonts w:hint="eastAsia" w:ascii="宋体" w:hAnsi="宋体"/>
          <w:sz w:val="18"/>
          <w:szCs w:val="24"/>
        </w:rPr>
        <w:t>偏离</w:t>
      </w:r>
      <w:r>
        <w:rPr>
          <w:rFonts w:ascii="宋体" w:hAnsi="宋体"/>
          <w:sz w:val="18"/>
          <w:szCs w:val="24"/>
        </w:rPr>
        <w:t>说明》栏中作出说明。</w:t>
      </w:r>
    </w:p>
    <w:p>
      <w:pPr>
        <w:rPr>
          <w:rFonts w:ascii="宋体" w:hAnsi="宋体"/>
          <w:szCs w:val="21"/>
        </w:rPr>
      </w:pPr>
    </w:p>
    <w:p>
      <w:pPr>
        <w:rPr>
          <w:rFonts w:ascii="宋体" w:hAnsi="宋体"/>
          <w:bCs/>
          <w:sz w:val="24"/>
          <w:szCs w:val="24"/>
        </w:rPr>
      </w:pPr>
      <w:r>
        <w:rPr>
          <w:rFonts w:ascii="宋体" w:hAnsi="宋体"/>
          <w:szCs w:val="21"/>
        </w:rPr>
        <w:t>法人代表或被授权人签字</w:t>
      </w:r>
      <w:r>
        <w:rPr>
          <w:rFonts w:hint="eastAsia" w:ascii="宋体" w:hAnsi="宋体"/>
          <w:szCs w:val="21"/>
        </w:rPr>
        <w:t>：</w:t>
      </w:r>
      <w:r>
        <w:rPr>
          <w:rFonts w:ascii="宋体" w:hAnsi="宋体"/>
          <w:szCs w:val="21"/>
          <w:u w:val="single"/>
        </w:rPr>
        <w:t xml:space="preserve">                        </w:t>
      </w:r>
      <w:r>
        <w:rPr>
          <w:rFonts w:ascii="宋体" w:hAnsi="宋体"/>
          <w:szCs w:val="21"/>
        </w:rPr>
        <w:t xml:space="preserve">           </w:t>
      </w:r>
    </w:p>
    <w:p>
      <w:pPr>
        <w:rPr>
          <w:rFonts w:ascii="宋体" w:hAnsi="宋体"/>
          <w:bCs/>
          <w:sz w:val="24"/>
          <w:szCs w:val="24"/>
        </w:rPr>
      </w:pPr>
    </w:p>
    <w:p>
      <w:pPr>
        <w:rPr>
          <w:rFonts w:ascii="宋体" w:hAnsi="宋体"/>
          <w:bCs/>
          <w:sz w:val="24"/>
          <w:szCs w:val="24"/>
        </w:rPr>
      </w:pPr>
    </w:p>
    <w:p>
      <w:pPr>
        <w:rPr>
          <w:rFonts w:ascii="宋体" w:hAnsi="宋体"/>
          <w:bCs/>
          <w:sz w:val="24"/>
          <w:szCs w:val="24"/>
        </w:rPr>
      </w:pPr>
    </w:p>
    <w:p>
      <w:pPr>
        <w:rPr>
          <w:rFonts w:ascii="宋体" w:hAnsi="宋体"/>
          <w:bCs/>
          <w:sz w:val="24"/>
          <w:szCs w:val="24"/>
        </w:rPr>
      </w:pPr>
    </w:p>
    <w:p>
      <w:pPr>
        <w:rPr>
          <w:rFonts w:ascii="宋体" w:hAnsi="宋体"/>
          <w:bCs/>
          <w:sz w:val="24"/>
          <w:szCs w:val="24"/>
        </w:rPr>
      </w:pPr>
    </w:p>
    <w:p>
      <w:pPr>
        <w:rPr>
          <w:rFonts w:ascii="宋体" w:hAnsi="宋体"/>
          <w:szCs w:val="21"/>
        </w:rPr>
      </w:pPr>
      <w:r>
        <w:rPr>
          <w:rFonts w:ascii="宋体" w:hAnsi="宋体"/>
          <w:szCs w:val="21"/>
        </w:rPr>
        <w:t>格式</w:t>
      </w:r>
      <w:r>
        <w:rPr>
          <w:rFonts w:hint="eastAsia" w:ascii="宋体" w:hAnsi="宋体"/>
          <w:szCs w:val="21"/>
        </w:rPr>
        <w:t>5.</w:t>
      </w:r>
      <w:r>
        <w:rPr>
          <w:rFonts w:ascii="宋体" w:hAnsi="宋体"/>
          <w:szCs w:val="21"/>
        </w:rPr>
        <w:t xml:space="preserve"> 商务条款响应/偏离表格式</w:t>
      </w:r>
    </w:p>
    <w:p>
      <w:pPr>
        <w:spacing w:before="240" w:after="240"/>
        <w:jc w:val="center"/>
        <w:rPr>
          <w:rFonts w:eastAsia="黑体"/>
          <w:sz w:val="30"/>
          <w:szCs w:val="30"/>
        </w:rPr>
      </w:pPr>
      <w:bookmarkStart w:id="6" w:name="_Toc211248420"/>
      <w:r>
        <w:rPr>
          <w:rFonts w:eastAsia="黑体"/>
          <w:sz w:val="30"/>
          <w:szCs w:val="30"/>
        </w:rPr>
        <w:t>商务条款响应/偏离表</w:t>
      </w:r>
      <w:bookmarkEnd w:id="6"/>
    </w:p>
    <w:p>
      <w:pPr>
        <w:rPr>
          <w:szCs w:val="21"/>
          <w:u w:val="single"/>
        </w:rPr>
      </w:pPr>
      <w:r>
        <w:rPr>
          <w:szCs w:val="21"/>
        </w:rPr>
        <w:t>投标人名称：</w:t>
      </w:r>
      <w:r>
        <w:rPr>
          <w:szCs w:val="21"/>
          <w:u w:val="single"/>
        </w:rPr>
        <w:t xml:space="preserve">                          </w:t>
      </w:r>
      <w:r>
        <w:rPr>
          <w:szCs w:val="21"/>
        </w:rPr>
        <w:t xml:space="preserve">         </w:t>
      </w:r>
      <w:r>
        <w:rPr>
          <w:rFonts w:hint="eastAsia"/>
          <w:szCs w:val="21"/>
        </w:rPr>
        <w:t xml:space="preserve">   </w:t>
      </w:r>
      <w:r>
        <w:rPr>
          <w:szCs w:val="21"/>
        </w:rPr>
        <w:t>招标编号：</w:t>
      </w:r>
      <w:r>
        <w:rPr>
          <w:szCs w:val="21"/>
          <w:u w:val="single"/>
        </w:rPr>
        <w:t xml:space="preserve">               </w:t>
      </w:r>
      <w:r>
        <w:rPr>
          <w:rFonts w:hint="eastAsia"/>
          <w:szCs w:val="21"/>
          <w:u w:val="single"/>
        </w:rPr>
        <w:t xml:space="preserve">   </w:t>
      </w:r>
    </w:p>
    <w:tbl>
      <w:tblPr>
        <w:tblStyle w:val="17"/>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sz w:val="24"/>
                <w:szCs w:val="24"/>
              </w:rPr>
            </w:pPr>
            <w:r>
              <w:rPr>
                <w:szCs w:val="24"/>
              </w:rPr>
              <w:t>需求名称</w:t>
            </w:r>
          </w:p>
        </w:tc>
        <w:tc>
          <w:tcPr>
            <w:tcW w:w="1980" w:type="dxa"/>
            <w:vAlign w:val="center"/>
          </w:tcPr>
          <w:p>
            <w:pPr>
              <w:jc w:val="center"/>
              <w:rPr>
                <w:sz w:val="24"/>
                <w:szCs w:val="24"/>
              </w:rPr>
            </w:pPr>
            <w:r>
              <w:rPr>
                <w:szCs w:val="24"/>
              </w:rPr>
              <w:t>招标文件商务需求</w:t>
            </w:r>
          </w:p>
        </w:tc>
        <w:tc>
          <w:tcPr>
            <w:tcW w:w="1832" w:type="dxa"/>
            <w:vAlign w:val="center"/>
          </w:tcPr>
          <w:p>
            <w:pPr>
              <w:jc w:val="center"/>
              <w:rPr>
                <w:sz w:val="24"/>
                <w:szCs w:val="24"/>
              </w:rPr>
            </w:pPr>
            <w:r>
              <w:rPr>
                <w:szCs w:val="24"/>
              </w:rPr>
              <w:t>投标人响应情况</w:t>
            </w:r>
          </w:p>
        </w:tc>
        <w:tc>
          <w:tcPr>
            <w:tcW w:w="1675" w:type="dxa"/>
            <w:vAlign w:val="center"/>
          </w:tcPr>
          <w:p>
            <w:pPr>
              <w:jc w:val="center"/>
              <w:rPr>
                <w:szCs w:val="24"/>
              </w:rPr>
            </w:pPr>
            <w:r>
              <w:rPr>
                <w:szCs w:val="24"/>
              </w:rPr>
              <w:t>是否有偏离</w:t>
            </w:r>
          </w:p>
          <w:p>
            <w:pPr>
              <w:jc w:val="center"/>
              <w:rPr>
                <w:sz w:val="24"/>
                <w:szCs w:val="24"/>
              </w:rPr>
            </w:pPr>
            <w:r>
              <w:rPr>
                <w:szCs w:val="24"/>
              </w:rPr>
              <w:t>（填写有/无）</w:t>
            </w:r>
          </w:p>
        </w:tc>
        <w:tc>
          <w:tcPr>
            <w:tcW w:w="1673" w:type="dxa"/>
            <w:vAlign w:val="center"/>
          </w:tcPr>
          <w:p>
            <w:pPr>
              <w:jc w:val="center"/>
              <w:rPr>
                <w:sz w:val="24"/>
                <w:szCs w:val="24"/>
              </w:rPr>
            </w:pPr>
            <w:r>
              <w:rPr>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rFonts w:ascii="宋体" w:hAnsi="宋体"/>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rPr>
                <w:szCs w:val="21"/>
                <w:u w:val="single"/>
              </w:rPr>
            </w:pPr>
          </w:p>
        </w:tc>
        <w:tc>
          <w:tcPr>
            <w:tcW w:w="1980" w:type="dxa"/>
          </w:tcPr>
          <w:p>
            <w:pPr>
              <w:rPr>
                <w:szCs w:val="21"/>
                <w:u w:val="single"/>
              </w:rPr>
            </w:pPr>
          </w:p>
        </w:tc>
        <w:tc>
          <w:tcPr>
            <w:tcW w:w="1832" w:type="dxa"/>
          </w:tcPr>
          <w:p>
            <w:pPr>
              <w:rPr>
                <w:szCs w:val="21"/>
                <w:u w:val="single"/>
              </w:rPr>
            </w:pPr>
          </w:p>
        </w:tc>
        <w:tc>
          <w:tcPr>
            <w:tcW w:w="1675" w:type="dxa"/>
          </w:tcPr>
          <w:p>
            <w:pPr>
              <w:rPr>
                <w:szCs w:val="21"/>
                <w:u w:val="single"/>
              </w:rPr>
            </w:pPr>
          </w:p>
        </w:tc>
        <w:tc>
          <w:tcPr>
            <w:tcW w:w="1673" w:type="dxa"/>
          </w:tcPr>
          <w:p>
            <w:pPr>
              <w:rPr>
                <w:szCs w:val="21"/>
                <w:u w:val="single"/>
              </w:rPr>
            </w:pPr>
          </w:p>
        </w:tc>
      </w:tr>
    </w:tbl>
    <w:p>
      <w:pPr>
        <w:rPr>
          <w:szCs w:val="21"/>
          <w:u w:val="single"/>
        </w:rPr>
      </w:pPr>
    </w:p>
    <w:p>
      <w:pPr>
        <w:rPr>
          <w:rFonts w:ascii="宋体" w:hAnsi="宋体"/>
          <w:sz w:val="18"/>
          <w:szCs w:val="24"/>
        </w:rPr>
      </w:pPr>
      <w:r>
        <w:rPr>
          <w:rFonts w:ascii="宋体" w:hAnsi="宋体"/>
          <w:sz w:val="18"/>
          <w:szCs w:val="24"/>
        </w:rPr>
        <w:t>填报说明：</w:t>
      </w:r>
    </w:p>
    <w:p>
      <w:pPr>
        <w:rPr>
          <w:rFonts w:ascii="宋体" w:hAnsi="宋体"/>
          <w:sz w:val="18"/>
          <w:szCs w:val="24"/>
        </w:rPr>
      </w:pPr>
      <w:r>
        <w:rPr>
          <w:rFonts w:ascii="宋体" w:hAnsi="宋体"/>
          <w:sz w:val="18"/>
          <w:szCs w:val="24"/>
        </w:rPr>
        <w:t>1</w:t>
      </w:r>
      <w:r>
        <w:rPr>
          <w:rFonts w:hint="eastAsia" w:ascii="宋体" w:hAnsi="宋体"/>
          <w:sz w:val="18"/>
          <w:szCs w:val="24"/>
        </w:rPr>
        <w:t>、</w:t>
      </w:r>
      <w:r>
        <w:rPr>
          <w:rFonts w:ascii="宋体" w:hAnsi="宋体"/>
          <w:sz w:val="18"/>
          <w:szCs w:val="24"/>
        </w:rPr>
        <w:t>本表中的《招标文件商务需求》来自招标文件 “商务需求明细”，投标人须逐条填写在本表中，并</w:t>
      </w:r>
      <w:r>
        <w:rPr>
          <w:rFonts w:hint="eastAsia" w:ascii="宋体" w:hAnsi="宋体"/>
          <w:sz w:val="18"/>
          <w:szCs w:val="24"/>
        </w:rPr>
        <w:t>做出</w:t>
      </w:r>
      <w:r>
        <w:rPr>
          <w:rFonts w:ascii="宋体" w:hAnsi="宋体"/>
          <w:sz w:val="18"/>
          <w:szCs w:val="24"/>
        </w:rPr>
        <w:t>响应。</w:t>
      </w:r>
    </w:p>
    <w:p>
      <w:pPr>
        <w:rPr>
          <w:rFonts w:ascii="宋体" w:hAnsi="宋体"/>
          <w:sz w:val="18"/>
          <w:szCs w:val="24"/>
        </w:rPr>
      </w:pPr>
      <w:r>
        <w:rPr>
          <w:rFonts w:ascii="宋体" w:hAnsi="宋体"/>
          <w:sz w:val="18"/>
          <w:szCs w:val="24"/>
        </w:rPr>
        <w:t>2</w:t>
      </w:r>
      <w:r>
        <w:rPr>
          <w:rFonts w:hint="eastAsia" w:ascii="宋体" w:hAnsi="宋体"/>
          <w:sz w:val="18"/>
          <w:szCs w:val="24"/>
        </w:rPr>
        <w:t>、</w:t>
      </w:r>
      <w:r>
        <w:rPr>
          <w:rFonts w:ascii="宋体" w:hAnsi="宋体"/>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rPr>
          <w:rFonts w:ascii="宋体" w:hAnsi="宋体"/>
          <w:sz w:val="18"/>
          <w:szCs w:val="21"/>
        </w:rPr>
      </w:pPr>
      <w:r>
        <w:rPr>
          <w:rFonts w:ascii="宋体" w:hAnsi="宋体"/>
          <w:sz w:val="18"/>
          <w:szCs w:val="24"/>
        </w:rPr>
        <w:t>3</w:t>
      </w:r>
      <w:r>
        <w:rPr>
          <w:rFonts w:hint="eastAsia" w:ascii="宋体" w:hAnsi="宋体"/>
          <w:sz w:val="18"/>
          <w:szCs w:val="24"/>
        </w:rPr>
        <w:t>、</w:t>
      </w:r>
      <w:r>
        <w:rPr>
          <w:rFonts w:ascii="宋体" w:hAnsi="宋体"/>
          <w:sz w:val="18"/>
          <w:szCs w:val="24"/>
        </w:rPr>
        <w:t>《有/无偏离》栏只需填“有”或“无”，填“有”的可以在其后《偏离说明》栏中作出说明。</w:t>
      </w:r>
    </w:p>
    <w:p>
      <w:pPr>
        <w:rPr>
          <w:rFonts w:ascii="宋体" w:hAnsi="宋体"/>
          <w:szCs w:val="21"/>
        </w:rPr>
      </w:pPr>
    </w:p>
    <w:p>
      <w:pPr>
        <w:rPr>
          <w:rFonts w:ascii="宋体" w:hAnsi="宋体"/>
          <w:szCs w:val="21"/>
          <w:u w:val="single"/>
        </w:rPr>
      </w:pPr>
      <w:r>
        <w:rPr>
          <w:rFonts w:ascii="宋体" w:hAnsi="宋体"/>
          <w:szCs w:val="21"/>
        </w:rPr>
        <w:t>法人代表或被授权人签字</w:t>
      </w:r>
      <w:r>
        <w:rPr>
          <w:rFonts w:hint="eastAsia" w:ascii="宋体" w:hAnsi="宋体"/>
          <w:szCs w:val="21"/>
        </w:rPr>
        <w:t>：</w:t>
      </w:r>
      <w:r>
        <w:rPr>
          <w:rFonts w:ascii="宋体" w:hAnsi="宋体"/>
          <w:szCs w:val="21"/>
          <w:u w:val="single"/>
        </w:rPr>
        <w:t xml:space="preserve">                        </w:t>
      </w:r>
    </w:p>
    <w:p>
      <w:pPr>
        <w:rPr>
          <w:rFonts w:ascii="宋体" w:hAnsi="宋体"/>
          <w:szCs w:val="21"/>
        </w:rPr>
      </w:pPr>
    </w:p>
    <w:p>
      <w:pPr>
        <w:rPr>
          <w:rFonts w:ascii="宋体" w:hAnsi="宋体"/>
          <w:szCs w:val="21"/>
          <w:u w:val="single"/>
        </w:rPr>
      </w:pPr>
      <w:r>
        <w:rPr>
          <w:rFonts w:ascii="宋体" w:hAnsi="宋体"/>
          <w:szCs w:val="21"/>
        </w:rPr>
        <w:t>单位盖章：</w:t>
      </w:r>
      <w:r>
        <w:rPr>
          <w:rFonts w:ascii="宋体" w:hAnsi="宋体"/>
          <w:szCs w:val="21"/>
          <w:u w:val="single"/>
        </w:rPr>
        <w:t xml:space="preserve">                             </w:t>
      </w:r>
    </w:p>
    <w:p>
      <w:pPr>
        <w:rPr>
          <w:rFonts w:ascii="宋体" w:hAnsi="宋体"/>
          <w:bCs/>
          <w:sz w:val="24"/>
          <w:szCs w:val="24"/>
        </w:rPr>
      </w:pPr>
      <w:r>
        <w:rPr>
          <w:rFonts w:ascii="宋体" w:hAnsi="宋体"/>
          <w:szCs w:val="21"/>
        </w:rPr>
        <w:br w:type="page"/>
      </w:r>
    </w:p>
    <w:p>
      <w:pPr>
        <w:rPr>
          <w:rFonts w:ascii="宋体" w:hAnsi="宋体"/>
          <w:szCs w:val="21"/>
        </w:rPr>
      </w:pPr>
      <w:bookmarkStart w:id="7" w:name="_Toc201401658"/>
      <w:bookmarkStart w:id="8" w:name="_Toc201742861"/>
      <w:bookmarkStart w:id="9" w:name="_Toc201997946"/>
      <w:bookmarkStart w:id="10" w:name="_Toc201743116"/>
      <w:bookmarkStart w:id="11" w:name="_Toc201719118"/>
    </w:p>
    <w:p>
      <w:pPr>
        <w:rPr>
          <w:rFonts w:ascii="宋体" w:hAnsi="宋体"/>
          <w:szCs w:val="21"/>
        </w:rPr>
      </w:pPr>
      <w:r>
        <w:rPr>
          <w:rFonts w:hint="eastAsia" w:ascii="宋体" w:hAnsi="宋体"/>
          <w:szCs w:val="21"/>
        </w:rPr>
        <w:t>格式6：法人授权书</w:t>
      </w:r>
    </w:p>
    <w:p>
      <w:pPr>
        <w:ind w:firstLine="2891" w:firstLineChars="1200"/>
        <w:rPr>
          <w:rFonts w:ascii="宋体" w:hAnsi="宋体"/>
          <w:bCs/>
          <w:sz w:val="24"/>
          <w:szCs w:val="24"/>
        </w:rPr>
      </w:pPr>
      <w:r>
        <w:rPr>
          <w:rFonts w:hint="eastAsia" w:ascii="宋体" w:hAnsi="宋体"/>
          <w:b/>
          <w:sz w:val="24"/>
          <w:szCs w:val="24"/>
        </w:rPr>
        <w:t>法定代表人授权委托书</w:t>
      </w:r>
    </w:p>
    <w:p>
      <w:pPr>
        <w:jc w:val="left"/>
        <w:rPr>
          <w:rFonts w:ascii="宋体" w:hAnsi="宋体" w:cs="Courier New"/>
          <w:b/>
          <w:sz w:val="24"/>
          <w:szCs w:val="24"/>
        </w:rPr>
      </w:pPr>
      <w:r>
        <w:rPr>
          <w:rFonts w:hint="eastAsia" w:ascii="宋体" w:hAnsi="宋体" w:cs="Courier New"/>
          <w:b/>
          <w:sz w:val="24"/>
          <w:szCs w:val="24"/>
        </w:rPr>
        <w:t>本授权书声明：</w:t>
      </w:r>
    </w:p>
    <w:p>
      <w:pPr>
        <w:ind w:firstLine="480" w:firstLineChars="200"/>
        <w:jc w:val="left"/>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w:t>
      </w:r>
      <w:r>
        <w:rPr>
          <w:rFonts w:hint="eastAsia" w:ascii="宋体" w:hAnsi="宋体"/>
          <w:bCs/>
          <w:sz w:val="24"/>
          <w:szCs w:val="24"/>
          <w:u w:val="single"/>
        </w:rPr>
        <w:t xml:space="preserve"> </w:t>
      </w:r>
      <w:r>
        <w:rPr>
          <w:rFonts w:ascii="宋体" w:hAnsi="宋体"/>
          <w:bCs/>
          <w:sz w:val="24"/>
          <w:szCs w:val="24"/>
          <w:u w:val="single"/>
        </w:rPr>
        <w:t xml:space="preserve">         </w:t>
      </w:r>
      <w:r>
        <w:rPr>
          <w:rFonts w:hint="eastAsia" w:ascii="宋体" w:hAnsi="宋体"/>
          <w:bCs/>
          <w:sz w:val="24"/>
          <w:szCs w:val="24"/>
        </w:rPr>
        <w:t>采购活动中相关谈判采购事务。</w:t>
      </w:r>
    </w:p>
    <w:p>
      <w:pPr>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pPr>
        <w:ind w:firstLine="480" w:firstLineChars="200"/>
        <w:jc w:val="left"/>
        <w:rPr>
          <w:rFonts w:ascii="宋体" w:hAnsi="宋体"/>
          <w:bCs/>
          <w:sz w:val="24"/>
          <w:szCs w:val="24"/>
        </w:rPr>
      </w:pPr>
    </w:p>
    <w:p>
      <w:pPr>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pPr>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3"/>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3"/>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3"/>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3"/>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3"/>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3"/>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3"/>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3"/>
                      </w:pPr>
                      <w:r>
                        <w:rPr>
                          <w:rFonts w:hint="eastAsia"/>
                        </w:rPr>
                        <w:t>（请加盖骑缝章）</w:t>
                      </w:r>
                    </w:p>
                    <w:p>
                      <w:pPr>
                        <w:jc w:val="center"/>
                        <w:rPr>
                          <w:rFonts w:eastAsia="华文中宋"/>
                          <w:sz w:val="28"/>
                        </w:rPr>
                      </w:pPr>
                    </w:p>
                  </w:txbxContent>
                </v:textbox>
              </v:rect>
            </w:pict>
          </mc:Fallback>
        </mc:AlternateContent>
      </w:r>
    </w:p>
    <w:p>
      <w:pPr>
        <w:ind w:firstLine="555"/>
        <w:jc w:val="left"/>
        <w:rPr>
          <w:rFonts w:ascii="宋体" w:hAnsi="宋体"/>
          <w:bCs/>
          <w:sz w:val="24"/>
          <w:szCs w:val="24"/>
          <w:u w:val="single"/>
        </w:rPr>
      </w:pPr>
    </w:p>
    <w:p>
      <w:pPr>
        <w:ind w:firstLine="555"/>
        <w:jc w:val="left"/>
        <w:rPr>
          <w:rFonts w:ascii="宋体" w:hAnsi="宋体"/>
          <w:bCs/>
          <w:sz w:val="24"/>
          <w:szCs w:val="24"/>
          <w:u w:val="single"/>
        </w:rPr>
      </w:pPr>
    </w:p>
    <w:p>
      <w:pPr>
        <w:ind w:firstLine="555"/>
        <w:jc w:val="left"/>
        <w:rPr>
          <w:rFonts w:ascii="宋体" w:hAnsi="宋体"/>
          <w:bCs/>
          <w:sz w:val="24"/>
          <w:szCs w:val="24"/>
          <w:u w:val="single"/>
        </w:rPr>
      </w:pPr>
    </w:p>
    <w:p>
      <w:pPr>
        <w:tabs>
          <w:tab w:val="left" w:pos="0"/>
        </w:tabs>
        <w:jc w:val="left"/>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bCs/>
          <w:sz w:val="24"/>
          <w:szCs w:val="24"/>
        </w:rPr>
        <w:sectPr>
          <w:pgSz w:w="11906" w:h="16838"/>
          <w:pgMar w:top="1701" w:right="1588" w:bottom="1304" w:left="1588" w:header="1247" w:footer="737" w:gutter="0"/>
          <w:cols w:space="720" w:num="1"/>
          <w:docGrid w:linePitch="380" w:charSpace="-4301"/>
        </w:sectPr>
      </w:pPr>
    </w:p>
    <w:bookmarkEnd w:id="7"/>
    <w:bookmarkEnd w:id="8"/>
    <w:bookmarkEnd w:id="9"/>
    <w:bookmarkEnd w:id="10"/>
    <w:bookmarkEnd w:id="11"/>
    <w:p>
      <w:pPr>
        <w:rPr>
          <w:rFonts w:ascii="宋体" w:hAnsi="宋体"/>
          <w:bCs/>
          <w:sz w:val="24"/>
          <w:szCs w:val="24"/>
        </w:rPr>
      </w:pPr>
      <w:r>
        <w:rPr>
          <w:rFonts w:hint="eastAsia" w:ascii="宋体" w:hAnsi="宋体"/>
          <w:bCs/>
          <w:sz w:val="24"/>
          <w:szCs w:val="24"/>
        </w:rPr>
        <w:t>格式7：诚信承诺函</w:t>
      </w:r>
    </w:p>
    <w:p>
      <w:pPr>
        <w:jc w:val="center"/>
        <w:rPr>
          <w:rFonts w:ascii="宋体" w:hAnsi="宋体"/>
          <w:b/>
          <w:sz w:val="24"/>
          <w:szCs w:val="24"/>
        </w:rPr>
      </w:pPr>
      <w:r>
        <w:rPr>
          <w:rFonts w:hint="eastAsia" w:ascii="宋体" w:hAnsi="宋体"/>
          <w:b/>
          <w:bCs/>
          <w:sz w:val="24"/>
          <w:szCs w:val="24"/>
        </w:rPr>
        <w:t>诚信情况承诺函</w:t>
      </w:r>
    </w:p>
    <w:p>
      <w:pPr>
        <w:rPr>
          <w:rFonts w:ascii="宋体" w:hAnsi="宋体"/>
          <w:sz w:val="24"/>
          <w:szCs w:val="24"/>
        </w:rPr>
      </w:pPr>
    </w:p>
    <w:p>
      <w:pPr>
        <w:rPr>
          <w:rFonts w:ascii="宋体" w:hAnsi="宋体"/>
          <w:i/>
          <w:iCs/>
          <w:sz w:val="24"/>
          <w:szCs w:val="24"/>
        </w:rPr>
      </w:pPr>
      <w:r>
        <w:rPr>
          <w:rFonts w:hint="eastAsia" w:ascii="宋体" w:hAnsi="宋体"/>
          <w:sz w:val="24"/>
          <w:szCs w:val="24"/>
        </w:rPr>
        <w:t>致：深圳市儿童医院</w:t>
      </w:r>
    </w:p>
    <w:p>
      <w:pPr>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pPr>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pPr>
        <w:numPr>
          <w:ilvl w:val="1"/>
          <w:numId w:val="11"/>
        </w:numPr>
        <w:rPr>
          <w:rFonts w:ascii="宋体" w:hAnsi="宋体"/>
          <w:sz w:val="24"/>
          <w:szCs w:val="24"/>
        </w:rPr>
      </w:pPr>
      <w:r>
        <w:rPr>
          <w:rFonts w:hint="eastAsia" w:ascii="宋体" w:hAnsi="宋体"/>
          <w:sz w:val="24"/>
          <w:szCs w:val="24"/>
        </w:rPr>
        <w:t>被纪检监察部门立案调查，违法违规事实成立的；</w:t>
      </w:r>
    </w:p>
    <w:p>
      <w:pPr>
        <w:numPr>
          <w:ilvl w:val="1"/>
          <w:numId w:val="11"/>
        </w:numPr>
        <w:rPr>
          <w:rFonts w:ascii="宋体" w:hAnsi="宋体"/>
          <w:sz w:val="24"/>
          <w:szCs w:val="24"/>
        </w:rPr>
      </w:pPr>
      <w:r>
        <w:rPr>
          <w:rFonts w:hint="eastAsia" w:ascii="宋体" w:hAnsi="宋体"/>
          <w:sz w:val="24"/>
          <w:szCs w:val="24"/>
        </w:rPr>
        <w:t>未按规定签订、履行采购合同，造成严重后果的；</w:t>
      </w:r>
    </w:p>
    <w:p>
      <w:pPr>
        <w:numPr>
          <w:ilvl w:val="1"/>
          <w:numId w:val="11"/>
        </w:numPr>
        <w:rPr>
          <w:rFonts w:ascii="宋体" w:hAnsi="宋体"/>
          <w:sz w:val="24"/>
          <w:szCs w:val="24"/>
        </w:rPr>
      </w:pPr>
      <w:r>
        <w:rPr>
          <w:rFonts w:hint="eastAsia" w:ascii="宋体" w:hAnsi="宋体"/>
          <w:sz w:val="24"/>
          <w:szCs w:val="24"/>
        </w:rPr>
        <w:t>隐瞒真实情况，提供虚假资料的；</w:t>
      </w:r>
    </w:p>
    <w:p>
      <w:pPr>
        <w:numPr>
          <w:ilvl w:val="1"/>
          <w:numId w:val="11"/>
        </w:numPr>
        <w:rPr>
          <w:rFonts w:ascii="宋体" w:hAnsi="宋体"/>
          <w:sz w:val="24"/>
          <w:szCs w:val="24"/>
        </w:rPr>
      </w:pPr>
      <w:r>
        <w:rPr>
          <w:rFonts w:hint="eastAsia" w:ascii="宋体" w:hAnsi="宋体"/>
          <w:sz w:val="24"/>
          <w:szCs w:val="24"/>
        </w:rPr>
        <w:t>以非法手段排斥其他供应商参与竞争的；</w:t>
      </w:r>
    </w:p>
    <w:p>
      <w:pPr>
        <w:numPr>
          <w:ilvl w:val="1"/>
          <w:numId w:val="11"/>
        </w:numPr>
        <w:rPr>
          <w:rFonts w:ascii="宋体" w:hAnsi="宋体"/>
          <w:sz w:val="24"/>
          <w:szCs w:val="24"/>
        </w:rPr>
      </w:pPr>
      <w:r>
        <w:rPr>
          <w:rFonts w:hint="eastAsia" w:ascii="宋体" w:hAnsi="宋体"/>
          <w:sz w:val="24"/>
          <w:szCs w:val="24"/>
        </w:rPr>
        <w:t>与其他采购参加人串通投标的；</w:t>
      </w:r>
    </w:p>
    <w:p>
      <w:pPr>
        <w:numPr>
          <w:ilvl w:val="1"/>
          <w:numId w:val="11"/>
        </w:numPr>
        <w:rPr>
          <w:rFonts w:ascii="宋体" w:hAnsi="宋体"/>
          <w:sz w:val="24"/>
          <w:szCs w:val="24"/>
        </w:rPr>
      </w:pPr>
      <w:r>
        <w:rPr>
          <w:rFonts w:hint="eastAsia" w:ascii="宋体" w:hAnsi="宋体"/>
          <w:sz w:val="24"/>
          <w:szCs w:val="24"/>
        </w:rPr>
        <w:t>在采购活动中应当回避而未回避的；</w:t>
      </w:r>
    </w:p>
    <w:p>
      <w:pPr>
        <w:numPr>
          <w:ilvl w:val="1"/>
          <w:numId w:val="11"/>
        </w:numPr>
        <w:rPr>
          <w:rFonts w:ascii="宋体" w:hAnsi="宋体"/>
          <w:sz w:val="24"/>
          <w:szCs w:val="24"/>
        </w:rPr>
      </w:pPr>
      <w:r>
        <w:rPr>
          <w:rFonts w:hint="eastAsia" w:ascii="宋体" w:hAnsi="宋体"/>
          <w:sz w:val="24"/>
          <w:szCs w:val="24"/>
        </w:rPr>
        <w:t>恶意投诉的；</w:t>
      </w:r>
    </w:p>
    <w:p>
      <w:pPr>
        <w:numPr>
          <w:ilvl w:val="1"/>
          <w:numId w:val="11"/>
        </w:numPr>
        <w:rPr>
          <w:rFonts w:ascii="宋体" w:hAnsi="宋体"/>
          <w:sz w:val="24"/>
          <w:szCs w:val="24"/>
        </w:rPr>
      </w:pPr>
      <w:r>
        <w:rPr>
          <w:rFonts w:hint="eastAsia" w:ascii="宋体" w:hAnsi="宋体"/>
          <w:sz w:val="24"/>
          <w:szCs w:val="24"/>
        </w:rPr>
        <w:t>向采购项目相关人员行贿或者提供其他不当利益的；</w:t>
      </w:r>
    </w:p>
    <w:p>
      <w:pPr>
        <w:numPr>
          <w:ilvl w:val="1"/>
          <w:numId w:val="11"/>
        </w:numPr>
        <w:rPr>
          <w:rFonts w:ascii="宋体" w:hAnsi="宋体"/>
          <w:sz w:val="24"/>
          <w:szCs w:val="24"/>
        </w:rPr>
      </w:pPr>
      <w:r>
        <w:rPr>
          <w:rFonts w:hint="eastAsia" w:ascii="宋体" w:hAnsi="宋体"/>
          <w:sz w:val="24"/>
          <w:szCs w:val="24"/>
        </w:rPr>
        <w:t>阻碍、抗拒主管部门监督检查的；</w:t>
      </w:r>
    </w:p>
    <w:p>
      <w:pPr>
        <w:numPr>
          <w:ilvl w:val="1"/>
          <w:numId w:val="11"/>
        </w:numPr>
        <w:rPr>
          <w:rFonts w:ascii="宋体" w:hAnsi="宋体"/>
          <w:sz w:val="24"/>
          <w:szCs w:val="24"/>
        </w:rPr>
      </w:pPr>
      <w:r>
        <w:rPr>
          <w:rFonts w:hint="eastAsia" w:ascii="宋体" w:hAnsi="宋体"/>
          <w:sz w:val="24"/>
          <w:szCs w:val="24"/>
        </w:rPr>
        <w:t>在政府采购主管部门履约检查中不及格或评价为差的；</w:t>
      </w:r>
    </w:p>
    <w:p>
      <w:pPr>
        <w:ind w:left="420"/>
        <w:rPr>
          <w:rFonts w:ascii="宋体" w:hAnsi="宋体"/>
          <w:sz w:val="24"/>
          <w:szCs w:val="24"/>
        </w:rPr>
      </w:pPr>
      <w:r>
        <w:rPr>
          <w:rFonts w:hint="eastAsia" w:ascii="宋体" w:hAnsi="宋体"/>
          <w:sz w:val="24"/>
          <w:szCs w:val="24"/>
        </w:rPr>
        <w:t>（十一）主管部门认定的其他情形。</w:t>
      </w:r>
    </w:p>
    <w:p>
      <w:pPr>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pPr>
        <w:ind w:firstLine="525"/>
        <w:rPr>
          <w:rFonts w:ascii="宋体" w:hAnsi="宋体"/>
          <w:sz w:val="24"/>
          <w:szCs w:val="24"/>
        </w:rPr>
      </w:pPr>
    </w:p>
    <w:p>
      <w:pPr>
        <w:ind w:firstLine="525"/>
        <w:rPr>
          <w:rFonts w:ascii="宋体" w:hAnsi="宋体"/>
          <w:sz w:val="24"/>
          <w:szCs w:val="24"/>
        </w:rPr>
      </w:pPr>
    </w:p>
    <w:p>
      <w:pPr>
        <w:ind w:firstLine="525"/>
        <w:rPr>
          <w:rFonts w:ascii="宋体" w:hAnsi="宋体"/>
          <w:sz w:val="24"/>
          <w:szCs w:val="24"/>
        </w:rPr>
      </w:pPr>
    </w:p>
    <w:p>
      <w:pPr>
        <w:ind w:firstLine="525"/>
        <w:rPr>
          <w:rFonts w:ascii="宋体" w:hAnsi="宋体"/>
          <w:sz w:val="24"/>
          <w:szCs w:val="24"/>
        </w:rPr>
      </w:pPr>
    </w:p>
    <w:p>
      <w:pPr>
        <w:ind w:firstLine="525"/>
        <w:rPr>
          <w:rFonts w:ascii="宋体" w:hAnsi="宋体"/>
          <w:sz w:val="24"/>
          <w:szCs w:val="24"/>
        </w:rPr>
      </w:pPr>
    </w:p>
    <w:p>
      <w:pPr>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ind w:firstLine="360" w:firstLineChars="150"/>
      </w:pPr>
      <w:r>
        <w:rPr>
          <w:rFonts w:hint="eastAsia" w:ascii="宋体" w:hAnsi="宋体" w:cs="宋体"/>
          <w:sz w:val="24"/>
          <w:szCs w:val="24"/>
        </w:rPr>
        <w:t>日        期：</w:t>
      </w:r>
      <w:r>
        <w:rPr>
          <w:rFonts w:hint="eastAsia" w:ascii="宋体" w:hAnsi="宋体" w:cs="宋体"/>
          <w:kern w:val="0"/>
          <w:sz w:val="24"/>
          <w:szCs w:val="24"/>
          <w:u w:val="single"/>
        </w:rPr>
        <w:t xml:space="preserve">                                 </w:t>
      </w:r>
    </w:p>
    <w:sectPr>
      <w:footerReference r:id="rId10" w:type="default"/>
      <w:pgSz w:w="11906" w:h="16838"/>
      <w:pgMar w:top="1701" w:right="1588" w:bottom="1304" w:left="1588" w:header="1247" w:footer="737" w:gutter="0"/>
      <w:cols w:space="425" w:num="1"/>
      <w:docGrid w:linePitch="380" w:charSpace="-430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imengsi" w:date="2022-10-26T13:17:00Z" w:initials="l">
    <w:p w14:paraId="79D7720B">
      <w:pPr>
        <w:pStyle w:val="8"/>
      </w:pPr>
      <w:r>
        <w:t>请医院填写</w:t>
      </w:r>
    </w:p>
  </w:comment>
  <w:comment w:id="1" w:author="limengsi" w:date="2022-10-26T14:02:00Z" w:initials="l">
    <w:p w14:paraId="30AC6CFA">
      <w:pPr>
        <w:pStyle w:val="8"/>
      </w:pPr>
      <w:r>
        <w:t>格式无法调整，无法放入这栏，故放在下列。</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9D7720B" w15:done="0"/>
  <w15:commentEx w15:paraId="30AC6CF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10</w:t>
    </w:r>
    <w:r>
      <w:rPr>
        <w:lang w:val="zh-CN"/>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page" w:x="8278" w:y="-31"/>
      <w:rPr>
        <w:rStyle w:val="21"/>
      </w:rPr>
    </w:pPr>
    <w:r>
      <w:fldChar w:fldCharType="begin"/>
    </w:r>
    <w:r>
      <w:rPr>
        <w:rStyle w:val="21"/>
      </w:rPr>
      <w:instrText xml:space="preserve">PAGE  </w:instrText>
    </w:r>
    <w:r>
      <w:fldChar w:fldCharType="separate"/>
    </w:r>
    <w:r>
      <w:rPr>
        <w:rStyle w:val="21"/>
      </w:rPr>
      <w:t>15</w:t>
    </w:r>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rPr>
    </w:pPr>
    <w:r>
      <w:fldChar w:fldCharType="begin"/>
    </w:r>
    <w:r>
      <w:rPr>
        <w:rStyle w:val="21"/>
      </w:rPr>
      <w:instrText xml:space="preserve">PAGE  </w:instrText>
    </w:r>
    <w:r>
      <w:fldChar w:fldCharType="end"/>
    </w:r>
  </w:p>
  <w:p>
    <w:pPr>
      <w:pStyle w:val="1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3"/>
          <w:jc w:val="center"/>
        </w:pPr>
        <w:r>
          <w:fldChar w:fldCharType="begin"/>
        </w:r>
        <w:r>
          <w:instrText xml:space="preserve"> PAGE   \* MERGEFORMAT </w:instrText>
        </w:r>
        <w:r>
          <w:fldChar w:fldCharType="separate"/>
        </w:r>
        <w:r>
          <w:rPr>
            <w:lang w:val="zh-CN"/>
          </w:rPr>
          <w:t>16</w:t>
        </w:r>
        <w:r>
          <w:rPr>
            <w:lang w:val="zh-CN"/>
          </w:rPr>
          <w:fldChar w:fldCharType="end"/>
        </w:r>
      </w:p>
    </w:sdtContent>
  </w:sdt>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006998"/>
    <w:multiLevelType w:val="multilevel"/>
    <w:tmpl w:val="0600699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37A6FE1"/>
    <w:multiLevelType w:val="multilevel"/>
    <w:tmpl w:val="137A6FE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68A6600"/>
    <w:multiLevelType w:val="multilevel"/>
    <w:tmpl w:val="168A660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AF9574F"/>
    <w:multiLevelType w:val="multilevel"/>
    <w:tmpl w:val="2AF9574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F613CD2"/>
    <w:multiLevelType w:val="multilevel"/>
    <w:tmpl w:val="3F613CD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41E70F0"/>
    <w:multiLevelType w:val="multilevel"/>
    <w:tmpl w:val="441E70F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C864785"/>
    <w:multiLevelType w:val="multilevel"/>
    <w:tmpl w:val="5C864785"/>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C8156BB"/>
    <w:multiLevelType w:val="multilevel"/>
    <w:tmpl w:val="6C8156BB"/>
    <w:lvl w:ilvl="0" w:tentative="0">
      <w:start w:val="1"/>
      <w:numFmt w:val="decimal"/>
      <w:pStyle w:val="51"/>
      <w:suff w:val="nothing"/>
      <w:lvlText w:val="%1."/>
      <w:lvlJc w:val="left"/>
      <w:rPr>
        <w:rFonts w:hint="default" w:ascii="宋体" w:hAnsi="宋体" w:eastAsia="宋体" w:cs="Times New Roman"/>
        <w:b w:val="0"/>
        <w:bCs w:val="0"/>
        <w:i w:val="0"/>
        <w:iCs w:val="0"/>
        <w:caps w:val="0"/>
        <w:smallCaps w:val="0"/>
        <w:strike w:val="0"/>
        <w:dstrike w:val="0"/>
        <w:vanish w:val="0"/>
        <w:color w:val="000000"/>
        <w:spacing w:val="0"/>
        <w:position w:val="0"/>
        <w:sz w:val="24"/>
        <w:szCs w:val="24"/>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lvlRestart w:val="0"/>
      <w:pStyle w:val="52"/>
      <w:suff w:val="nothing"/>
      <w:lvlText w:val="%1.%2."/>
      <w:lvlJc w:val="left"/>
      <w:pPr>
        <w:ind w:left="-1" w:firstLine="0"/>
      </w:pPr>
      <w:rPr>
        <w:rFonts w:hint="default" w:ascii="宋体" w:hAnsi="宋体" w:eastAsia="宋体" w:cs="Times New Roman"/>
        <w:b w:val="0"/>
        <w:i w:val="0"/>
        <w:sz w:val="24"/>
        <w:szCs w:val="24"/>
      </w:rPr>
    </w:lvl>
    <w:lvl w:ilvl="2" w:tentative="0">
      <w:start w:val="1"/>
      <w:numFmt w:val="decimal"/>
      <w:lvlRestart w:val="0"/>
      <w:pStyle w:val="53"/>
      <w:suff w:val="nothing"/>
      <w:lvlText w:val="%1.%2.%3."/>
      <w:lvlJc w:val="left"/>
      <w:pPr>
        <w:ind w:left="-1" w:firstLine="0"/>
      </w:pPr>
      <w:rPr>
        <w:rFonts w:hint="eastAsia" w:ascii="宋体" w:hAnsi="宋体" w:eastAsia="宋体"/>
        <w:b/>
        <w:i w:val="0"/>
        <w:sz w:val="24"/>
      </w:rPr>
    </w:lvl>
    <w:lvl w:ilvl="3" w:tentative="0">
      <w:start w:val="1"/>
      <w:numFmt w:val="decimal"/>
      <w:pStyle w:val="54"/>
      <w:suff w:val="nothing"/>
      <w:lvlText w:val="%1.%2.%3.%4."/>
      <w:lvlJc w:val="left"/>
      <w:pPr>
        <w:ind w:left="-1" w:firstLine="0"/>
      </w:pPr>
      <w:rPr>
        <w:rFonts w:hint="eastAsia" w:ascii="宋体" w:hAnsi="宋体" w:eastAsia="宋体"/>
        <w:b/>
        <w:i w:val="0"/>
        <w:sz w:val="24"/>
      </w:rPr>
    </w:lvl>
    <w:lvl w:ilvl="4" w:tentative="0">
      <w:start w:val="1"/>
      <w:numFmt w:val="decimal"/>
      <w:pStyle w:val="55"/>
      <w:suff w:val="nothing"/>
      <w:lvlText w:val="%1.%2.%3.%4.%5."/>
      <w:lvlJc w:val="left"/>
      <w:pPr>
        <w:ind w:left="-1" w:firstLine="0"/>
      </w:pPr>
      <w:rPr>
        <w:rFonts w:hint="eastAsia" w:ascii="宋体" w:hAnsi="宋体" w:eastAsia="宋体"/>
      </w:rPr>
    </w:lvl>
    <w:lvl w:ilvl="5" w:tentative="0">
      <w:start w:val="1"/>
      <w:numFmt w:val="decimal"/>
      <w:pStyle w:val="56"/>
      <w:suff w:val="nothing"/>
      <w:lvlText w:val="%1.%2.%3.%4.%5.%6."/>
      <w:lvlJc w:val="left"/>
      <w:pPr>
        <w:ind w:left="-1" w:firstLine="0"/>
      </w:pPr>
      <w:rPr>
        <w:rFonts w:hint="eastAsia" w:ascii="宋体" w:hAnsi="宋体" w:eastAsia="宋体"/>
      </w:rPr>
    </w:lvl>
    <w:lvl w:ilvl="6" w:tentative="0">
      <w:start w:val="1"/>
      <w:numFmt w:val="decimal"/>
      <w:pStyle w:val="57"/>
      <w:lvlText w:val="%1.%2.%3.%4.%5.%6.%7."/>
      <w:lvlJc w:val="left"/>
      <w:pPr>
        <w:ind w:left="-1" w:firstLine="0"/>
      </w:pPr>
      <w:rPr>
        <w:rFonts w:hint="eastAsia" w:eastAsia="宋体"/>
      </w:rPr>
    </w:lvl>
    <w:lvl w:ilvl="7" w:tentative="0">
      <w:start w:val="1"/>
      <w:numFmt w:val="decimal"/>
      <w:lvlText w:val="%1.%2.%3.%4.%5.%6.%7.%8"/>
      <w:lvlJc w:val="left"/>
      <w:pPr>
        <w:ind w:left="4393" w:hanging="1418"/>
      </w:pPr>
      <w:rPr>
        <w:rFonts w:hint="eastAsia"/>
      </w:rPr>
    </w:lvl>
    <w:lvl w:ilvl="8" w:tentative="0">
      <w:start w:val="1"/>
      <w:numFmt w:val="decimal"/>
      <w:lvlText w:val="%1.%2.%3.%4.%5.%6.%7.%8.%9"/>
      <w:lvlJc w:val="left"/>
      <w:pPr>
        <w:ind w:left="5101" w:hanging="1700"/>
      </w:pPr>
      <w:rPr>
        <w:rFonts w:hint="eastAsia"/>
      </w:rPr>
    </w:lvl>
  </w:abstractNum>
  <w:abstractNum w:abstractNumId="9">
    <w:nsid w:val="706BCAB0"/>
    <w:multiLevelType w:val="singleLevel"/>
    <w:tmpl w:val="706BCAB0"/>
    <w:lvl w:ilvl="0" w:tentative="0">
      <w:start w:val="1"/>
      <w:numFmt w:val="decimal"/>
      <w:suff w:val="nothing"/>
      <w:lvlText w:val="%1、"/>
      <w:lvlJc w:val="left"/>
      <w:pPr>
        <w:ind w:left="0" w:firstLine="0"/>
      </w:pPr>
    </w:lvl>
  </w:abstractNum>
  <w:abstractNum w:abstractNumId="10">
    <w:nsid w:val="7C023ACA"/>
    <w:multiLevelType w:val="multilevel"/>
    <w:tmpl w:val="7C023ACA"/>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9"/>
    <w:lvlOverride w:ilvl="0">
      <w:startOverride w:val="1"/>
    </w:lvlOverride>
  </w:num>
  <w:num w:numId="3">
    <w:abstractNumId w:val="7"/>
  </w:num>
  <w:num w:numId="4">
    <w:abstractNumId w:val="10"/>
  </w:num>
  <w:num w:numId="5">
    <w:abstractNumId w:val="2"/>
  </w:num>
  <w:num w:numId="6">
    <w:abstractNumId w:val="0"/>
  </w:num>
  <w:num w:numId="7">
    <w:abstractNumId w:val="6"/>
  </w:num>
  <w:num w:numId="8">
    <w:abstractNumId w:val="4"/>
  </w:num>
  <w:num w:numId="9">
    <w:abstractNumId w:val="3"/>
  </w:num>
  <w:num w:numId="10">
    <w:abstractNumId w:val="5"/>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mengsi">
    <w15:presenceInfo w15:providerId="None" w15:userId="limeng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3OWMxZWE5ZDFmMTZiZjlmNzk2YjZhZmJjN2MzNmIifQ=="/>
    <w:docVar w:name="KY_MEDREF_DOCUID" w:val="{0A14E27D-FB73-4A9F-AA0A-F48DC2141A12}"/>
    <w:docVar w:name="KY_MEDREF_VERSION" w:val="3"/>
  </w:docVars>
  <w:rsids>
    <w:rsidRoot w:val="007A1EF5"/>
    <w:rsid w:val="00005298"/>
    <w:rsid w:val="00005F51"/>
    <w:rsid w:val="00010340"/>
    <w:rsid w:val="00011DA9"/>
    <w:rsid w:val="00013E83"/>
    <w:rsid w:val="00014CF4"/>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45B1"/>
    <w:rsid w:val="00075766"/>
    <w:rsid w:val="00075954"/>
    <w:rsid w:val="00080BD5"/>
    <w:rsid w:val="00083404"/>
    <w:rsid w:val="000836AF"/>
    <w:rsid w:val="00083A47"/>
    <w:rsid w:val="00084721"/>
    <w:rsid w:val="0008570C"/>
    <w:rsid w:val="0008669D"/>
    <w:rsid w:val="00090A52"/>
    <w:rsid w:val="0009222F"/>
    <w:rsid w:val="00092B42"/>
    <w:rsid w:val="00092C9B"/>
    <w:rsid w:val="0009552F"/>
    <w:rsid w:val="000A304E"/>
    <w:rsid w:val="000C41E5"/>
    <w:rsid w:val="000C5A43"/>
    <w:rsid w:val="000C7451"/>
    <w:rsid w:val="000C769E"/>
    <w:rsid w:val="000C78FD"/>
    <w:rsid w:val="000D11AB"/>
    <w:rsid w:val="000D1423"/>
    <w:rsid w:val="000D244E"/>
    <w:rsid w:val="000D6922"/>
    <w:rsid w:val="000E430F"/>
    <w:rsid w:val="000F32CF"/>
    <w:rsid w:val="000F53CA"/>
    <w:rsid w:val="000F5ACA"/>
    <w:rsid w:val="001005F4"/>
    <w:rsid w:val="00102A73"/>
    <w:rsid w:val="00103120"/>
    <w:rsid w:val="00105E39"/>
    <w:rsid w:val="00107EFF"/>
    <w:rsid w:val="00110245"/>
    <w:rsid w:val="001126B0"/>
    <w:rsid w:val="00114BE0"/>
    <w:rsid w:val="00115603"/>
    <w:rsid w:val="00116BF0"/>
    <w:rsid w:val="0011722B"/>
    <w:rsid w:val="00122F80"/>
    <w:rsid w:val="0012533E"/>
    <w:rsid w:val="00132B97"/>
    <w:rsid w:val="00133B20"/>
    <w:rsid w:val="00134856"/>
    <w:rsid w:val="00135B1F"/>
    <w:rsid w:val="0013707B"/>
    <w:rsid w:val="001373A7"/>
    <w:rsid w:val="00137EC9"/>
    <w:rsid w:val="001411D4"/>
    <w:rsid w:val="00147A65"/>
    <w:rsid w:val="00152900"/>
    <w:rsid w:val="00152E02"/>
    <w:rsid w:val="00153DA7"/>
    <w:rsid w:val="0015400F"/>
    <w:rsid w:val="00167261"/>
    <w:rsid w:val="00167A10"/>
    <w:rsid w:val="001725FE"/>
    <w:rsid w:val="001756F0"/>
    <w:rsid w:val="00175934"/>
    <w:rsid w:val="00182C85"/>
    <w:rsid w:val="00182CCD"/>
    <w:rsid w:val="001853C9"/>
    <w:rsid w:val="001932B1"/>
    <w:rsid w:val="0019659C"/>
    <w:rsid w:val="001A4B76"/>
    <w:rsid w:val="001A63D1"/>
    <w:rsid w:val="001A7724"/>
    <w:rsid w:val="001B25EE"/>
    <w:rsid w:val="001B66EC"/>
    <w:rsid w:val="001B6D87"/>
    <w:rsid w:val="001C1CE1"/>
    <w:rsid w:val="001C1FA2"/>
    <w:rsid w:val="001C3B59"/>
    <w:rsid w:val="001C4114"/>
    <w:rsid w:val="001C5215"/>
    <w:rsid w:val="001C566B"/>
    <w:rsid w:val="001C63C2"/>
    <w:rsid w:val="001C658F"/>
    <w:rsid w:val="001C6E95"/>
    <w:rsid w:val="001D0FB9"/>
    <w:rsid w:val="001D1142"/>
    <w:rsid w:val="001D1802"/>
    <w:rsid w:val="001D24D8"/>
    <w:rsid w:val="001D2C08"/>
    <w:rsid w:val="001D3BFB"/>
    <w:rsid w:val="001D5A55"/>
    <w:rsid w:val="001D63F2"/>
    <w:rsid w:val="001E099D"/>
    <w:rsid w:val="001E2E77"/>
    <w:rsid w:val="001E32B1"/>
    <w:rsid w:val="001E53DD"/>
    <w:rsid w:val="001E6086"/>
    <w:rsid w:val="001E6851"/>
    <w:rsid w:val="001F0AED"/>
    <w:rsid w:val="00200DC9"/>
    <w:rsid w:val="00201659"/>
    <w:rsid w:val="00201883"/>
    <w:rsid w:val="002043CC"/>
    <w:rsid w:val="002045CA"/>
    <w:rsid w:val="002055E3"/>
    <w:rsid w:val="00207B5A"/>
    <w:rsid w:val="002159F7"/>
    <w:rsid w:val="00216A40"/>
    <w:rsid w:val="00216B98"/>
    <w:rsid w:val="00216BA8"/>
    <w:rsid w:val="00217CEF"/>
    <w:rsid w:val="00222C70"/>
    <w:rsid w:val="00226507"/>
    <w:rsid w:val="00226CC5"/>
    <w:rsid w:val="00227A10"/>
    <w:rsid w:val="002301AD"/>
    <w:rsid w:val="00232F90"/>
    <w:rsid w:val="0023314A"/>
    <w:rsid w:val="002405EC"/>
    <w:rsid w:val="00240788"/>
    <w:rsid w:val="00241013"/>
    <w:rsid w:val="00242CF0"/>
    <w:rsid w:val="0024491D"/>
    <w:rsid w:val="00251EE7"/>
    <w:rsid w:val="00252536"/>
    <w:rsid w:val="002544B2"/>
    <w:rsid w:val="00255F4F"/>
    <w:rsid w:val="00257804"/>
    <w:rsid w:val="00260329"/>
    <w:rsid w:val="0026104C"/>
    <w:rsid w:val="00261750"/>
    <w:rsid w:val="002617F0"/>
    <w:rsid w:val="0026330B"/>
    <w:rsid w:val="00265D8C"/>
    <w:rsid w:val="00265EEE"/>
    <w:rsid w:val="00270814"/>
    <w:rsid w:val="00271EF6"/>
    <w:rsid w:val="002729FA"/>
    <w:rsid w:val="00280A87"/>
    <w:rsid w:val="0028171B"/>
    <w:rsid w:val="002828F5"/>
    <w:rsid w:val="0028588B"/>
    <w:rsid w:val="00285ED3"/>
    <w:rsid w:val="002864A0"/>
    <w:rsid w:val="0029076B"/>
    <w:rsid w:val="002924B9"/>
    <w:rsid w:val="0029366D"/>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67D"/>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16CC"/>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677B7"/>
    <w:rsid w:val="00367D0A"/>
    <w:rsid w:val="00372C65"/>
    <w:rsid w:val="00373C64"/>
    <w:rsid w:val="00374B13"/>
    <w:rsid w:val="00381037"/>
    <w:rsid w:val="00385AD8"/>
    <w:rsid w:val="00391820"/>
    <w:rsid w:val="003923C5"/>
    <w:rsid w:val="0039384B"/>
    <w:rsid w:val="0039455D"/>
    <w:rsid w:val="00394A6B"/>
    <w:rsid w:val="003A0643"/>
    <w:rsid w:val="003A0833"/>
    <w:rsid w:val="003A1C95"/>
    <w:rsid w:val="003A3355"/>
    <w:rsid w:val="003A4B78"/>
    <w:rsid w:val="003A55B2"/>
    <w:rsid w:val="003B26D7"/>
    <w:rsid w:val="003C4CCE"/>
    <w:rsid w:val="003D0315"/>
    <w:rsid w:val="003D11FB"/>
    <w:rsid w:val="003D146A"/>
    <w:rsid w:val="003D2A0C"/>
    <w:rsid w:val="003E061D"/>
    <w:rsid w:val="003E09DA"/>
    <w:rsid w:val="003E1AC0"/>
    <w:rsid w:val="003E2F87"/>
    <w:rsid w:val="003E4D6D"/>
    <w:rsid w:val="003F01CF"/>
    <w:rsid w:val="003F062F"/>
    <w:rsid w:val="003F2E5D"/>
    <w:rsid w:val="003F3596"/>
    <w:rsid w:val="003F467C"/>
    <w:rsid w:val="003F49BC"/>
    <w:rsid w:val="003F7868"/>
    <w:rsid w:val="00402852"/>
    <w:rsid w:val="004049AA"/>
    <w:rsid w:val="004073CB"/>
    <w:rsid w:val="00411989"/>
    <w:rsid w:val="004127C5"/>
    <w:rsid w:val="004134FE"/>
    <w:rsid w:val="00414004"/>
    <w:rsid w:val="00415226"/>
    <w:rsid w:val="00415DEB"/>
    <w:rsid w:val="00416626"/>
    <w:rsid w:val="0041747A"/>
    <w:rsid w:val="00420502"/>
    <w:rsid w:val="004220F1"/>
    <w:rsid w:val="00422E49"/>
    <w:rsid w:val="00423253"/>
    <w:rsid w:val="004242A3"/>
    <w:rsid w:val="00425F74"/>
    <w:rsid w:val="00427478"/>
    <w:rsid w:val="00431EEF"/>
    <w:rsid w:val="00432F4D"/>
    <w:rsid w:val="0043530C"/>
    <w:rsid w:val="00435EDC"/>
    <w:rsid w:val="00436592"/>
    <w:rsid w:val="00441CAD"/>
    <w:rsid w:val="0044353F"/>
    <w:rsid w:val="00447C5B"/>
    <w:rsid w:val="004549A4"/>
    <w:rsid w:val="0045698E"/>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578B"/>
    <w:rsid w:val="004B65F9"/>
    <w:rsid w:val="004B6BE7"/>
    <w:rsid w:val="004C1422"/>
    <w:rsid w:val="004C1A41"/>
    <w:rsid w:val="004C3079"/>
    <w:rsid w:val="004C4226"/>
    <w:rsid w:val="004C70E5"/>
    <w:rsid w:val="004D1264"/>
    <w:rsid w:val="004E107C"/>
    <w:rsid w:val="004E36C4"/>
    <w:rsid w:val="004E59AE"/>
    <w:rsid w:val="004E754F"/>
    <w:rsid w:val="004F0D8F"/>
    <w:rsid w:val="004F22BE"/>
    <w:rsid w:val="004F684D"/>
    <w:rsid w:val="004F6925"/>
    <w:rsid w:val="004F7894"/>
    <w:rsid w:val="004F789E"/>
    <w:rsid w:val="00500C1E"/>
    <w:rsid w:val="00501EE3"/>
    <w:rsid w:val="00502DC1"/>
    <w:rsid w:val="00503C29"/>
    <w:rsid w:val="0050688E"/>
    <w:rsid w:val="005070D0"/>
    <w:rsid w:val="00507304"/>
    <w:rsid w:val="005118B8"/>
    <w:rsid w:val="005134E4"/>
    <w:rsid w:val="00515C8D"/>
    <w:rsid w:val="00516561"/>
    <w:rsid w:val="0051787C"/>
    <w:rsid w:val="0052067B"/>
    <w:rsid w:val="00524087"/>
    <w:rsid w:val="00524C9C"/>
    <w:rsid w:val="005273B9"/>
    <w:rsid w:val="00530F5C"/>
    <w:rsid w:val="00532D9C"/>
    <w:rsid w:val="0053638E"/>
    <w:rsid w:val="00536B44"/>
    <w:rsid w:val="005428B4"/>
    <w:rsid w:val="005432CD"/>
    <w:rsid w:val="005437E4"/>
    <w:rsid w:val="00544B58"/>
    <w:rsid w:val="00544D22"/>
    <w:rsid w:val="005469E6"/>
    <w:rsid w:val="005538AF"/>
    <w:rsid w:val="0055409A"/>
    <w:rsid w:val="005540AC"/>
    <w:rsid w:val="00554D5C"/>
    <w:rsid w:val="00555E1E"/>
    <w:rsid w:val="005560EF"/>
    <w:rsid w:val="00556DE2"/>
    <w:rsid w:val="005616EB"/>
    <w:rsid w:val="005633DC"/>
    <w:rsid w:val="00565214"/>
    <w:rsid w:val="005706EF"/>
    <w:rsid w:val="00571C08"/>
    <w:rsid w:val="00572325"/>
    <w:rsid w:val="00572631"/>
    <w:rsid w:val="0057331F"/>
    <w:rsid w:val="005758C6"/>
    <w:rsid w:val="00580C66"/>
    <w:rsid w:val="00581A06"/>
    <w:rsid w:val="0058201D"/>
    <w:rsid w:val="00583BB0"/>
    <w:rsid w:val="00583F43"/>
    <w:rsid w:val="00585155"/>
    <w:rsid w:val="0059022F"/>
    <w:rsid w:val="00590E2B"/>
    <w:rsid w:val="00594540"/>
    <w:rsid w:val="00595A23"/>
    <w:rsid w:val="00595CCA"/>
    <w:rsid w:val="00596748"/>
    <w:rsid w:val="005977C4"/>
    <w:rsid w:val="0059793B"/>
    <w:rsid w:val="005A198C"/>
    <w:rsid w:val="005A27C7"/>
    <w:rsid w:val="005A2CAC"/>
    <w:rsid w:val="005A2CE3"/>
    <w:rsid w:val="005A5433"/>
    <w:rsid w:val="005A5D6D"/>
    <w:rsid w:val="005B19E7"/>
    <w:rsid w:val="005B4CC8"/>
    <w:rsid w:val="005B5700"/>
    <w:rsid w:val="005B65C1"/>
    <w:rsid w:val="005B66E3"/>
    <w:rsid w:val="005C214B"/>
    <w:rsid w:val="005C6100"/>
    <w:rsid w:val="005C6E7D"/>
    <w:rsid w:val="005D1E07"/>
    <w:rsid w:val="005D272D"/>
    <w:rsid w:val="005D7C0C"/>
    <w:rsid w:val="005E06FB"/>
    <w:rsid w:val="005E32A1"/>
    <w:rsid w:val="005E728D"/>
    <w:rsid w:val="005F38B8"/>
    <w:rsid w:val="005F395A"/>
    <w:rsid w:val="005F45B2"/>
    <w:rsid w:val="005F798A"/>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01E"/>
    <w:rsid w:val="00641AE3"/>
    <w:rsid w:val="006424B5"/>
    <w:rsid w:val="00642EAB"/>
    <w:rsid w:val="006438DB"/>
    <w:rsid w:val="00650C19"/>
    <w:rsid w:val="006530A7"/>
    <w:rsid w:val="00653CEF"/>
    <w:rsid w:val="00655B2A"/>
    <w:rsid w:val="00655D1C"/>
    <w:rsid w:val="006562B7"/>
    <w:rsid w:val="00657C45"/>
    <w:rsid w:val="00662189"/>
    <w:rsid w:val="00670897"/>
    <w:rsid w:val="00671FBA"/>
    <w:rsid w:val="00672AF2"/>
    <w:rsid w:val="00675F48"/>
    <w:rsid w:val="006763F0"/>
    <w:rsid w:val="00677A8B"/>
    <w:rsid w:val="00686086"/>
    <w:rsid w:val="006872B7"/>
    <w:rsid w:val="006914C2"/>
    <w:rsid w:val="00695DF7"/>
    <w:rsid w:val="006960B9"/>
    <w:rsid w:val="006A1B6C"/>
    <w:rsid w:val="006A3657"/>
    <w:rsid w:val="006A5491"/>
    <w:rsid w:val="006A7125"/>
    <w:rsid w:val="006B4543"/>
    <w:rsid w:val="006B6A74"/>
    <w:rsid w:val="006B7B3C"/>
    <w:rsid w:val="006C05B0"/>
    <w:rsid w:val="006C0CA8"/>
    <w:rsid w:val="006C0D92"/>
    <w:rsid w:val="006C2406"/>
    <w:rsid w:val="006C3254"/>
    <w:rsid w:val="006D250B"/>
    <w:rsid w:val="006D29CC"/>
    <w:rsid w:val="006D7EC8"/>
    <w:rsid w:val="006E0387"/>
    <w:rsid w:val="006E18C6"/>
    <w:rsid w:val="006E2F82"/>
    <w:rsid w:val="006E387E"/>
    <w:rsid w:val="006E3DFE"/>
    <w:rsid w:val="006E4211"/>
    <w:rsid w:val="006E535F"/>
    <w:rsid w:val="006E6D75"/>
    <w:rsid w:val="006F486D"/>
    <w:rsid w:val="006F5830"/>
    <w:rsid w:val="00700CE0"/>
    <w:rsid w:val="007025D1"/>
    <w:rsid w:val="00705B2E"/>
    <w:rsid w:val="007070E5"/>
    <w:rsid w:val="007103F7"/>
    <w:rsid w:val="0071231F"/>
    <w:rsid w:val="00713BD6"/>
    <w:rsid w:val="007146BA"/>
    <w:rsid w:val="007154FB"/>
    <w:rsid w:val="00717FD9"/>
    <w:rsid w:val="007204F5"/>
    <w:rsid w:val="0072132F"/>
    <w:rsid w:val="0072155B"/>
    <w:rsid w:val="00721D51"/>
    <w:rsid w:val="007246C7"/>
    <w:rsid w:val="007328D0"/>
    <w:rsid w:val="00732F0E"/>
    <w:rsid w:val="007333AB"/>
    <w:rsid w:val="00734BC2"/>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261C"/>
    <w:rsid w:val="00785B84"/>
    <w:rsid w:val="007872EC"/>
    <w:rsid w:val="00790621"/>
    <w:rsid w:val="007919DC"/>
    <w:rsid w:val="00791FC5"/>
    <w:rsid w:val="00795E24"/>
    <w:rsid w:val="00796073"/>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3759B"/>
    <w:rsid w:val="00843602"/>
    <w:rsid w:val="008447A9"/>
    <w:rsid w:val="00850A4F"/>
    <w:rsid w:val="008510D3"/>
    <w:rsid w:val="008521D7"/>
    <w:rsid w:val="00864F1A"/>
    <w:rsid w:val="00870109"/>
    <w:rsid w:val="008713D8"/>
    <w:rsid w:val="00871657"/>
    <w:rsid w:val="00874B92"/>
    <w:rsid w:val="008809F9"/>
    <w:rsid w:val="0088373B"/>
    <w:rsid w:val="008838AE"/>
    <w:rsid w:val="00884C4D"/>
    <w:rsid w:val="00886A26"/>
    <w:rsid w:val="00891903"/>
    <w:rsid w:val="008A064F"/>
    <w:rsid w:val="008A3DF3"/>
    <w:rsid w:val="008A4E30"/>
    <w:rsid w:val="008B1693"/>
    <w:rsid w:val="008B29CC"/>
    <w:rsid w:val="008B355A"/>
    <w:rsid w:val="008B3904"/>
    <w:rsid w:val="008B6211"/>
    <w:rsid w:val="008B6DE1"/>
    <w:rsid w:val="008C545E"/>
    <w:rsid w:val="008C71C2"/>
    <w:rsid w:val="008C7511"/>
    <w:rsid w:val="008C76B7"/>
    <w:rsid w:val="008D282A"/>
    <w:rsid w:val="008D5095"/>
    <w:rsid w:val="008D6C13"/>
    <w:rsid w:val="008E2222"/>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862"/>
    <w:rsid w:val="00935B2F"/>
    <w:rsid w:val="00935BA7"/>
    <w:rsid w:val="009401C7"/>
    <w:rsid w:val="009412C1"/>
    <w:rsid w:val="00942334"/>
    <w:rsid w:val="0094408C"/>
    <w:rsid w:val="0094692A"/>
    <w:rsid w:val="00947D2D"/>
    <w:rsid w:val="00951F3E"/>
    <w:rsid w:val="00952550"/>
    <w:rsid w:val="00952949"/>
    <w:rsid w:val="00956C41"/>
    <w:rsid w:val="009649C7"/>
    <w:rsid w:val="0096594A"/>
    <w:rsid w:val="00967AD6"/>
    <w:rsid w:val="00970E75"/>
    <w:rsid w:val="009713BB"/>
    <w:rsid w:val="00973CA3"/>
    <w:rsid w:val="00973E6A"/>
    <w:rsid w:val="009773B9"/>
    <w:rsid w:val="00980346"/>
    <w:rsid w:val="009811C4"/>
    <w:rsid w:val="00985677"/>
    <w:rsid w:val="0098580E"/>
    <w:rsid w:val="00985C87"/>
    <w:rsid w:val="00986BBE"/>
    <w:rsid w:val="0099143A"/>
    <w:rsid w:val="00996324"/>
    <w:rsid w:val="009A08ED"/>
    <w:rsid w:val="009A1551"/>
    <w:rsid w:val="009A5E46"/>
    <w:rsid w:val="009B1A2A"/>
    <w:rsid w:val="009B379D"/>
    <w:rsid w:val="009B5FC5"/>
    <w:rsid w:val="009B783F"/>
    <w:rsid w:val="009C2E28"/>
    <w:rsid w:val="009C6116"/>
    <w:rsid w:val="009E2E81"/>
    <w:rsid w:val="009E3AE1"/>
    <w:rsid w:val="009E67F8"/>
    <w:rsid w:val="009E6836"/>
    <w:rsid w:val="009F00D5"/>
    <w:rsid w:val="009F4F10"/>
    <w:rsid w:val="009F6B53"/>
    <w:rsid w:val="009F6E8E"/>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80D"/>
    <w:rsid w:val="00A55A3D"/>
    <w:rsid w:val="00A56E66"/>
    <w:rsid w:val="00A60B90"/>
    <w:rsid w:val="00A60F0D"/>
    <w:rsid w:val="00A6462B"/>
    <w:rsid w:val="00A6719E"/>
    <w:rsid w:val="00A70087"/>
    <w:rsid w:val="00A72E27"/>
    <w:rsid w:val="00A72ECE"/>
    <w:rsid w:val="00A770F1"/>
    <w:rsid w:val="00A85E21"/>
    <w:rsid w:val="00A85FFF"/>
    <w:rsid w:val="00A9135A"/>
    <w:rsid w:val="00A92096"/>
    <w:rsid w:val="00AA20E6"/>
    <w:rsid w:val="00AA4BFA"/>
    <w:rsid w:val="00AA4D96"/>
    <w:rsid w:val="00AA723C"/>
    <w:rsid w:val="00AB07C3"/>
    <w:rsid w:val="00AB23FF"/>
    <w:rsid w:val="00AB486C"/>
    <w:rsid w:val="00AB4A8E"/>
    <w:rsid w:val="00AC0021"/>
    <w:rsid w:val="00AC16ED"/>
    <w:rsid w:val="00AC4996"/>
    <w:rsid w:val="00AD0864"/>
    <w:rsid w:val="00AD646C"/>
    <w:rsid w:val="00AE05E2"/>
    <w:rsid w:val="00AE0C6D"/>
    <w:rsid w:val="00AE2569"/>
    <w:rsid w:val="00AE3ADA"/>
    <w:rsid w:val="00AE442C"/>
    <w:rsid w:val="00AE541D"/>
    <w:rsid w:val="00AE6012"/>
    <w:rsid w:val="00AE6B42"/>
    <w:rsid w:val="00AF486B"/>
    <w:rsid w:val="00AF6D19"/>
    <w:rsid w:val="00AF7119"/>
    <w:rsid w:val="00B01BDB"/>
    <w:rsid w:val="00B02177"/>
    <w:rsid w:val="00B02215"/>
    <w:rsid w:val="00B03245"/>
    <w:rsid w:val="00B0344E"/>
    <w:rsid w:val="00B10BC8"/>
    <w:rsid w:val="00B118B4"/>
    <w:rsid w:val="00B11993"/>
    <w:rsid w:val="00B119E4"/>
    <w:rsid w:val="00B138DE"/>
    <w:rsid w:val="00B1627F"/>
    <w:rsid w:val="00B1748B"/>
    <w:rsid w:val="00B26880"/>
    <w:rsid w:val="00B31BD3"/>
    <w:rsid w:val="00B327EC"/>
    <w:rsid w:val="00B33766"/>
    <w:rsid w:val="00B33FB8"/>
    <w:rsid w:val="00B348CC"/>
    <w:rsid w:val="00B34B5C"/>
    <w:rsid w:val="00B35198"/>
    <w:rsid w:val="00B3546C"/>
    <w:rsid w:val="00B36242"/>
    <w:rsid w:val="00B36CA7"/>
    <w:rsid w:val="00B371F2"/>
    <w:rsid w:val="00B37BD1"/>
    <w:rsid w:val="00B37C7B"/>
    <w:rsid w:val="00B44E87"/>
    <w:rsid w:val="00B538D3"/>
    <w:rsid w:val="00B57CC5"/>
    <w:rsid w:val="00B60402"/>
    <w:rsid w:val="00B614E0"/>
    <w:rsid w:val="00B62A8A"/>
    <w:rsid w:val="00B6472A"/>
    <w:rsid w:val="00B65E9B"/>
    <w:rsid w:val="00B67CB2"/>
    <w:rsid w:val="00B7041F"/>
    <w:rsid w:val="00B708B6"/>
    <w:rsid w:val="00B7595B"/>
    <w:rsid w:val="00B761AC"/>
    <w:rsid w:val="00B764E3"/>
    <w:rsid w:val="00B80E94"/>
    <w:rsid w:val="00B82192"/>
    <w:rsid w:val="00B86084"/>
    <w:rsid w:val="00B902D1"/>
    <w:rsid w:val="00B91022"/>
    <w:rsid w:val="00B916CB"/>
    <w:rsid w:val="00B943AE"/>
    <w:rsid w:val="00B960B8"/>
    <w:rsid w:val="00B96DC5"/>
    <w:rsid w:val="00BA0A29"/>
    <w:rsid w:val="00BA10A4"/>
    <w:rsid w:val="00BA1780"/>
    <w:rsid w:val="00BA4139"/>
    <w:rsid w:val="00BA49B5"/>
    <w:rsid w:val="00BA79B1"/>
    <w:rsid w:val="00BB3E82"/>
    <w:rsid w:val="00BB42D0"/>
    <w:rsid w:val="00BC3407"/>
    <w:rsid w:val="00BC545F"/>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22B1F"/>
    <w:rsid w:val="00C304E3"/>
    <w:rsid w:val="00C32278"/>
    <w:rsid w:val="00C329FC"/>
    <w:rsid w:val="00C32A12"/>
    <w:rsid w:val="00C33BBE"/>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765C9"/>
    <w:rsid w:val="00C82938"/>
    <w:rsid w:val="00C82FDA"/>
    <w:rsid w:val="00C839F8"/>
    <w:rsid w:val="00C84808"/>
    <w:rsid w:val="00C85692"/>
    <w:rsid w:val="00C86B84"/>
    <w:rsid w:val="00C87A83"/>
    <w:rsid w:val="00C93846"/>
    <w:rsid w:val="00C94786"/>
    <w:rsid w:val="00C95D3C"/>
    <w:rsid w:val="00C9679F"/>
    <w:rsid w:val="00CA01B5"/>
    <w:rsid w:val="00CA0A2F"/>
    <w:rsid w:val="00CA3F1D"/>
    <w:rsid w:val="00CA465F"/>
    <w:rsid w:val="00CA5721"/>
    <w:rsid w:val="00CA59AB"/>
    <w:rsid w:val="00CA60E9"/>
    <w:rsid w:val="00CB0DD5"/>
    <w:rsid w:val="00CB152D"/>
    <w:rsid w:val="00CB5DBE"/>
    <w:rsid w:val="00CB6DE7"/>
    <w:rsid w:val="00CC185C"/>
    <w:rsid w:val="00CC5D70"/>
    <w:rsid w:val="00CC6978"/>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04642"/>
    <w:rsid w:val="00D104B8"/>
    <w:rsid w:val="00D12F09"/>
    <w:rsid w:val="00D13422"/>
    <w:rsid w:val="00D156B2"/>
    <w:rsid w:val="00D235E7"/>
    <w:rsid w:val="00D31BCC"/>
    <w:rsid w:val="00D32A5B"/>
    <w:rsid w:val="00D3424F"/>
    <w:rsid w:val="00D377E3"/>
    <w:rsid w:val="00D37A1A"/>
    <w:rsid w:val="00D42F0C"/>
    <w:rsid w:val="00D4474C"/>
    <w:rsid w:val="00D51B4D"/>
    <w:rsid w:val="00D539F6"/>
    <w:rsid w:val="00D55930"/>
    <w:rsid w:val="00D6043A"/>
    <w:rsid w:val="00D626C7"/>
    <w:rsid w:val="00D632A9"/>
    <w:rsid w:val="00D64C88"/>
    <w:rsid w:val="00D65188"/>
    <w:rsid w:val="00D72221"/>
    <w:rsid w:val="00D732D7"/>
    <w:rsid w:val="00D761F7"/>
    <w:rsid w:val="00D77303"/>
    <w:rsid w:val="00D777DF"/>
    <w:rsid w:val="00D85128"/>
    <w:rsid w:val="00D936E6"/>
    <w:rsid w:val="00DA106F"/>
    <w:rsid w:val="00DA21C9"/>
    <w:rsid w:val="00DA3E32"/>
    <w:rsid w:val="00DA679F"/>
    <w:rsid w:val="00DA7B9D"/>
    <w:rsid w:val="00DB08D3"/>
    <w:rsid w:val="00DB1909"/>
    <w:rsid w:val="00DB24BD"/>
    <w:rsid w:val="00DB4C0D"/>
    <w:rsid w:val="00DB6427"/>
    <w:rsid w:val="00DB6DCB"/>
    <w:rsid w:val="00DB771F"/>
    <w:rsid w:val="00DC33F2"/>
    <w:rsid w:val="00DC7F9F"/>
    <w:rsid w:val="00DD051D"/>
    <w:rsid w:val="00DD40E4"/>
    <w:rsid w:val="00DE13A8"/>
    <w:rsid w:val="00DE1495"/>
    <w:rsid w:val="00DE18E4"/>
    <w:rsid w:val="00DE2D4F"/>
    <w:rsid w:val="00DE3F21"/>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26D0D"/>
    <w:rsid w:val="00E3132A"/>
    <w:rsid w:val="00E332F6"/>
    <w:rsid w:val="00E3499B"/>
    <w:rsid w:val="00E37932"/>
    <w:rsid w:val="00E413A5"/>
    <w:rsid w:val="00E42243"/>
    <w:rsid w:val="00E42A49"/>
    <w:rsid w:val="00E456CA"/>
    <w:rsid w:val="00E46E7D"/>
    <w:rsid w:val="00E5026B"/>
    <w:rsid w:val="00E51231"/>
    <w:rsid w:val="00E53985"/>
    <w:rsid w:val="00E55024"/>
    <w:rsid w:val="00E57310"/>
    <w:rsid w:val="00E57C49"/>
    <w:rsid w:val="00E57CE9"/>
    <w:rsid w:val="00E61358"/>
    <w:rsid w:val="00E6193B"/>
    <w:rsid w:val="00E61C13"/>
    <w:rsid w:val="00E721D8"/>
    <w:rsid w:val="00E7551A"/>
    <w:rsid w:val="00E758D6"/>
    <w:rsid w:val="00E75B8C"/>
    <w:rsid w:val="00E769AD"/>
    <w:rsid w:val="00E76D16"/>
    <w:rsid w:val="00E81A57"/>
    <w:rsid w:val="00E81A79"/>
    <w:rsid w:val="00E83B72"/>
    <w:rsid w:val="00E84559"/>
    <w:rsid w:val="00E84834"/>
    <w:rsid w:val="00E85544"/>
    <w:rsid w:val="00E86F2B"/>
    <w:rsid w:val="00E90730"/>
    <w:rsid w:val="00E91E59"/>
    <w:rsid w:val="00E9439F"/>
    <w:rsid w:val="00E95EFA"/>
    <w:rsid w:val="00E97D65"/>
    <w:rsid w:val="00EA32C6"/>
    <w:rsid w:val="00EA3399"/>
    <w:rsid w:val="00EA52E8"/>
    <w:rsid w:val="00EB0BB3"/>
    <w:rsid w:val="00EB2E42"/>
    <w:rsid w:val="00EB4C9B"/>
    <w:rsid w:val="00EB7FFC"/>
    <w:rsid w:val="00EC0761"/>
    <w:rsid w:val="00EC29F8"/>
    <w:rsid w:val="00EC5597"/>
    <w:rsid w:val="00EC6CA4"/>
    <w:rsid w:val="00EC724C"/>
    <w:rsid w:val="00ED0B16"/>
    <w:rsid w:val="00ED148E"/>
    <w:rsid w:val="00ED192E"/>
    <w:rsid w:val="00EE0B95"/>
    <w:rsid w:val="00EE4F92"/>
    <w:rsid w:val="00EE7D26"/>
    <w:rsid w:val="00EF0484"/>
    <w:rsid w:val="00EF1F47"/>
    <w:rsid w:val="00EF57CE"/>
    <w:rsid w:val="00EF5CD3"/>
    <w:rsid w:val="00EF6B15"/>
    <w:rsid w:val="00F004C8"/>
    <w:rsid w:val="00F03836"/>
    <w:rsid w:val="00F038F6"/>
    <w:rsid w:val="00F04B65"/>
    <w:rsid w:val="00F060D1"/>
    <w:rsid w:val="00F06F8B"/>
    <w:rsid w:val="00F12A8E"/>
    <w:rsid w:val="00F1453A"/>
    <w:rsid w:val="00F15E9D"/>
    <w:rsid w:val="00F17FCB"/>
    <w:rsid w:val="00F21102"/>
    <w:rsid w:val="00F21ACC"/>
    <w:rsid w:val="00F24916"/>
    <w:rsid w:val="00F25A40"/>
    <w:rsid w:val="00F31037"/>
    <w:rsid w:val="00F31748"/>
    <w:rsid w:val="00F338E0"/>
    <w:rsid w:val="00F36866"/>
    <w:rsid w:val="00F36924"/>
    <w:rsid w:val="00F40479"/>
    <w:rsid w:val="00F43FC7"/>
    <w:rsid w:val="00F50DD9"/>
    <w:rsid w:val="00F52338"/>
    <w:rsid w:val="00F5660A"/>
    <w:rsid w:val="00F62636"/>
    <w:rsid w:val="00F6361D"/>
    <w:rsid w:val="00F63A6B"/>
    <w:rsid w:val="00F646F5"/>
    <w:rsid w:val="00F64D36"/>
    <w:rsid w:val="00F66DD0"/>
    <w:rsid w:val="00F70DE0"/>
    <w:rsid w:val="00F716ED"/>
    <w:rsid w:val="00F7318F"/>
    <w:rsid w:val="00F732A7"/>
    <w:rsid w:val="00F752DB"/>
    <w:rsid w:val="00F7562F"/>
    <w:rsid w:val="00F7640E"/>
    <w:rsid w:val="00F8027F"/>
    <w:rsid w:val="00F80B5C"/>
    <w:rsid w:val="00F8108B"/>
    <w:rsid w:val="00F8175B"/>
    <w:rsid w:val="00F81C0D"/>
    <w:rsid w:val="00F90AB4"/>
    <w:rsid w:val="00F91CB0"/>
    <w:rsid w:val="00F94C32"/>
    <w:rsid w:val="00FA0878"/>
    <w:rsid w:val="00FA1E06"/>
    <w:rsid w:val="00FA544A"/>
    <w:rsid w:val="00FA5508"/>
    <w:rsid w:val="00FA5876"/>
    <w:rsid w:val="00FB526A"/>
    <w:rsid w:val="00FB56FB"/>
    <w:rsid w:val="00FC152A"/>
    <w:rsid w:val="00FC22EC"/>
    <w:rsid w:val="00FC2535"/>
    <w:rsid w:val="00FC4AAF"/>
    <w:rsid w:val="00FC565B"/>
    <w:rsid w:val="00FD15E5"/>
    <w:rsid w:val="00FD2B69"/>
    <w:rsid w:val="00FD3175"/>
    <w:rsid w:val="00FD3DDD"/>
    <w:rsid w:val="00FD427F"/>
    <w:rsid w:val="00FD42EE"/>
    <w:rsid w:val="00FD43C4"/>
    <w:rsid w:val="00FD4425"/>
    <w:rsid w:val="00FE2F5E"/>
    <w:rsid w:val="00FE3408"/>
    <w:rsid w:val="00FE7B0B"/>
    <w:rsid w:val="00FF2B1D"/>
    <w:rsid w:val="00FF4B6B"/>
    <w:rsid w:val="00FF5151"/>
    <w:rsid w:val="00FF5D1A"/>
    <w:rsid w:val="00FF6D10"/>
    <w:rsid w:val="00FF72EA"/>
    <w:rsid w:val="00FF72EB"/>
    <w:rsid w:val="00FF79DB"/>
    <w:rsid w:val="00FF7F5E"/>
    <w:rsid w:val="010178DB"/>
    <w:rsid w:val="01322EFC"/>
    <w:rsid w:val="014053BC"/>
    <w:rsid w:val="01607DF5"/>
    <w:rsid w:val="01767EF3"/>
    <w:rsid w:val="01D30AF5"/>
    <w:rsid w:val="01DC24B9"/>
    <w:rsid w:val="01DE5185"/>
    <w:rsid w:val="0213568A"/>
    <w:rsid w:val="046E6DDE"/>
    <w:rsid w:val="04B55E07"/>
    <w:rsid w:val="04D7648A"/>
    <w:rsid w:val="04FA14E6"/>
    <w:rsid w:val="0531362C"/>
    <w:rsid w:val="0535213D"/>
    <w:rsid w:val="05364797"/>
    <w:rsid w:val="054D6974"/>
    <w:rsid w:val="057207F6"/>
    <w:rsid w:val="05FC6B91"/>
    <w:rsid w:val="06257071"/>
    <w:rsid w:val="0733135D"/>
    <w:rsid w:val="07732DB2"/>
    <w:rsid w:val="07B8320C"/>
    <w:rsid w:val="07CF0ACE"/>
    <w:rsid w:val="08306067"/>
    <w:rsid w:val="08B1198F"/>
    <w:rsid w:val="08B13D91"/>
    <w:rsid w:val="09285CF7"/>
    <w:rsid w:val="09687692"/>
    <w:rsid w:val="0A031FF0"/>
    <w:rsid w:val="0A8A5D39"/>
    <w:rsid w:val="0AA13162"/>
    <w:rsid w:val="0AB6258A"/>
    <w:rsid w:val="0B452B9B"/>
    <w:rsid w:val="0B5770DF"/>
    <w:rsid w:val="0C372CCD"/>
    <w:rsid w:val="0C5603A3"/>
    <w:rsid w:val="0C5C2346"/>
    <w:rsid w:val="0C5E5BB8"/>
    <w:rsid w:val="0C94782E"/>
    <w:rsid w:val="0E215C17"/>
    <w:rsid w:val="0FC46FEB"/>
    <w:rsid w:val="0FDB5BF8"/>
    <w:rsid w:val="0FF0756D"/>
    <w:rsid w:val="10BB60F9"/>
    <w:rsid w:val="10CB03AE"/>
    <w:rsid w:val="10F944AF"/>
    <w:rsid w:val="110A33B6"/>
    <w:rsid w:val="11EC5E17"/>
    <w:rsid w:val="121432F4"/>
    <w:rsid w:val="12CE6AE7"/>
    <w:rsid w:val="13545A8B"/>
    <w:rsid w:val="1360023A"/>
    <w:rsid w:val="13840F17"/>
    <w:rsid w:val="13992498"/>
    <w:rsid w:val="140F5863"/>
    <w:rsid w:val="15D233F0"/>
    <w:rsid w:val="16320B1F"/>
    <w:rsid w:val="163D0515"/>
    <w:rsid w:val="163F4A7E"/>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DB04F6"/>
    <w:rsid w:val="1D1D0E35"/>
    <w:rsid w:val="1D250BA1"/>
    <w:rsid w:val="1DD93DB9"/>
    <w:rsid w:val="1EFF09E6"/>
    <w:rsid w:val="1F3073CF"/>
    <w:rsid w:val="1F6F5A73"/>
    <w:rsid w:val="1FA13095"/>
    <w:rsid w:val="1FCD30FB"/>
    <w:rsid w:val="1FE040BC"/>
    <w:rsid w:val="20152CE5"/>
    <w:rsid w:val="204801C9"/>
    <w:rsid w:val="20F304B0"/>
    <w:rsid w:val="21916F90"/>
    <w:rsid w:val="222B5D75"/>
    <w:rsid w:val="22314524"/>
    <w:rsid w:val="228C71CA"/>
    <w:rsid w:val="22DE11E6"/>
    <w:rsid w:val="23656ACE"/>
    <w:rsid w:val="249C6AFD"/>
    <w:rsid w:val="25D450BA"/>
    <w:rsid w:val="25D56523"/>
    <w:rsid w:val="26094D1A"/>
    <w:rsid w:val="26137B73"/>
    <w:rsid w:val="26E116DC"/>
    <w:rsid w:val="277B4CFD"/>
    <w:rsid w:val="28752B19"/>
    <w:rsid w:val="2876124D"/>
    <w:rsid w:val="28AA01F1"/>
    <w:rsid w:val="28D331FC"/>
    <w:rsid w:val="2A377783"/>
    <w:rsid w:val="2A6266E9"/>
    <w:rsid w:val="2A6C54A9"/>
    <w:rsid w:val="2ABC1DA2"/>
    <w:rsid w:val="2C5F16E3"/>
    <w:rsid w:val="2D21664A"/>
    <w:rsid w:val="2F34651F"/>
    <w:rsid w:val="2F425E94"/>
    <w:rsid w:val="2F6521E7"/>
    <w:rsid w:val="2FB81F38"/>
    <w:rsid w:val="2FDC6C9E"/>
    <w:rsid w:val="2FFE2912"/>
    <w:rsid w:val="30BC2EBC"/>
    <w:rsid w:val="31356772"/>
    <w:rsid w:val="31FF72AF"/>
    <w:rsid w:val="32781A64"/>
    <w:rsid w:val="32782FFB"/>
    <w:rsid w:val="32B86F81"/>
    <w:rsid w:val="33CC15C4"/>
    <w:rsid w:val="33FA3136"/>
    <w:rsid w:val="353577A9"/>
    <w:rsid w:val="357B0EFD"/>
    <w:rsid w:val="35CA2DB9"/>
    <w:rsid w:val="35F41D4F"/>
    <w:rsid w:val="361E7E3B"/>
    <w:rsid w:val="3621266D"/>
    <w:rsid w:val="36974B68"/>
    <w:rsid w:val="375C2773"/>
    <w:rsid w:val="376435F6"/>
    <w:rsid w:val="37723FD9"/>
    <w:rsid w:val="3781684D"/>
    <w:rsid w:val="384C47A3"/>
    <w:rsid w:val="389D0D36"/>
    <w:rsid w:val="39031BEB"/>
    <w:rsid w:val="39072F88"/>
    <w:rsid w:val="394D7D0F"/>
    <w:rsid w:val="399E4DCC"/>
    <w:rsid w:val="39F50C16"/>
    <w:rsid w:val="3ADF7E38"/>
    <w:rsid w:val="3B5330E7"/>
    <w:rsid w:val="3B8E4CC3"/>
    <w:rsid w:val="3BD85452"/>
    <w:rsid w:val="3BF6596E"/>
    <w:rsid w:val="3C125C3B"/>
    <w:rsid w:val="3C602D03"/>
    <w:rsid w:val="3CC86BE5"/>
    <w:rsid w:val="3D132062"/>
    <w:rsid w:val="3D83213E"/>
    <w:rsid w:val="3DDB4F84"/>
    <w:rsid w:val="3DEA7988"/>
    <w:rsid w:val="3FBF6038"/>
    <w:rsid w:val="3FFD6511"/>
    <w:rsid w:val="40A83A07"/>
    <w:rsid w:val="412A3AB2"/>
    <w:rsid w:val="416F41D1"/>
    <w:rsid w:val="418F268E"/>
    <w:rsid w:val="41BA0644"/>
    <w:rsid w:val="41F05DAA"/>
    <w:rsid w:val="428A76BF"/>
    <w:rsid w:val="42E762E1"/>
    <w:rsid w:val="42F95A91"/>
    <w:rsid w:val="4388454E"/>
    <w:rsid w:val="438A277C"/>
    <w:rsid w:val="44D83FCF"/>
    <w:rsid w:val="458F127C"/>
    <w:rsid w:val="45C85E8B"/>
    <w:rsid w:val="45F224BA"/>
    <w:rsid w:val="46FD5BE1"/>
    <w:rsid w:val="478E1DDE"/>
    <w:rsid w:val="47E56E6A"/>
    <w:rsid w:val="481923FF"/>
    <w:rsid w:val="48E21409"/>
    <w:rsid w:val="490579E7"/>
    <w:rsid w:val="492139EC"/>
    <w:rsid w:val="493A417A"/>
    <w:rsid w:val="4950692B"/>
    <w:rsid w:val="497146B0"/>
    <w:rsid w:val="4A490D8F"/>
    <w:rsid w:val="4AB26D7B"/>
    <w:rsid w:val="4AB9636A"/>
    <w:rsid w:val="4B315FE3"/>
    <w:rsid w:val="4B693D86"/>
    <w:rsid w:val="4B8F40E0"/>
    <w:rsid w:val="4BC36005"/>
    <w:rsid w:val="4CA37BED"/>
    <w:rsid w:val="4DE74B53"/>
    <w:rsid w:val="4E873EC5"/>
    <w:rsid w:val="4F0F2B66"/>
    <w:rsid w:val="4F296C73"/>
    <w:rsid w:val="4F39798F"/>
    <w:rsid w:val="4F747F89"/>
    <w:rsid w:val="4F9C7C1B"/>
    <w:rsid w:val="50331FAE"/>
    <w:rsid w:val="506247ED"/>
    <w:rsid w:val="5128622E"/>
    <w:rsid w:val="51541FB9"/>
    <w:rsid w:val="51653541"/>
    <w:rsid w:val="51BA3918"/>
    <w:rsid w:val="528C2691"/>
    <w:rsid w:val="52FB6FDA"/>
    <w:rsid w:val="535459AE"/>
    <w:rsid w:val="53B23A34"/>
    <w:rsid w:val="53B813F1"/>
    <w:rsid w:val="53DF072C"/>
    <w:rsid w:val="543F48D0"/>
    <w:rsid w:val="55794964"/>
    <w:rsid w:val="55A22FA6"/>
    <w:rsid w:val="55AE397F"/>
    <w:rsid w:val="56214ACF"/>
    <w:rsid w:val="56403B5B"/>
    <w:rsid w:val="567505FD"/>
    <w:rsid w:val="56820A81"/>
    <w:rsid w:val="56AA68E1"/>
    <w:rsid w:val="56D26193"/>
    <w:rsid w:val="57B233A0"/>
    <w:rsid w:val="586B2478"/>
    <w:rsid w:val="58865E64"/>
    <w:rsid w:val="58C255AE"/>
    <w:rsid w:val="58DE6711"/>
    <w:rsid w:val="596D67DA"/>
    <w:rsid w:val="5A4D3BF6"/>
    <w:rsid w:val="5B6B290C"/>
    <w:rsid w:val="5BE55FB8"/>
    <w:rsid w:val="5BF54D48"/>
    <w:rsid w:val="5BFD4EC8"/>
    <w:rsid w:val="5C55335F"/>
    <w:rsid w:val="5C914C90"/>
    <w:rsid w:val="5CDD77D2"/>
    <w:rsid w:val="5CF50C1D"/>
    <w:rsid w:val="5D514298"/>
    <w:rsid w:val="5E847FBB"/>
    <w:rsid w:val="5E954ECC"/>
    <w:rsid w:val="5F1B40AA"/>
    <w:rsid w:val="5F2430A4"/>
    <w:rsid w:val="5F702B80"/>
    <w:rsid w:val="5F762EF1"/>
    <w:rsid w:val="5FC6029B"/>
    <w:rsid w:val="60003EDC"/>
    <w:rsid w:val="60382819"/>
    <w:rsid w:val="603C3C17"/>
    <w:rsid w:val="60405D44"/>
    <w:rsid w:val="604959AE"/>
    <w:rsid w:val="608D2202"/>
    <w:rsid w:val="612975B6"/>
    <w:rsid w:val="613269C6"/>
    <w:rsid w:val="61371FA3"/>
    <w:rsid w:val="61C15C3A"/>
    <w:rsid w:val="62DD7F01"/>
    <w:rsid w:val="630D6DD2"/>
    <w:rsid w:val="632640B2"/>
    <w:rsid w:val="64416B68"/>
    <w:rsid w:val="64893CF5"/>
    <w:rsid w:val="64A137DB"/>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D715B"/>
    <w:rsid w:val="6C587158"/>
    <w:rsid w:val="6CCC2F03"/>
    <w:rsid w:val="6D7C1A08"/>
    <w:rsid w:val="6D7E3DB9"/>
    <w:rsid w:val="6EBC525F"/>
    <w:rsid w:val="6EED19D9"/>
    <w:rsid w:val="6EEE2197"/>
    <w:rsid w:val="6EEF7E4F"/>
    <w:rsid w:val="6F2D12A0"/>
    <w:rsid w:val="70F03E4F"/>
    <w:rsid w:val="712D573D"/>
    <w:rsid w:val="723D0FE7"/>
    <w:rsid w:val="72BB566D"/>
    <w:rsid w:val="72FE0135"/>
    <w:rsid w:val="73021E25"/>
    <w:rsid w:val="733B0CC7"/>
    <w:rsid w:val="734A52E3"/>
    <w:rsid w:val="73BE0193"/>
    <w:rsid w:val="75017925"/>
    <w:rsid w:val="75BF5C57"/>
    <w:rsid w:val="76287E23"/>
    <w:rsid w:val="76437394"/>
    <w:rsid w:val="768C6E51"/>
    <w:rsid w:val="776530D4"/>
    <w:rsid w:val="792A66A2"/>
    <w:rsid w:val="79A732D1"/>
    <w:rsid w:val="79AF7659"/>
    <w:rsid w:val="79BA4A36"/>
    <w:rsid w:val="79F6478D"/>
    <w:rsid w:val="7AD6416D"/>
    <w:rsid w:val="7B616DAE"/>
    <w:rsid w:val="7BCD7517"/>
    <w:rsid w:val="7BFA4470"/>
    <w:rsid w:val="7C0039D3"/>
    <w:rsid w:val="7C433515"/>
    <w:rsid w:val="7C6C6D2C"/>
    <w:rsid w:val="7C7163B3"/>
    <w:rsid w:val="7CC70A5D"/>
    <w:rsid w:val="7D1962D7"/>
    <w:rsid w:val="7D45640A"/>
    <w:rsid w:val="7DCC035C"/>
    <w:rsid w:val="7DE6504F"/>
    <w:rsid w:val="7DEC76CD"/>
    <w:rsid w:val="7E6A0D57"/>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32"/>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4"/>
    <w:qFormat/>
    <w:uiPriority w:val="0"/>
    <w:pPr>
      <w:spacing w:before="240" w:after="240"/>
      <w:outlineLvl w:val="2"/>
    </w:pPr>
    <w:rPr>
      <w:b/>
      <w:sz w:val="24"/>
    </w:rPr>
  </w:style>
  <w:style w:type="character" w:default="1" w:styleId="19">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szCs w:val="24"/>
    </w:rPr>
  </w:style>
  <w:style w:type="paragraph" w:styleId="3">
    <w:name w:val="Body Text 2"/>
    <w:basedOn w:val="1"/>
    <w:next w:val="2"/>
    <w:qFormat/>
    <w:uiPriority w:val="0"/>
    <w:pPr>
      <w:spacing w:line="360" w:lineRule="auto"/>
    </w:pPr>
    <w:rPr>
      <w:kern w:val="0"/>
      <w:sz w:val="24"/>
      <w:szCs w:val="24"/>
    </w:rPr>
  </w:style>
  <w:style w:type="paragraph" w:styleId="7">
    <w:name w:val="Normal Indent"/>
    <w:basedOn w:val="1"/>
    <w:link w:val="50"/>
    <w:semiHidden/>
    <w:unhideWhenUsed/>
    <w:qFormat/>
    <w:uiPriority w:val="0"/>
    <w:pPr>
      <w:widowControl/>
      <w:spacing w:line="360" w:lineRule="auto"/>
      <w:ind w:firstLine="420"/>
      <w:jc w:val="left"/>
    </w:pPr>
    <w:rPr>
      <w:rFonts w:ascii="宋体" w:hAnsi="宋体" w:eastAsia="仿宋"/>
      <w:kern w:val="0"/>
      <w:sz w:val="24"/>
      <w:szCs w:val="24"/>
      <w:lang w:val="zh-CN"/>
    </w:rPr>
  </w:style>
  <w:style w:type="paragraph" w:styleId="8">
    <w:name w:val="annotation text"/>
    <w:basedOn w:val="1"/>
    <w:link w:val="46"/>
    <w:semiHidden/>
    <w:qFormat/>
    <w:uiPriority w:val="0"/>
    <w:pPr>
      <w:jc w:val="left"/>
    </w:pPr>
    <w:rPr>
      <w:szCs w:val="24"/>
    </w:rPr>
  </w:style>
  <w:style w:type="paragraph" w:styleId="9">
    <w:name w:val="Body Text Indent"/>
    <w:basedOn w:val="1"/>
    <w:qFormat/>
    <w:uiPriority w:val="0"/>
    <w:pPr>
      <w:spacing w:line="360" w:lineRule="auto"/>
      <w:ind w:left="720" w:hanging="720" w:hangingChars="300"/>
    </w:pPr>
    <w:rPr>
      <w:sz w:val="24"/>
    </w:rPr>
  </w:style>
  <w:style w:type="paragraph" w:styleId="10">
    <w:name w:val="Plain Text"/>
    <w:basedOn w:val="1"/>
    <w:link w:val="25"/>
    <w:qFormat/>
    <w:uiPriority w:val="0"/>
    <w:rPr>
      <w:rFonts w:ascii="宋体" w:hAnsi="Courier New" w:cs="Courier New"/>
      <w:szCs w:val="21"/>
    </w:rPr>
  </w:style>
  <w:style w:type="paragraph" w:styleId="11">
    <w:name w:val="Date"/>
    <w:basedOn w:val="1"/>
    <w:next w:val="1"/>
    <w:qFormat/>
    <w:uiPriority w:val="0"/>
  </w:style>
  <w:style w:type="paragraph" w:styleId="12">
    <w:name w:val="Balloon Text"/>
    <w:basedOn w:val="1"/>
    <w:link w:val="45"/>
    <w:qFormat/>
    <w:uiPriority w:val="0"/>
    <w:rPr>
      <w:sz w:val="18"/>
      <w:szCs w:val="18"/>
    </w:rPr>
  </w:style>
  <w:style w:type="paragraph" w:styleId="13">
    <w:name w:val="footer"/>
    <w:basedOn w:val="1"/>
    <w:link w:val="29"/>
    <w:qFormat/>
    <w:uiPriority w:val="99"/>
    <w:pPr>
      <w:tabs>
        <w:tab w:val="center" w:pos="4153"/>
        <w:tab w:val="right" w:pos="8306"/>
      </w:tabs>
      <w:snapToGrid w:val="0"/>
      <w:jc w:val="left"/>
    </w:pPr>
    <w:rPr>
      <w:sz w:val="18"/>
      <w:szCs w:val="18"/>
    </w:rPr>
  </w:style>
  <w:style w:type="paragraph" w:styleId="14">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spacing w:before="100" w:beforeAutospacing="1" w:after="100" w:afterAutospacing="1"/>
      <w:jc w:val="left"/>
    </w:pPr>
    <w:rPr>
      <w:kern w:val="0"/>
      <w:sz w:val="24"/>
    </w:rPr>
  </w:style>
  <w:style w:type="paragraph" w:styleId="16">
    <w:name w:val="annotation subject"/>
    <w:basedOn w:val="8"/>
    <w:next w:val="8"/>
    <w:link w:val="49"/>
    <w:semiHidden/>
    <w:unhideWhenUsed/>
    <w:qFormat/>
    <w:uiPriority w:val="0"/>
    <w:rPr>
      <w:b/>
      <w:bCs/>
      <w:szCs w:val="20"/>
    </w:rPr>
  </w:style>
  <w:style w:type="table" w:styleId="18">
    <w:name w:val="Table Grid"/>
    <w:basedOn w:val="1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0">
    <w:name w:val="Strong"/>
    <w:basedOn w:val="19"/>
    <w:qFormat/>
    <w:uiPriority w:val="22"/>
    <w:rPr>
      <w:b/>
      <w:bCs/>
    </w:rPr>
  </w:style>
  <w:style w:type="character" w:styleId="21">
    <w:name w:val="page number"/>
    <w:basedOn w:val="19"/>
    <w:semiHidden/>
    <w:qFormat/>
    <w:uiPriority w:val="0"/>
  </w:style>
  <w:style w:type="character" w:styleId="22">
    <w:name w:val="Hyperlink"/>
    <w:basedOn w:val="19"/>
    <w:qFormat/>
    <w:uiPriority w:val="0"/>
    <w:rPr>
      <w:color w:val="0000FF"/>
      <w:u w:val="single"/>
    </w:rPr>
  </w:style>
  <w:style w:type="character" w:styleId="23">
    <w:name w:val="annotation reference"/>
    <w:semiHidden/>
    <w:qFormat/>
    <w:uiPriority w:val="0"/>
    <w:rPr>
      <w:rFonts w:eastAsia="宋体"/>
      <w:kern w:val="2"/>
      <w:sz w:val="21"/>
      <w:szCs w:val="21"/>
      <w:lang w:val="en-US" w:eastAsia="zh-CN" w:bidi="ar-SA"/>
    </w:rPr>
  </w:style>
  <w:style w:type="character" w:customStyle="1" w:styleId="24">
    <w:name w:val="标题 3 字符"/>
    <w:basedOn w:val="19"/>
    <w:link w:val="6"/>
    <w:qFormat/>
    <w:uiPriority w:val="0"/>
    <w:rPr>
      <w:b/>
      <w:kern w:val="2"/>
      <w:sz w:val="24"/>
    </w:rPr>
  </w:style>
  <w:style w:type="character" w:customStyle="1" w:styleId="25">
    <w:name w:val="纯文本 字符"/>
    <w:basedOn w:val="19"/>
    <w:link w:val="10"/>
    <w:qFormat/>
    <w:uiPriority w:val="0"/>
    <w:rPr>
      <w:rFonts w:ascii="宋体" w:hAnsi="Courier New" w:cs="Courier New"/>
      <w:kern w:val="2"/>
      <w:sz w:val="21"/>
      <w:szCs w:val="21"/>
    </w:rPr>
  </w:style>
  <w:style w:type="paragraph" w:customStyle="1" w:styleId="26">
    <w:name w:val="Char"/>
    <w:basedOn w:val="1"/>
    <w:qFormat/>
    <w:uiPriority w:val="0"/>
    <w:rPr>
      <w:rFonts w:ascii="仿宋_GB2312" w:eastAsia="仿宋_GB2312"/>
      <w:b/>
      <w:sz w:val="32"/>
      <w:szCs w:val="32"/>
    </w:rPr>
  </w:style>
  <w:style w:type="paragraph" w:customStyle="1" w:styleId="27">
    <w:name w:val="样式 (西文) 宋体 行距: 1.5 倍行距"/>
    <w:basedOn w:val="1"/>
    <w:qFormat/>
    <w:uiPriority w:val="0"/>
    <w:pPr>
      <w:spacing w:line="360" w:lineRule="auto"/>
    </w:pPr>
    <w:rPr>
      <w:rFonts w:ascii="宋体" w:hAnsi="宋体" w:cs="宋体"/>
    </w:rPr>
  </w:style>
  <w:style w:type="character" w:customStyle="1" w:styleId="28">
    <w:name w:val="页眉 字符"/>
    <w:basedOn w:val="19"/>
    <w:link w:val="14"/>
    <w:qFormat/>
    <w:uiPriority w:val="0"/>
    <w:rPr>
      <w:kern w:val="2"/>
      <w:sz w:val="18"/>
      <w:szCs w:val="18"/>
    </w:rPr>
  </w:style>
  <w:style w:type="character" w:customStyle="1" w:styleId="29">
    <w:name w:val="页脚 字符"/>
    <w:basedOn w:val="19"/>
    <w:link w:val="13"/>
    <w:qFormat/>
    <w:uiPriority w:val="99"/>
    <w:rPr>
      <w:kern w:val="2"/>
      <w:sz w:val="18"/>
      <w:szCs w:val="18"/>
    </w:rPr>
  </w:style>
  <w:style w:type="character" w:customStyle="1" w:styleId="30">
    <w:name w:val="标题 2 字符"/>
    <w:basedOn w:val="19"/>
    <w:link w:val="5"/>
    <w:semiHidden/>
    <w:qFormat/>
    <w:uiPriority w:val="0"/>
    <w:rPr>
      <w:rFonts w:asciiTheme="majorHAnsi" w:hAnsiTheme="majorHAnsi" w:eastAsiaTheme="majorEastAsia" w:cstheme="majorBidi"/>
      <w:b/>
      <w:bCs/>
      <w:kern w:val="2"/>
      <w:sz w:val="32"/>
      <w:szCs w:val="32"/>
    </w:rPr>
  </w:style>
  <w:style w:type="paragraph" w:customStyle="1" w:styleId="31">
    <w:name w:val="列出段落1"/>
    <w:basedOn w:val="1"/>
    <w:qFormat/>
    <w:uiPriority w:val="34"/>
    <w:pPr>
      <w:ind w:firstLine="420" w:firstLineChars="200"/>
    </w:pPr>
    <w:rPr>
      <w:rFonts w:ascii="Calibri" w:hAnsi="Calibri"/>
      <w:szCs w:val="22"/>
    </w:rPr>
  </w:style>
  <w:style w:type="character" w:customStyle="1" w:styleId="32">
    <w:name w:val="标题 1 字符"/>
    <w:basedOn w:val="19"/>
    <w:link w:val="4"/>
    <w:qFormat/>
    <w:uiPriority w:val="0"/>
    <w:rPr>
      <w:b/>
      <w:bCs/>
      <w:kern w:val="44"/>
      <w:sz w:val="44"/>
      <w:szCs w:val="44"/>
    </w:rPr>
  </w:style>
  <w:style w:type="paragraph" w:customStyle="1" w:styleId="33">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34">
    <w:name w:val="_Style 1"/>
    <w:basedOn w:val="1"/>
    <w:qFormat/>
    <w:uiPriority w:val="34"/>
    <w:pPr>
      <w:ind w:firstLine="420" w:firstLineChars="200"/>
    </w:pPr>
  </w:style>
  <w:style w:type="paragraph" w:customStyle="1" w:styleId="35">
    <w:name w:val="样式3"/>
    <w:basedOn w:val="1"/>
    <w:qFormat/>
    <w:uiPriority w:val="0"/>
    <w:pPr>
      <w:spacing w:line="0" w:lineRule="atLeast"/>
      <w:outlineLvl w:val="0"/>
    </w:pPr>
    <w:rPr>
      <w:rFonts w:ascii="宋体" w:hAnsi="Courier New"/>
      <w:sz w:val="28"/>
      <w:szCs w:val="24"/>
    </w:rPr>
  </w:style>
  <w:style w:type="paragraph" w:customStyle="1" w:styleId="36">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7">
    <w:name w:val="招标文件样式2"/>
    <w:basedOn w:val="1"/>
    <w:qFormat/>
    <w:uiPriority w:val="99"/>
    <w:pPr>
      <w:jc w:val="center"/>
      <w:outlineLvl w:val="0"/>
    </w:pPr>
    <w:rPr>
      <w:rFonts w:ascii="宋体" w:hAnsi="宋体"/>
      <w:b/>
      <w:sz w:val="28"/>
      <w:szCs w:val="28"/>
    </w:rPr>
  </w:style>
  <w:style w:type="paragraph" w:customStyle="1" w:styleId="38">
    <w:name w:val="列出段落11"/>
    <w:basedOn w:val="1"/>
    <w:qFormat/>
    <w:uiPriority w:val="99"/>
    <w:pPr>
      <w:ind w:firstLine="420" w:firstLineChars="200"/>
    </w:pPr>
  </w:style>
  <w:style w:type="paragraph" w:customStyle="1" w:styleId="39">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40">
    <w:name w:val="List Paragraph1"/>
    <w:basedOn w:val="1"/>
    <w:qFormat/>
    <w:uiPriority w:val="99"/>
    <w:pPr>
      <w:ind w:firstLine="420" w:firstLineChars="200"/>
    </w:pPr>
  </w:style>
  <w:style w:type="paragraph" w:customStyle="1" w:styleId="41">
    <w:name w:val="msolistparagraph"/>
    <w:basedOn w:val="1"/>
    <w:qFormat/>
    <w:uiPriority w:val="0"/>
    <w:pPr>
      <w:adjustRightInd w:val="0"/>
      <w:snapToGrid w:val="0"/>
      <w:ind w:firstLine="420" w:firstLineChars="200"/>
    </w:pPr>
    <w:rPr>
      <w:sz w:val="28"/>
      <w:szCs w:val="24"/>
    </w:rPr>
  </w:style>
  <w:style w:type="character" w:customStyle="1" w:styleId="42">
    <w:name w:val="font31"/>
    <w:basedOn w:val="19"/>
    <w:qFormat/>
    <w:uiPriority w:val="0"/>
    <w:rPr>
      <w:rFonts w:hint="eastAsia" w:ascii="宋体" w:hAnsi="宋体" w:eastAsia="宋体" w:cs="Times New Roman"/>
      <w:color w:val="000000"/>
      <w:sz w:val="20"/>
      <w:szCs w:val="20"/>
      <w:u w:val="none"/>
    </w:rPr>
  </w:style>
  <w:style w:type="character" w:customStyle="1" w:styleId="43">
    <w:name w:val="font21"/>
    <w:basedOn w:val="19"/>
    <w:qFormat/>
    <w:uiPriority w:val="0"/>
    <w:rPr>
      <w:rFonts w:hint="eastAsia" w:ascii="宋体" w:hAnsi="宋体" w:eastAsia="宋体" w:cs="宋体"/>
      <w:color w:val="000000"/>
      <w:sz w:val="18"/>
      <w:szCs w:val="18"/>
      <w:u w:val="none"/>
    </w:rPr>
  </w:style>
  <w:style w:type="paragraph" w:customStyle="1" w:styleId="44">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45">
    <w:name w:val="批注框文本 字符"/>
    <w:basedOn w:val="19"/>
    <w:link w:val="12"/>
    <w:qFormat/>
    <w:uiPriority w:val="0"/>
    <w:rPr>
      <w:rFonts w:ascii="Times New Roman" w:hAnsi="Times New Roman"/>
      <w:kern w:val="2"/>
      <w:sz w:val="18"/>
      <w:szCs w:val="18"/>
    </w:rPr>
  </w:style>
  <w:style w:type="character" w:customStyle="1" w:styleId="46">
    <w:name w:val="批注文字 字符"/>
    <w:basedOn w:val="19"/>
    <w:link w:val="8"/>
    <w:semiHidden/>
    <w:qFormat/>
    <w:uiPriority w:val="0"/>
    <w:rPr>
      <w:rFonts w:ascii="Times New Roman" w:hAnsi="Times New Roman"/>
      <w:kern w:val="2"/>
      <w:sz w:val="21"/>
      <w:szCs w:val="24"/>
    </w:rPr>
  </w:style>
  <w:style w:type="paragraph" w:styleId="47">
    <w:name w:val="List Paragraph"/>
    <w:basedOn w:val="1"/>
    <w:link w:val="48"/>
    <w:qFormat/>
    <w:uiPriority w:val="34"/>
    <w:pPr>
      <w:ind w:firstLine="420" w:firstLineChars="200"/>
    </w:pPr>
    <w:rPr>
      <w:rFonts w:ascii="Calibri" w:hAnsi="Calibri"/>
      <w:szCs w:val="22"/>
    </w:rPr>
  </w:style>
  <w:style w:type="character" w:customStyle="1" w:styleId="48">
    <w:name w:val="列出段落 字符"/>
    <w:link w:val="47"/>
    <w:qFormat/>
    <w:uiPriority w:val="0"/>
    <w:rPr>
      <w:kern w:val="2"/>
      <w:sz w:val="21"/>
      <w:szCs w:val="22"/>
    </w:rPr>
  </w:style>
  <w:style w:type="character" w:customStyle="1" w:styleId="49">
    <w:name w:val="批注主题 字符"/>
    <w:basedOn w:val="46"/>
    <w:link w:val="16"/>
    <w:semiHidden/>
    <w:qFormat/>
    <w:uiPriority w:val="0"/>
    <w:rPr>
      <w:rFonts w:ascii="Times New Roman" w:hAnsi="Times New Roman"/>
      <w:b/>
      <w:bCs/>
      <w:kern w:val="2"/>
      <w:sz w:val="21"/>
      <w:szCs w:val="24"/>
    </w:rPr>
  </w:style>
  <w:style w:type="character" w:customStyle="1" w:styleId="50">
    <w:name w:val="正文缩进 字符"/>
    <w:link w:val="7"/>
    <w:semiHidden/>
    <w:qFormat/>
    <w:locked/>
    <w:uiPriority w:val="0"/>
    <w:rPr>
      <w:rFonts w:ascii="宋体" w:hAnsi="宋体" w:eastAsia="仿宋"/>
      <w:sz w:val="24"/>
      <w:szCs w:val="24"/>
      <w:lang w:val="zh-CN" w:eastAsia="zh-CN"/>
    </w:rPr>
  </w:style>
  <w:style w:type="paragraph" w:customStyle="1" w:styleId="51">
    <w:name w:val="标题 31"/>
    <w:basedOn w:val="1"/>
    <w:next w:val="1"/>
    <w:unhideWhenUsed/>
    <w:qFormat/>
    <w:uiPriority w:val="0"/>
    <w:pPr>
      <w:keepNext/>
      <w:keepLines/>
      <w:numPr>
        <w:ilvl w:val="0"/>
        <w:numId w:val="1"/>
      </w:numPr>
      <w:spacing w:line="360" w:lineRule="auto"/>
      <w:ind w:left="420" w:hanging="420"/>
      <w:contextualSpacing/>
      <w:outlineLvl w:val="2"/>
    </w:pPr>
    <w:rPr>
      <w:rFonts w:asciiTheme="minorHAnsi" w:hAnsiTheme="minorHAnsi" w:cstheme="minorBidi"/>
      <w:bCs/>
      <w:szCs w:val="32"/>
    </w:rPr>
  </w:style>
  <w:style w:type="paragraph" w:customStyle="1" w:styleId="52">
    <w:name w:val="标题 41"/>
    <w:basedOn w:val="1"/>
    <w:next w:val="1"/>
    <w:unhideWhenUsed/>
    <w:qFormat/>
    <w:uiPriority w:val="0"/>
    <w:pPr>
      <w:keepNext/>
      <w:keepLines/>
      <w:numPr>
        <w:ilvl w:val="1"/>
        <w:numId w:val="1"/>
      </w:numPr>
      <w:spacing w:line="360" w:lineRule="auto"/>
      <w:ind w:left="840" w:hanging="420"/>
      <w:jc w:val="left"/>
      <w:outlineLvl w:val="3"/>
    </w:pPr>
    <w:rPr>
      <w:rFonts w:ascii="等线 Light" w:hAnsi="等线 Light"/>
      <w:bCs/>
      <w:szCs w:val="28"/>
    </w:rPr>
  </w:style>
  <w:style w:type="paragraph" w:customStyle="1" w:styleId="53">
    <w:name w:val="标题 51"/>
    <w:basedOn w:val="1"/>
    <w:next w:val="1"/>
    <w:unhideWhenUsed/>
    <w:qFormat/>
    <w:uiPriority w:val="0"/>
    <w:pPr>
      <w:keepNext/>
      <w:keepLines/>
      <w:numPr>
        <w:ilvl w:val="2"/>
        <w:numId w:val="1"/>
      </w:numPr>
      <w:spacing w:line="360" w:lineRule="auto"/>
      <w:ind w:left="1260" w:hanging="420"/>
      <w:contextualSpacing/>
      <w:jc w:val="left"/>
      <w:outlineLvl w:val="4"/>
    </w:pPr>
    <w:rPr>
      <w:rFonts w:asciiTheme="minorHAnsi" w:hAnsiTheme="minorHAnsi" w:cstheme="minorBidi"/>
      <w:b/>
      <w:bCs/>
      <w:sz w:val="24"/>
      <w:szCs w:val="28"/>
    </w:rPr>
  </w:style>
  <w:style w:type="paragraph" w:customStyle="1" w:styleId="54">
    <w:name w:val="标题 61"/>
    <w:basedOn w:val="1"/>
    <w:next w:val="1"/>
    <w:unhideWhenUsed/>
    <w:qFormat/>
    <w:uiPriority w:val="0"/>
    <w:pPr>
      <w:keepNext/>
      <w:keepLines/>
      <w:numPr>
        <w:ilvl w:val="3"/>
        <w:numId w:val="1"/>
      </w:numPr>
      <w:spacing w:line="360" w:lineRule="auto"/>
      <w:ind w:left="1680" w:hanging="420"/>
      <w:contextualSpacing/>
      <w:outlineLvl w:val="5"/>
    </w:pPr>
    <w:rPr>
      <w:rFonts w:ascii="等线 Light" w:hAnsi="等线 Light"/>
      <w:b/>
      <w:bCs/>
      <w:sz w:val="24"/>
      <w:szCs w:val="24"/>
    </w:rPr>
  </w:style>
  <w:style w:type="paragraph" w:customStyle="1" w:styleId="55">
    <w:name w:val="标题 71"/>
    <w:basedOn w:val="1"/>
    <w:next w:val="1"/>
    <w:unhideWhenUsed/>
    <w:qFormat/>
    <w:uiPriority w:val="0"/>
    <w:pPr>
      <w:keepNext/>
      <w:keepLines/>
      <w:numPr>
        <w:ilvl w:val="4"/>
        <w:numId w:val="1"/>
      </w:numPr>
      <w:spacing w:line="360" w:lineRule="auto"/>
      <w:ind w:left="2100" w:hanging="420"/>
      <w:outlineLvl w:val="6"/>
    </w:pPr>
    <w:rPr>
      <w:rFonts w:asciiTheme="minorHAnsi" w:hAnsiTheme="minorHAnsi" w:cstheme="minorBidi"/>
      <w:b/>
      <w:bCs/>
      <w:sz w:val="24"/>
      <w:szCs w:val="24"/>
    </w:rPr>
  </w:style>
  <w:style w:type="paragraph" w:customStyle="1" w:styleId="56">
    <w:name w:val="标题 81"/>
    <w:basedOn w:val="1"/>
    <w:next w:val="1"/>
    <w:unhideWhenUsed/>
    <w:qFormat/>
    <w:uiPriority w:val="0"/>
    <w:pPr>
      <w:keepNext/>
      <w:keepLines/>
      <w:numPr>
        <w:ilvl w:val="5"/>
        <w:numId w:val="1"/>
      </w:numPr>
      <w:spacing w:line="360" w:lineRule="auto"/>
      <w:ind w:left="2520" w:hanging="420"/>
      <w:jc w:val="left"/>
      <w:outlineLvl w:val="7"/>
    </w:pPr>
    <w:rPr>
      <w:rFonts w:ascii="等线 Light" w:hAnsi="等线 Light"/>
      <w:b/>
      <w:sz w:val="24"/>
      <w:szCs w:val="24"/>
    </w:rPr>
  </w:style>
  <w:style w:type="paragraph" w:customStyle="1" w:styleId="57">
    <w:name w:val="标题 91"/>
    <w:basedOn w:val="1"/>
    <w:next w:val="1"/>
    <w:unhideWhenUsed/>
    <w:qFormat/>
    <w:uiPriority w:val="0"/>
    <w:pPr>
      <w:keepNext/>
      <w:keepLines/>
      <w:numPr>
        <w:ilvl w:val="6"/>
        <w:numId w:val="1"/>
      </w:numPr>
      <w:spacing w:before="240" w:after="64" w:line="320" w:lineRule="auto"/>
      <w:ind w:left="2940" w:hanging="420"/>
      <w:outlineLvl w:val="8"/>
    </w:pPr>
    <w:rPr>
      <w:rFonts w:ascii="等线 Light" w:hAnsi="等线 Light" w:eastAsia="等线 Light"/>
      <w:sz w:val="24"/>
      <w:szCs w:val="21"/>
    </w:rPr>
  </w:style>
  <w:style w:type="table" w:customStyle="1" w:styleId="58">
    <w:name w:val="网格型6"/>
    <w:basedOn w:val="17"/>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
    <w:name w:val="网格型3"/>
    <w:basedOn w:val="17"/>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
    <w:name w:val="网格型4"/>
    <w:basedOn w:val="17"/>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
    <w:name w:val="网格型5"/>
    <w:basedOn w:val="17"/>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
    <w:name w:val="网格型61"/>
    <w:basedOn w:val="17"/>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
    <w:name w:val="网格型62"/>
    <w:basedOn w:val="17"/>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4">
    <w:name w:val="样式 正文缩进 + 首行缩进:  2 字符"/>
    <w:basedOn w:val="1"/>
    <w:qFormat/>
    <w:uiPriority w:val="0"/>
    <w:pPr>
      <w:spacing w:line="360" w:lineRule="auto"/>
      <w:ind w:firstLine="200" w:firstLineChars="200"/>
    </w:pPr>
    <w:rPr>
      <w:rFonts w:ascii="Calibri" w:hAnsi="Calibri"/>
      <w:kern w:val="0"/>
      <w:sz w:val="24"/>
    </w:rPr>
  </w:style>
  <w:style w:type="paragraph" w:customStyle="1" w:styleId="65">
    <w:name w:val="样式 正文文本缩进 + 左  0 字符"/>
    <w:basedOn w:val="9"/>
    <w:qFormat/>
    <w:uiPriority w:val="0"/>
    <w:pPr>
      <w:tabs>
        <w:tab w:val="left" w:pos="900"/>
      </w:tabs>
      <w:ind w:left="0" w:firstLine="250" w:firstLineChars="250"/>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340CE3-4979-4A64-A82B-E53D55E2035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6327</Words>
  <Characters>6553</Characters>
  <Lines>71</Lines>
  <Paragraphs>20</Paragraphs>
  <TotalTime>4</TotalTime>
  <ScaleCrop>false</ScaleCrop>
  <LinksUpToDate>false</LinksUpToDate>
  <CharactersWithSpaces>7697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2023-10-12T08:26:00Z</dcterms:created>
  <dc:creator>User</dc:creator>
  <cp:lastModifiedBy>Absurd</cp:lastModifiedBy>
  <cp:lastPrinted>2023-11-01T06:03:04Z</cp:lastPrinted>
  <dcterms:modified xsi:type="dcterms:W3CDTF">2023-11-01T06:03:38Z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9A62E3F32F3A4AE689B872C9A82BA576_13</vt:lpwstr>
  </property>
</Properties>
</file>