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hint="eastAsia" w:ascii="宋体" w:hAnsi="宋体" w:eastAsia="宋体" w:cs="宋体"/>
          <w:bCs/>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bCs/>
          <w:color w:val="000000"/>
          <w:sz w:val="24"/>
          <w:szCs w:val="24"/>
        </w:rPr>
        <w:t>评分表</w:t>
      </w:r>
    </w:p>
    <w:p>
      <w:pPr>
        <w:snapToGrid w:val="0"/>
        <w:ind w:right="-315" w:rightChars="-150" w:firstLine="480" w:firstLineChars="200"/>
        <w:rPr>
          <w:rFonts w:hint="eastAsia" w:ascii="宋体" w:hAnsi="宋体" w:eastAsia="宋体" w:cs="宋体"/>
          <w:sz w:val="24"/>
          <w:szCs w:val="24"/>
        </w:rPr>
      </w:pPr>
      <w:r>
        <w:rPr>
          <w:rFonts w:hint="eastAsia" w:ascii="宋体" w:hAnsi="宋体" w:eastAsia="宋体" w:cs="宋体"/>
          <w:sz w:val="24"/>
          <w:szCs w:val="24"/>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804" w:type="dxa"/>
            <w:gridSpan w:val="3"/>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评分项</w:t>
            </w:r>
          </w:p>
        </w:tc>
        <w:tc>
          <w:tcPr>
            <w:tcW w:w="4710" w:type="dxa"/>
            <w:gridSpan w:val="2"/>
            <w:shd w:val="clear" w:color="auto" w:fill="DBE5F1"/>
            <w:vAlign w:val="center"/>
          </w:tcPr>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804" w:type="dxa"/>
            <w:gridSpan w:val="3"/>
            <w:vAlign w:val="center"/>
          </w:tcPr>
          <w:p>
            <w:pPr>
              <w:spacing w:line="276" w:lineRule="auto"/>
              <w:jc w:val="center"/>
              <w:rPr>
                <w:rFonts w:hint="eastAsia" w:ascii="宋体" w:hAnsi="宋体" w:eastAsia="宋体" w:cs="宋体"/>
                <w:sz w:val="24"/>
                <w:szCs w:val="24"/>
              </w:rPr>
            </w:pPr>
            <w:r>
              <w:rPr>
                <w:rFonts w:hint="eastAsia" w:ascii="宋体" w:hAnsi="宋体" w:eastAsia="宋体" w:cs="宋体"/>
                <w:b/>
                <w:w w:val="99"/>
                <w:sz w:val="24"/>
                <w:szCs w:val="24"/>
              </w:rPr>
              <w:t>价格部分</w:t>
            </w:r>
          </w:p>
        </w:tc>
        <w:tc>
          <w:tcPr>
            <w:tcW w:w="4710" w:type="dxa"/>
            <w:gridSpan w:val="2"/>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804" w:type="dxa"/>
            <w:gridSpan w:val="3"/>
            <w:vAlign w:val="center"/>
          </w:tcPr>
          <w:p>
            <w:pPr>
              <w:spacing w:line="276" w:lineRule="auto"/>
              <w:jc w:val="center"/>
              <w:rPr>
                <w:rFonts w:hint="eastAsia" w:ascii="宋体" w:hAnsi="宋体" w:eastAsia="宋体" w:cs="宋体"/>
                <w:sz w:val="24"/>
                <w:szCs w:val="24"/>
              </w:rPr>
            </w:pPr>
            <w:r>
              <w:rPr>
                <w:rFonts w:hint="eastAsia" w:ascii="宋体" w:hAnsi="宋体" w:eastAsia="宋体" w:cs="宋体"/>
                <w:b/>
                <w:w w:val="99"/>
                <w:sz w:val="24"/>
                <w:szCs w:val="24"/>
                <w:lang w:eastAsia="zh-CN"/>
              </w:rPr>
              <w:t>技术</w:t>
            </w:r>
            <w:r>
              <w:rPr>
                <w:rFonts w:hint="eastAsia" w:ascii="宋体" w:hAnsi="宋体" w:eastAsia="宋体" w:cs="宋体"/>
                <w:b/>
                <w:w w:val="99"/>
                <w:sz w:val="24"/>
                <w:szCs w:val="24"/>
              </w:rPr>
              <w:t>部分</w:t>
            </w:r>
          </w:p>
        </w:tc>
        <w:tc>
          <w:tcPr>
            <w:tcW w:w="4710" w:type="dxa"/>
            <w:gridSpan w:val="2"/>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4</w:t>
            </w:r>
            <w:r>
              <w:rPr>
                <w:rFonts w:hint="eastAsia" w:ascii="宋体" w:hAnsi="宋体" w:cs="宋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spacing w:line="276" w:lineRule="auto"/>
              <w:jc w:val="center"/>
              <w:rPr>
                <w:rFonts w:hint="eastAsia" w:ascii="宋体" w:hAnsi="宋体" w:eastAsia="宋体" w:cs="宋体"/>
                <w:sz w:val="24"/>
                <w:szCs w:val="24"/>
              </w:rPr>
            </w:pPr>
          </w:p>
        </w:tc>
        <w:tc>
          <w:tcPr>
            <w:tcW w:w="701"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3"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5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shd w:val="clear" w:color="auto" w:fill="DBE5F1"/>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widowControl/>
              <w:spacing w:line="300" w:lineRule="atLeast"/>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453" w:type="dxa"/>
            <w:vAlign w:val="center"/>
          </w:tcPr>
          <w:p>
            <w:pPr>
              <w:widowControl/>
              <w:jc w:val="center"/>
              <w:rPr>
                <w:rFonts w:hint="eastAsia" w:ascii="宋体" w:hAnsi="宋体" w:eastAsia="宋体" w:cs="宋体"/>
                <w:sz w:val="24"/>
                <w:szCs w:val="24"/>
              </w:rPr>
            </w:pPr>
            <w:r>
              <w:rPr>
                <w:rFonts w:ascii="宋体" w:hAnsi="宋体" w:cs="仿宋"/>
                <w:szCs w:val="21"/>
              </w:rPr>
              <w:t>实施方案（工作措施、工作方法、工作手段、工作流程）</w:t>
            </w:r>
          </w:p>
        </w:tc>
        <w:tc>
          <w:tcPr>
            <w:tcW w:w="650" w:type="dxa"/>
            <w:vAlign w:val="center"/>
          </w:tcPr>
          <w:p>
            <w:pPr>
              <w:widowControl/>
              <w:jc w:val="center"/>
              <w:rPr>
                <w:rFonts w:hint="eastAsia" w:ascii="宋体" w:hAnsi="宋体" w:eastAsia="宋体" w:cs="宋体"/>
                <w:sz w:val="24"/>
                <w:szCs w:val="24"/>
                <w:lang w:val="en-US"/>
              </w:rPr>
            </w:pPr>
            <w:r>
              <w:rPr>
                <w:rFonts w:hint="eastAsia" w:ascii="宋体" w:hAnsi="宋体" w:cs="仿宋"/>
                <w:szCs w:val="21"/>
                <w:lang w:val="en-US" w:eastAsia="zh-CN"/>
              </w:rPr>
              <w:t>8</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sz w:val="24"/>
                <w:szCs w:val="24"/>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6</w:t>
            </w:r>
            <w:r>
              <w:rPr>
                <w:rFonts w:hint="eastAsia" w:ascii="宋体" w:hAnsi="宋体" w:cs="仿宋"/>
                <w:szCs w:val="21"/>
              </w:rPr>
              <w:t>-</w:t>
            </w:r>
            <w:r>
              <w:rPr>
                <w:rFonts w:hint="eastAsia" w:ascii="宋体" w:hAnsi="宋体" w:cs="仿宋"/>
                <w:szCs w:val="21"/>
                <w:lang w:val="en-US" w:eastAsia="zh-CN"/>
              </w:rPr>
              <w:t>8</w:t>
            </w:r>
            <w:r>
              <w:rPr>
                <w:rFonts w:ascii="宋体" w:hAnsi="宋体" w:cs="仿宋"/>
                <w:szCs w:val="21"/>
              </w:rPr>
              <w:t>分；评价为良得</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6</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项目重点难点分析、应对措施及相关的合理化建议</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hint="eastAsia" w:ascii="宋体" w:hAnsi="宋体" w:cs="仿宋"/>
                <w:szCs w:val="21"/>
                <w:lang w:val="en-US" w:eastAsia="zh-CN"/>
              </w:rPr>
              <w:t>6</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sz w:val="24"/>
                <w:szCs w:val="24"/>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hint="eastAsia" w:ascii="宋体" w:hAnsi="宋体" w:cs="仿宋"/>
                <w:szCs w:val="21"/>
              </w:rPr>
              <w:t>-</w:t>
            </w:r>
            <w:r>
              <w:rPr>
                <w:rFonts w:hint="eastAsia" w:ascii="宋体" w:hAnsi="宋体" w:cs="仿宋"/>
                <w:szCs w:val="21"/>
                <w:lang w:val="en-US" w:eastAsia="zh-CN"/>
              </w:rPr>
              <w:t>6</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质量（完成时间、安全、环保）保障措施及方案</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hint="eastAsia" w:ascii="宋体" w:hAnsi="宋体" w:cs="仿宋"/>
                <w:szCs w:val="21"/>
                <w:lang w:val="en-US" w:eastAsia="zh-CN"/>
              </w:rPr>
              <w:t>6</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sz w:val="24"/>
                <w:szCs w:val="24"/>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hint="eastAsia" w:ascii="宋体" w:hAnsi="宋体" w:cs="仿宋"/>
                <w:szCs w:val="21"/>
              </w:rPr>
              <w:t>-</w:t>
            </w:r>
            <w:r>
              <w:rPr>
                <w:rFonts w:hint="eastAsia" w:ascii="宋体" w:hAnsi="宋体" w:cs="仿宋"/>
                <w:szCs w:val="21"/>
                <w:lang w:val="en-US" w:eastAsia="zh-CN"/>
              </w:rPr>
              <w:t>6</w:t>
            </w:r>
            <w:r>
              <w:rPr>
                <w:rFonts w:ascii="宋体" w:hAnsi="宋体" w:cs="仿宋"/>
                <w:szCs w:val="21"/>
              </w:rPr>
              <w:t>分；评价为良得</w:t>
            </w:r>
            <w:r>
              <w:rPr>
                <w:rFonts w:hint="eastAsia" w:ascii="宋体" w:hAnsi="宋体" w:cs="仿宋"/>
                <w:szCs w:val="21"/>
                <w:lang w:val="en-US" w:eastAsia="zh-CN"/>
              </w:rPr>
              <w:t>3</w:t>
            </w:r>
            <w:r>
              <w:rPr>
                <w:rFonts w:hint="eastAsia" w:ascii="宋体" w:hAnsi="宋体" w:cs="仿宋"/>
                <w:szCs w:val="21"/>
              </w:rPr>
              <w:t>-</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违约承诺</w:t>
            </w:r>
          </w:p>
        </w:tc>
        <w:tc>
          <w:tcPr>
            <w:tcW w:w="650" w:type="dxa"/>
            <w:vAlign w:val="center"/>
          </w:tcPr>
          <w:p>
            <w:pPr>
              <w:widowControl/>
              <w:spacing w:line="300" w:lineRule="atLeast"/>
              <w:jc w:val="center"/>
              <w:rPr>
                <w:rFonts w:hint="eastAsia" w:ascii="宋体" w:hAnsi="宋体" w:eastAsia="宋体" w:cs="宋体"/>
                <w:sz w:val="24"/>
                <w:szCs w:val="24"/>
                <w:lang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color w:val="auto"/>
                <w:sz w:val="24"/>
                <w:szCs w:val="24"/>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拟安排的项目负责人情况</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5</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color w:val="auto"/>
                <w:sz w:val="24"/>
                <w:szCs w:val="24"/>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tcBorders/>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2453" w:type="dxa"/>
            <w:vAlign w:val="center"/>
          </w:tcPr>
          <w:p>
            <w:pPr>
              <w:widowControl/>
              <w:spacing w:line="300" w:lineRule="atLeast"/>
              <w:jc w:val="center"/>
              <w:rPr>
                <w:rFonts w:hint="eastAsia" w:ascii="宋体" w:hAnsi="宋体" w:eastAsia="宋体" w:cs="宋体"/>
                <w:sz w:val="24"/>
                <w:szCs w:val="24"/>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eastAsia="宋体" w:cs="宋体"/>
                <w:sz w:val="24"/>
                <w:szCs w:val="24"/>
                <w:lang w:val="en-US" w:eastAsia="zh-CN"/>
              </w:rPr>
            </w:pPr>
            <w:r>
              <w:rPr>
                <w:rFonts w:ascii="宋体" w:hAnsi="宋体" w:cs="仿宋"/>
                <w:szCs w:val="21"/>
              </w:rPr>
              <w:t>10</w:t>
            </w:r>
          </w:p>
        </w:tc>
        <w:tc>
          <w:tcPr>
            <w:tcW w:w="1110" w:type="dxa"/>
            <w:vAlign w:val="center"/>
          </w:tcPr>
          <w:p>
            <w:pPr>
              <w:jc w:val="center"/>
              <w:rPr>
                <w:rFonts w:hint="eastAsia" w:ascii="宋体" w:hAnsi="宋体" w:eastAsia="宋体" w:cs="宋体"/>
                <w:sz w:val="24"/>
                <w:szCs w:val="24"/>
              </w:rPr>
            </w:pPr>
            <w:r>
              <w:rPr>
                <w:rFonts w:hint="eastAsia" w:ascii="宋体" w:hAnsi="宋体" w:cs="仿宋"/>
                <w:szCs w:val="21"/>
              </w:rPr>
              <w:t>专家打分</w:t>
            </w:r>
          </w:p>
        </w:tc>
        <w:tc>
          <w:tcPr>
            <w:tcW w:w="3600" w:type="dxa"/>
            <w:vAlign w:val="center"/>
          </w:tcPr>
          <w:p>
            <w:pPr>
              <w:widowControl/>
              <w:jc w:val="left"/>
              <w:rPr>
                <w:rFonts w:hint="eastAsia" w:ascii="宋体" w:hAnsi="宋体" w:eastAsia="宋体" w:cs="宋体"/>
                <w:color w:val="auto"/>
                <w:sz w:val="24"/>
                <w:szCs w:val="24"/>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804" w:type="dxa"/>
            <w:gridSpan w:val="3"/>
          </w:tcPr>
          <w:p>
            <w:pPr>
              <w:jc w:val="center"/>
              <w:rPr>
                <w:rFonts w:hint="eastAsia" w:ascii="宋体" w:hAnsi="宋体" w:eastAsia="宋体" w:cs="宋体"/>
                <w:sz w:val="24"/>
                <w:szCs w:val="24"/>
              </w:rPr>
            </w:pPr>
            <w:r>
              <w:rPr>
                <w:rFonts w:hint="eastAsia" w:ascii="宋体" w:hAnsi="宋体" w:eastAsia="宋体" w:cs="宋体"/>
                <w:b/>
                <w:sz w:val="24"/>
                <w:szCs w:val="24"/>
              </w:rPr>
              <w:t>商务部分</w:t>
            </w:r>
          </w:p>
        </w:tc>
        <w:tc>
          <w:tcPr>
            <w:tcW w:w="4710" w:type="dxa"/>
            <w:gridSpan w:val="2"/>
          </w:tcPr>
          <w:p>
            <w:pPr>
              <w:jc w:val="center"/>
              <w:rPr>
                <w:rFonts w:hint="eastAsia" w:ascii="宋体" w:hAnsi="宋体" w:eastAsia="宋体" w:cs="宋体"/>
                <w:bCs/>
                <w:sz w:val="24"/>
                <w:szCs w:val="24"/>
                <w:lang w:val="en-US" w:eastAsia="zh-CN"/>
              </w:rPr>
            </w:pPr>
            <w:r>
              <w:rPr>
                <w:rFonts w:hint="eastAsia" w:ascii="宋体" w:hAnsi="宋体" w:cs="宋体"/>
                <w:b/>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3" w:type="dxa"/>
          </w:tcPr>
          <w:p>
            <w:pPr>
              <w:jc w:val="center"/>
              <w:rPr>
                <w:rFonts w:hint="eastAsia" w:ascii="宋体" w:hAnsi="宋体" w:eastAsia="宋体" w:cs="宋体"/>
                <w:bCs/>
                <w:sz w:val="24"/>
                <w:szCs w:val="24"/>
              </w:rPr>
            </w:pPr>
            <w:r>
              <w:rPr>
                <w:rFonts w:hint="eastAsia" w:ascii="宋体" w:hAnsi="宋体" w:eastAsia="宋体" w:cs="宋体"/>
                <w:sz w:val="24"/>
                <w:szCs w:val="24"/>
              </w:rPr>
              <w:t>评分因素</w:t>
            </w:r>
          </w:p>
        </w:tc>
        <w:tc>
          <w:tcPr>
            <w:tcW w:w="650" w:type="dxa"/>
          </w:tcPr>
          <w:p>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tcPr>
          <w:p>
            <w:pPr>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tcPr>
          <w:p>
            <w:pPr>
              <w:jc w:val="center"/>
              <w:rPr>
                <w:rFonts w:hint="eastAsia" w:ascii="宋体" w:hAnsi="宋体" w:eastAsia="宋体" w:cs="宋体"/>
                <w:bCs/>
                <w:sz w:val="24"/>
                <w:szCs w:val="24"/>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1</w:t>
            </w:r>
          </w:p>
        </w:tc>
        <w:tc>
          <w:tcPr>
            <w:tcW w:w="2453" w:type="dxa"/>
            <w:vAlign w:val="center"/>
          </w:tcPr>
          <w:p>
            <w:pPr>
              <w:widowControl/>
              <w:spacing w:line="120" w:lineRule="atLeast"/>
              <w:jc w:val="left"/>
              <w:rPr>
                <w:rFonts w:hint="eastAsia" w:ascii="宋体" w:hAnsi="宋体" w:eastAsia="宋体" w:cs="宋体"/>
                <w:bCs/>
                <w:sz w:val="24"/>
                <w:szCs w:val="24"/>
              </w:rPr>
            </w:pPr>
            <w:r>
              <w:rPr>
                <w:rFonts w:ascii="宋体" w:hAnsi="宋体"/>
                <w:szCs w:val="21"/>
              </w:rPr>
              <w:t>投标人同类项目业绩情况</w:t>
            </w:r>
          </w:p>
        </w:tc>
        <w:tc>
          <w:tcPr>
            <w:tcW w:w="650" w:type="dxa"/>
            <w:vAlign w:val="center"/>
          </w:tcPr>
          <w:p>
            <w:pPr>
              <w:widowControl/>
              <w:spacing w:line="120" w:lineRule="atLeast"/>
              <w:jc w:val="center"/>
              <w:rPr>
                <w:rFonts w:hint="eastAsia" w:ascii="宋体" w:hAnsi="宋体" w:eastAsia="宋体" w:cs="宋体"/>
                <w:sz w:val="24"/>
                <w:szCs w:val="24"/>
                <w:lang w:val="en-US"/>
              </w:rPr>
            </w:pPr>
            <w:r>
              <w:rPr>
                <w:rFonts w:hint="eastAsia" w:ascii="宋体" w:hAnsi="宋体"/>
                <w:szCs w:val="21"/>
                <w:lang w:val="en-US" w:eastAsia="zh-CN"/>
              </w:rPr>
              <w:t>8</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bCs/>
                <w:color w:val="000000" w:themeColor="text1"/>
                <w:sz w:val="24"/>
                <w:szCs w:val="24"/>
                <w14:textFill>
                  <w14:solidFill>
                    <w14:schemeClr w14:val="tx1"/>
                  </w14:solidFill>
                </w14:textFill>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2</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投标人获奖（荣誉）情况</w:t>
            </w:r>
          </w:p>
        </w:tc>
        <w:tc>
          <w:tcPr>
            <w:tcW w:w="650" w:type="dxa"/>
            <w:vAlign w:val="center"/>
          </w:tcPr>
          <w:p>
            <w:pPr>
              <w:widowControl/>
              <w:spacing w:line="120" w:lineRule="atLeast"/>
              <w:jc w:val="center"/>
              <w:rPr>
                <w:rFonts w:hint="eastAsia" w:ascii="宋体" w:hAnsi="宋体" w:eastAsia="宋体" w:cs="宋体"/>
                <w:sz w:val="24"/>
                <w:szCs w:val="24"/>
              </w:rPr>
            </w:pPr>
            <w:r>
              <w:rPr>
                <w:rFonts w:hint="eastAsia" w:ascii="宋体" w:hAnsi="宋体"/>
                <w:szCs w:val="21"/>
                <w:lang w:val="en-US" w:eastAsia="zh-CN"/>
              </w:rPr>
              <w:t>6</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color w:val="000000" w:themeColor="text1"/>
                <w:sz w:val="24"/>
                <w:szCs w:val="24"/>
                <w14:textFill>
                  <w14:solidFill>
                    <w14:schemeClr w14:val="tx1"/>
                  </w14:solidFill>
                </w14:textFill>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3</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服务网点（场地）</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lang w:val="en-US" w:eastAsia="zh-CN"/>
              </w:rPr>
              <w:t>1</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hint="eastAsia" w:ascii="宋体" w:hAnsi="宋体" w:eastAsia="宋体" w:cs="宋体"/>
                <w:sz w:val="24"/>
                <w:szCs w:val="24"/>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4</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项目完成（服务期满）后的服务承诺</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ascii="宋体" w:hAnsi="宋体"/>
                <w:szCs w:val="21"/>
              </w:rPr>
              <w:t>2</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sz w:val="24"/>
                <w:szCs w:val="24"/>
              </w:rPr>
            </w:pPr>
            <w:r>
              <w:rPr>
                <w:rFonts w:hint="eastAsia" w:ascii="宋体" w:hAnsi="宋体"/>
                <w:szCs w:val="21"/>
              </w:rPr>
              <w:t>5</w:t>
            </w:r>
          </w:p>
        </w:tc>
        <w:tc>
          <w:tcPr>
            <w:tcW w:w="2453"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报价合理性</w:t>
            </w:r>
          </w:p>
        </w:tc>
        <w:tc>
          <w:tcPr>
            <w:tcW w:w="650" w:type="dxa"/>
            <w:vAlign w:val="center"/>
          </w:tcPr>
          <w:p>
            <w:pPr>
              <w:widowControl/>
              <w:spacing w:line="120" w:lineRule="atLeast"/>
              <w:jc w:val="center"/>
              <w:rPr>
                <w:rFonts w:hint="eastAsia" w:ascii="宋体" w:hAnsi="宋体" w:eastAsia="宋体" w:cs="宋体"/>
                <w:sz w:val="24"/>
                <w:szCs w:val="24"/>
                <w:lang w:val="en-US" w:eastAsia="zh-CN"/>
              </w:rPr>
            </w:pPr>
            <w:r>
              <w:rPr>
                <w:rFonts w:hint="eastAsia" w:ascii="宋体" w:hAnsi="宋体"/>
                <w:szCs w:val="21"/>
                <w:lang w:val="en-US" w:eastAsia="zh-CN"/>
              </w:rPr>
              <w:t>8</w:t>
            </w:r>
          </w:p>
        </w:tc>
        <w:tc>
          <w:tcPr>
            <w:tcW w:w="1110" w:type="dxa"/>
            <w:vAlign w:val="center"/>
          </w:tcPr>
          <w:p>
            <w:pPr>
              <w:jc w:val="center"/>
              <w:rPr>
                <w:rFonts w:hint="eastAsia" w:ascii="宋体" w:hAnsi="宋体" w:eastAsia="宋体" w:cs="宋体"/>
                <w:sz w:val="24"/>
                <w:szCs w:val="24"/>
              </w:rPr>
            </w:pPr>
            <w:r>
              <w:rPr>
                <w:rFonts w:hint="eastAsia" w:ascii="宋体" w:hAnsi="宋体"/>
                <w:szCs w:val="21"/>
              </w:rPr>
              <w:t>专家打分</w:t>
            </w:r>
          </w:p>
        </w:tc>
        <w:tc>
          <w:tcPr>
            <w:tcW w:w="3600" w:type="dxa"/>
            <w:vAlign w:val="center"/>
          </w:tcPr>
          <w:p>
            <w:pPr>
              <w:widowControl/>
              <w:spacing w:line="120" w:lineRule="atLeast"/>
              <w:jc w:val="left"/>
              <w:rPr>
                <w:rFonts w:hint="eastAsia" w:ascii="宋体" w:hAnsi="宋体" w:eastAsia="宋体" w:cs="宋体"/>
                <w:sz w:val="24"/>
                <w:szCs w:val="24"/>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914" w:type="dxa"/>
            <w:gridSpan w:val="4"/>
          </w:tcPr>
          <w:p>
            <w:pPr>
              <w:jc w:val="center"/>
              <w:rPr>
                <w:rFonts w:hint="eastAsia" w:ascii="宋体" w:hAnsi="宋体" w:eastAsia="宋体" w:cs="宋体"/>
                <w:sz w:val="24"/>
                <w:szCs w:val="24"/>
              </w:rPr>
            </w:pPr>
            <w:r>
              <w:rPr>
                <w:rFonts w:hint="eastAsia" w:ascii="宋体" w:hAnsi="宋体" w:eastAsia="宋体" w:cs="宋体"/>
                <w:b/>
                <w:sz w:val="24"/>
                <w:szCs w:val="24"/>
              </w:rPr>
              <w:t>诚信情况</w:t>
            </w:r>
          </w:p>
        </w:tc>
        <w:tc>
          <w:tcPr>
            <w:tcW w:w="3600" w:type="dxa"/>
            <w:vAlign w:val="center"/>
          </w:tcPr>
          <w:p>
            <w:pPr>
              <w:widowControl/>
              <w:spacing w:line="120" w:lineRule="atLeast"/>
              <w:jc w:val="center"/>
              <w:rPr>
                <w:rFonts w:hint="eastAsia" w:ascii="宋体" w:hAnsi="宋体" w:eastAsia="宋体" w:cs="宋体"/>
                <w:sz w:val="24"/>
                <w:szCs w:val="24"/>
                <w:highlight w:val="green"/>
              </w:rPr>
            </w:pPr>
            <w:r>
              <w:rPr>
                <w:rFonts w:hint="eastAsia" w:ascii="宋体" w:hAnsi="宋体" w:eastAsia="宋体" w:cs="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tcPr>
          <w:p>
            <w:pPr>
              <w:jc w:val="center"/>
              <w:rPr>
                <w:rFonts w:hint="eastAsia" w:ascii="宋体" w:hAnsi="宋体" w:eastAsia="宋体" w:cs="宋体"/>
                <w:b/>
                <w:sz w:val="24"/>
                <w:szCs w:val="24"/>
              </w:rPr>
            </w:pPr>
            <w:r>
              <w:rPr>
                <w:rFonts w:hint="eastAsia" w:ascii="宋体" w:hAnsi="宋体" w:eastAsia="宋体" w:cs="宋体"/>
                <w:sz w:val="24"/>
                <w:szCs w:val="24"/>
              </w:rPr>
              <w:t>序号</w:t>
            </w:r>
          </w:p>
        </w:tc>
        <w:tc>
          <w:tcPr>
            <w:tcW w:w="2453" w:type="dxa"/>
          </w:tcPr>
          <w:p>
            <w:pPr>
              <w:jc w:val="center"/>
              <w:rPr>
                <w:rFonts w:hint="eastAsia" w:ascii="宋体" w:hAnsi="宋体" w:eastAsia="宋体" w:cs="宋体"/>
                <w:b/>
                <w:sz w:val="24"/>
                <w:szCs w:val="24"/>
              </w:rPr>
            </w:pPr>
            <w:r>
              <w:rPr>
                <w:rFonts w:hint="eastAsia" w:ascii="宋体" w:hAnsi="宋体" w:eastAsia="宋体" w:cs="宋体"/>
                <w:sz w:val="24"/>
                <w:szCs w:val="24"/>
              </w:rPr>
              <w:t>评分因素</w:t>
            </w:r>
          </w:p>
        </w:tc>
        <w:tc>
          <w:tcPr>
            <w:tcW w:w="650" w:type="dxa"/>
          </w:tcPr>
          <w:p>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10" w:type="dxa"/>
          </w:tcPr>
          <w:p>
            <w:pPr>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3600" w:type="dxa"/>
          </w:tcPr>
          <w:p>
            <w:pPr>
              <w:jc w:val="center"/>
              <w:rPr>
                <w:rFonts w:hint="eastAsia" w:ascii="宋体" w:hAnsi="宋体" w:eastAsia="宋体" w:cs="宋体"/>
                <w:sz w:val="24"/>
                <w:szCs w:val="24"/>
                <w:highlight w:val="green"/>
              </w:rPr>
            </w:pPr>
            <w:r>
              <w:rPr>
                <w:rFonts w:hint="eastAsia" w:ascii="宋体" w:hAnsi="宋体" w:eastAsia="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hint="eastAsia" w:ascii="宋体" w:hAnsi="宋体" w:eastAsia="宋体" w:cs="宋体"/>
                <w:sz w:val="24"/>
                <w:szCs w:val="24"/>
              </w:rPr>
            </w:pPr>
          </w:p>
        </w:tc>
        <w:tc>
          <w:tcPr>
            <w:tcW w:w="701"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rPr>
              <w:t>1</w:t>
            </w:r>
          </w:p>
        </w:tc>
        <w:tc>
          <w:tcPr>
            <w:tcW w:w="2453"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rPr>
              <w:t>诚信评价</w:t>
            </w:r>
          </w:p>
        </w:tc>
        <w:tc>
          <w:tcPr>
            <w:tcW w:w="6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3600" w:type="dxa"/>
          </w:tcPr>
          <w:p>
            <w:pPr>
              <w:jc w:val="left"/>
              <w:rPr>
                <w:rFonts w:hint="eastAsia" w:ascii="宋体" w:hAnsi="宋体" w:eastAsia="宋体" w:cs="宋体"/>
                <w:sz w:val="24"/>
                <w:szCs w:val="24"/>
                <w:highlight w:val="green"/>
              </w:rPr>
            </w:pPr>
            <w:r>
              <w:rPr>
                <w:rFonts w:hint="eastAsia" w:ascii="宋体" w:hAnsi="宋体" w:eastAsia="宋体" w:cs="宋体"/>
                <w:sz w:val="24"/>
                <w:szCs w:val="24"/>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说明：</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1、本评分表中每一栏的得分最高不得超过该项评审指标的分值。</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2、表中要求提供相关计分证明文件的内容，投标文件中须明确加以说明，未按要求提供相关文件或说明不清楚的按不符合要求处理。</w:t>
      </w:r>
    </w:p>
    <w:p>
      <w:pPr>
        <w:rPr>
          <w:rFonts w:hint="eastAsia" w:ascii="宋体" w:hAnsi="宋体" w:eastAsia="宋体" w:cs="宋体"/>
          <w:sz w:val="24"/>
          <w:szCs w:val="24"/>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19.5</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ascii="宋体" w:hAnsi="宋体" w:cs="宋体"/>
                <w:sz w:val="24"/>
                <w:szCs w:val="24"/>
              </w:rPr>
            </w:pPr>
            <w:r>
              <w:rPr>
                <w:rFonts w:hint="eastAsia"/>
                <w:color w:val="000000"/>
                <w:sz w:val="22"/>
                <w:szCs w:val="22"/>
                <w:lang w:val="en-US" w:eastAsia="zh-CN"/>
              </w:rPr>
              <w:t>特种专业技术车（救护车）保险服务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保险车辆基本信息</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购买车牌号分别为粤BA35K5、粤BA35K3、粤BQ8A09、粤B11FA2、粤B503VY、粤B21D82、粤BQ12Z0等7辆救护车维修保养项目。</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备注：预计粤BA35K3、粤BQ8A09两辆车预计2024年报废，同时会购置两辆救护车。</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1、粤BA35K5：福特全顺中档救护车，型号为SLT034XJHEI,圣路牌国产车，柴油，排量/功率为2402ml/103kw，出厂日期为2014年4月10日。</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2、粤BA35K3：福特全顺中档救护车，型号为SLT034XJHEI,圣路牌国产车，柴油，排量/功率为2402ml/103kw，出厂日期为2014年4月10日。</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3、粤BQ8A09：奔驰中档救护车，型号为ND5043XJH，北地牌进口改装车，汽油，排量/功率为3498ml/190kw，出厂日期为2011年7月7日。</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4、粤B11FA2：奔驰中档救护车，型号为BY5040XJH，白云牌国产车，柴油，排量/功率为2143ml/110kw，出厂日期为2019年1月18日。</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5、粤B503VY：奔驰中档救护车，型号为BY5040XJH，白云牌国产车，柴油，排量/功率为2143ml/110kw，出厂日期为2018年11月12日。</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6、粤B21D82：福特全顺中档救护车，型号为BY5049XJH，白云牌国产车，柴油，排量/功率为2198ml/100kw，出厂日期为2019年7月19日。</w:t>
            </w:r>
          </w:p>
          <w:p>
            <w:pPr>
              <w:spacing w:after="78"/>
              <w:jc w:val="left"/>
              <w:rPr>
                <w:rFonts w:hint="default" w:ascii="宋体" w:hAnsi="宋体" w:eastAsia="宋体" w:cs="Times New Roman"/>
                <w:color w:val="000000"/>
                <w:kern w:val="0"/>
                <w:sz w:val="22"/>
                <w:szCs w:val="22"/>
                <w:lang w:val="en-US" w:eastAsia="zh-CN" w:bidi="ar-SA"/>
              </w:rPr>
            </w:pPr>
            <w:r>
              <w:rPr>
                <w:rFonts w:hint="eastAsia" w:ascii="宋体" w:hAnsi="宋体"/>
                <w:color w:val="000000"/>
                <w:kern w:val="0"/>
                <w:sz w:val="22"/>
                <w:szCs w:val="22"/>
                <w:lang w:val="en-US" w:eastAsia="zh-CN"/>
              </w:rPr>
              <w:t>7、粤BQ12Z0：奔驰中档救护车，型号为ND5040XJH-3H，北地牌进口改装车，汽油，排量/功率为3498ml/190kw，出厂日期为2018年12月05日。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jc w:val="left"/>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1、车损险      每辆救护车单价保 14万</w:t>
            </w:r>
          </w:p>
          <w:p>
            <w:pPr>
              <w:spacing w:after="78"/>
              <w:jc w:val="left"/>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2、第三者险    每辆救护车最低保额100万元人民币</w:t>
            </w:r>
          </w:p>
          <w:p>
            <w:r>
              <w:rPr>
                <w:rFonts w:hint="eastAsia" w:ascii="宋体" w:hAnsi="宋体"/>
                <w:color w:val="000000"/>
                <w:kern w:val="0"/>
                <w:sz w:val="22"/>
                <w:szCs w:val="22"/>
                <w:lang w:val="en-US" w:eastAsia="zh-CN"/>
              </w:rPr>
              <w:t>3、司乘险      每辆车</w:t>
            </w:r>
            <w:r>
              <w:rPr>
                <w:rFonts w:hint="eastAsia" w:ascii="宋体" w:hAnsi="宋体" w:cs="宋体"/>
                <w:szCs w:val="21"/>
              </w:rPr>
              <w:t>每座位最低保额人民币50万元</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top"/>
          </w:tcPr>
          <w:p>
            <w:pPr>
              <w:spacing w:after="78"/>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一、服务期限</w:t>
            </w:r>
          </w:p>
          <w:p>
            <w:pPr>
              <w:widowControl/>
              <w:jc w:val="left"/>
              <w:rPr>
                <w:rFonts w:hint="eastAsia" w:ascii="宋体" w:hAnsi="宋体" w:cs="宋体"/>
                <w:color w:val="3F3F3F"/>
                <w:kern w:val="0"/>
                <w:sz w:val="22"/>
                <w:szCs w:val="22"/>
              </w:rPr>
            </w:pPr>
            <w:r>
              <w:rPr>
                <w:rFonts w:hint="eastAsia" w:ascii="宋体" w:hAnsi="宋体" w:cs="宋体"/>
                <w:color w:val="3F3F3F"/>
                <w:kern w:val="0"/>
                <w:sz w:val="22"/>
                <w:szCs w:val="22"/>
              </w:rPr>
              <w:t>自合同签订之日起一年</w:t>
            </w:r>
            <w:r>
              <w:rPr>
                <w:rFonts w:hint="eastAsia" w:ascii="宋体" w:hAnsi="宋体" w:cs="宋体"/>
                <w:color w:val="3F3F3F"/>
                <w:kern w:val="0"/>
                <w:sz w:val="22"/>
                <w:szCs w:val="22"/>
                <w:lang w:eastAsia="zh-CN"/>
              </w:rPr>
              <w:t>，</w:t>
            </w:r>
            <w:r>
              <w:rPr>
                <w:rFonts w:hint="eastAsia" w:ascii="宋体" w:hAnsi="宋体" w:cs="宋体"/>
                <w:color w:val="3F3F3F"/>
                <w:kern w:val="0"/>
                <w:sz w:val="22"/>
                <w:szCs w:val="22"/>
                <w:lang w:val="en-US" w:eastAsia="zh-CN"/>
              </w:rPr>
              <w:t>院方每年就履约情况考核中标人</w:t>
            </w:r>
            <w:r>
              <w:rPr>
                <w:rFonts w:hint="eastAsia" w:ascii="宋体" w:hAnsi="宋体" w:cs="宋体"/>
                <w:color w:val="3F3F3F"/>
                <w:kern w:val="0"/>
                <w:sz w:val="22"/>
                <w:szCs w:val="22"/>
              </w:rPr>
              <w:t>符合合同续期标准的，第二年和第三年可逐年签订续期合同</w:t>
            </w:r>
            <w:r>
              <w:rPr>
                <w:rFonts w:hint="eastAsia" w:ascii="宋体" w:hAnsi="宋体" w:cs="宋体"/>
                <w:color w:val="3F3F3F"/>
                <w:kern w:val="0"/>
                <w:sz w:val="22"/>
                <w:szCs w:val="22"/>
                <w:lang w:eastAsia="zh-CN"/>
              </w:rPr>
              <w:t>，</w:t>
            </w:r>
            <w:r>
              <w:rPr>
                <w:rFonts w:hint="eastAsia" w:ascii="宋体" w:hAnsi="宋体" w:cs="宋体"/>
                <w:color w:val="3F3F3F"/>
                <w:kern w:val="0"/>
                <w:sz w:val="22"/>
                <w:szCs w:val="22"/>
                <w:lang w:val="en-US" w:eastAsia="zh-CN"/>
              </w:rPr>
              <w:t>但最多续签不超过两次</w:t>
            </w:r>
            <w:r>
              <w:rPr>
                <w:rFonts w:hint="eastAsia" w:ascii="宋体" w:hAnsi="宋体" w:cs="宋体"/>
                <w:color w:val="3F3F3F"/>
                <w:kern w:val="0"/>
                <w:sz w:val="22"/>
                <w:szCs w:val="22"/>
              </w:rPr>
              <w:t>。</w:t>
            </w:r>
          </w:p>
          <w:p>
            <w:pPr>
              <w:numPr>
                <w:ilvl w:val="0"/>
                <w:numId w:val="1"/>
              </w:numPr>
              <w:spacing w:after="78"/>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服务对象</w:t>
            </w:r>
          </w:p>
          <w:p>
            <w:pPr>
              <w:numPr>
                <w:ilvl w:val="0"/>
                <w:numId w:val="0"/>
              </w:numPr>
              <w:spacing w:after="78"/>
              <w:rPr>
                <w:rFonts w:hint="eastAsia" w:ascii="宋体" w:hAnsi="宋体" w:eastAsia="宋体"/>
                <w:color w:val="000000"/>
                <w:kern w:val="0"/>
                <w:sz w:val="22"/>
                <w:szCs w:val="22"/>
                <w:lang w:val="en-US" w:eastAsia="zh-CN"/>
              </w:rPr>
            </w:pPr>
            <w:r>
              <w:rPr>
                <w:rFonts w:hint="eastAsia" w:ascii="宋体" w:hAnsi="宋体"/>
                <w:color w:val="000000"/>
                <w:kern w:val="0"/>
                <w:sz w:val="22"/>
                <w:szCs w:val="22"/>
                <w:lang w:val="en-US" w:eastAsia="zh-CN"/>
              </w:rPr>
              <w:t>深圳市儿童医院7辆救护车保险。</w:t>
            </w:r>
          </w:p>
          <w:p>
            <w:pPr>
              <w:numPr>
                <w:ilvl w:val="0"/>
                <w:numId w:val="0"/>
              </w:numPr>
              <w:spacing w:after="78"/>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三、项目费用要求</w:t>
            </w:r>
          </w:p>
          <w:p>
            <w:pPr>
              <w:spacing w:line="480" w:lineRule="auto"/>
              <w:contextualSpacing/>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（一）项目预算：不超过10万元/年。</w:t>
            </w:r>
          </w:p>
          <w:p>
            <w:pPr>
              <w:numPr>
                <w:ilvl w:val="0"/>
                <w:numId w:val="0"/>
              </w:numPr>
              <w:spacing w:after="78"/>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（二）</w:t>
            </w:r>
            <w:r>
              <w:rPr>
                <w:rFonts w:hint="eastAsia" w:ascii="宋体" w:hAnsi="宋体"/>
                <w:color w:val="000000"/>
                <w:kern w:val="0"/>
                <w:sz w:val="22"/>
                <w:szCs w:val="22"/>
                <w:lang w:val="en-US" w:eastAsia="zh-CN"/>
              </w:rPr>
              <w:t>付费方式：公司在车辆保险到期前半个月常规提醒院方对接人，投标方先开发票（商业险、交强险），提供报价单、公司名称、开户行和账号等相关信息，再由院方财务转账到指定账号。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0" w:type="auto"/>
          </w:tcPr>
          <w:p>
            <w:pPr>
              <w:widowControl/>
              <w:spacing w:after="78"/>
              <w:jc w:val="left"/>
              <w:rPr>
                <w:rFonts w:hint="eastAsia" w:ascii="宋体" w:hAnsi="宋体" w:eastAsia="宋体" w:cs="宋体"/>
                <w:bCs/>
                <w:sz w:val="24"/>
                <w:szCs w:val="24"/>
                <w:lang w:eastAsia="zh-CN"/>
              </w:rPr>
            </w:pPr>
          </w:p>
        </w:tc>
        <w:tc>
          <w:tcPr>
            <w:tcW w:w="0" w:type="auto"/>
            <w:vAlign w:val="top"/>
          </w:tcPr>
          <w:p>
            <w:pPr>
              <w:pStyle w:val="52"/>
              <w:numPr>
                <w:ilvl w:val="0"/>
                <w:numId w:val="0"/>
              </w:numPr>
              <w:ind w:leftChars="0"/>
              <w:rPr>
                <w:rFonts w:hint="eastAsia" w:ascii="宋体" w:hAnsi="宋体" w:eastAsia="宋体" w:cs="Times New Roman"/>
                <w:color w:val="000000"/>
                <w:kern w:val="0"/>
                <w:sz w:val="22"/>
                <w:szCs w:val="22"/>
                <w:lang w:val="en-US" w:eastAsia="zh-CN" w:bidi="ar-SA"/>
              </w:rPr>
            </w:pPr>
            <w:r>
              <w:rPr>
                <w:rFonts w:hint="eastAsia" w:eastAsia="宋体" w:cs="Times New Roman"/>
                <w:color w:val="000000"/>
                <w:kern w:val="0"/>
                <w:sz w:val="22"/>
                <w:szCs w:val="22"/>
                <w:lang w:val="en-US" w:eastAsia="zh-CN" w:bidi="ar-SA"/>
              </w:rPr>
              <w:t>（三）</w:t>
            </w:r>
            <w:r>
              <w:rPr>
                <w:rFonts w:hint="eastAsia" w:ascii="宋体" w:hAnsi="宋体" w:eastAsia="宋体" w:cs="Times New Roman"/>
                <w:color w:val="000000"/>
                <w:kern w:val="0"/>
                <w:sz w:val="22"/>
                <w:szCs w:val="22"/>
                <w:lang w:val="en-US" w:eastAsia="zh-CN" w:bidi="ar-SA"/>
              </w:rPr>
              <w:t>报价要求：本次项目为采购人公务用车7辆一年的保险费用（交强险、商业险等费用），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numPr>
                <w:ilvl w:val="0"/>
                <w:numId w:val="0"/>
              </w:numPr>
              <w:ind w:leftChars="0"/>
              <w:rPr>
                <w:rFonts w:hint="eastAsia" w:ascii="宋体" w:hAnsi="宋体" w:eastAsia="宋体" w:cs="Times New Roman"/>
                <w:color w:val="000000"/>
                <w:kern w:val="0"/>
                <w:sz w:val="22"/>
                <w:szCs w:val="22"/>
                <w:lang w:val="en-US" w:eastAsia="zh-CN" w:bidi="ar-SA"/>
              </w:rPr>
            </w:pPr>
            <w:r>
              <w:rPr>
                <w:rFonts w:hint="eastAsia" w:ascii="宋体" w:hAnsi="宋体" w:eastAsia="宋体" w:cs="Times New Roman"/>
                <w:color w:val="000000"/>
                <w:kern w:val="0"/>
                <w:sz w:val="22"/>
                <w:szCs w:val="22"/>
                <w:lang w:val="en-US" w:eastAsia="zh-CN" w:bidi="ar-SA"/>
              </w:rPr>
              <w:t>（四）其他要求：</w:t>
            </w:r>
          </w:p>
          <w:p>
            <w:pPr>
              <w:pStyle w:val="52"/>
              <w:numPr>
                <w:ilvl w:val="0"/>
                <w:numId w:val="0"/>
              </w:numPr>
              <w:ind w:leftChars="0"/>
              <w:rPr>
                <w:rFonts w:hint="eastAsia" w:ascii="宋体" w:hAnsi="宋体" w:eastAsia="宋体" w:cs="Times New Roman"/>
                <w:color w:val="000000"/>
                <w:kern w:val="0"/>
                <w:sz w:val="22"/>
                <w:szCs w:val="22"/>
                <w:lang w:val="en-US" w:eastAsia="zh-CN" w:bidi="ar-SA"/>
              </w:rPr>
            </w:pPr>
            <w:r>
              <w:rPr>
                <w:rFonts w:hint="eastAsia" w:ascii="宋体" w:hAnsi="宋体" w:eastAsia="宋体" w:cs="Times New Roman"/>
                <w:color w:val="000000"/>
                <w:kern w:val="0"/>
                <w:sz w:val="22"/>
                <w:szCs w:val="22"/>
                <w:lang w:val="en-US" w:eastAsia="zh-CN" w:bidi="ar-SA"/>
              </w:rPr>
              <w:t>1、为保障医院特种专业技术车（120救护车）能及时、正常任务，应在车辆保险到期前与院方对接保险交付工作。</w:t>
            </w:r>
          </w:p>
          <w:p>
            <w:pPr>
              <w:pStyle w:val="52"/>
              <w:numPr>
                <w:ilvl w:val="0"/>
                <w:numId w:val="0"/>
              </w:numPr>
              <w:ind w:leftChars="0"/>
              <w:rPr>
                <w:rFonts w:hint="eastAsia" w:ascii="宋体" w:hAnsi="宋体" w:eastAsia="宋体" w:cs="Times New Roman"/>
                <w:color w:val="000000"/>
                <w:kern w:val="0"/>
                <w:sz w:val="22"/>
                <w:szCs w:val="22"/>
                <w:lang w:val="en-US" w:eastAsia="zh-CN" w:bidi="ar-SA"/>
              </w:rPr>
            </w:pPr>
            <w:r>
              <w:rPr>
                <w:rFonts w:hint="eastAsia" w:ascii="宋体" w:hAnsi="宋体" w:eastAsia="宋体" w:cs="Times New Roman"/>
                <w:color w:val="000000"/>
                <w:kern w:val="0"/>
                <w:sz w:val="22"/>
                <w:szCs w:val="22"/>
                <w:lang w:val="en-US" w:eastAsia="zh-CN" w:bidi="ar-SA"/>
              </w:rPr>
              <w:t>2、投标单位提交的各项材料必须真实准确全面，否则采购方有权取消其投标资格或定点资格。</w:t>
            </w:r>
          </w:p>
          <w:p>
            <w:pPr>
              <w:pStyle w:val="52"/>
              <w:numPr>
                <w:ilvl w:val="0"/>
                <w:numId w:val="0"/>
              </w:numPr>
              <w:ind w:leftChars="0"/>
              <w:rPr>
                <w:rFonts w:hint="eastAsia" w:ascii="宋体" w:hAnsi="宋体" w:eastAsia="宋体" w:cs="Times New Roman"/>
                <w:color w:val="000000"/>
                <w:kern w:val="0"/>
                <w:sz w:val="22"/>
                <w:szCs w:val="22"/>
                <w:lang w:val="en-US" w:eastAsia="zh-CN" w:bidi="ar-SA"/>
              </w:rPr>
            </w:pPr>
            <w:r>
              <w:rPr>
                <w:rFonts w:hint="eastAsia" w:ascii="宋体" w:hAnsi="宋体" w:eastAsia="宋体" w:cs="Times New Roman"/>
                <w:color w:val="000000"/>
                <w:kern w:val="0"/>
                <w:sz w:val="22"/>
                <w:szCs w:val="22"/>
                <w:lang w:val="en-US" w:eastAsia="zh-CN" w:bidi="ar-SA"/>
              </w:rPr>
              <w:t>3、投标单位应具有良好的商业信誉和健全的财务会计制度以及能独立开具增值税发票。</w:t>
            </w:r>
          </w:p>
          <w:p>
            <w:pPr>
              <w:numPr>
                <w:ilvl w:val="0"/>
                <w:numId w:val="0"/>
              </w:numPr>
              <w:spacing w:after="78" w:line="240" w:lineRule="auto"/>
              <w:ind w:left="0" w:leftChars="0" w:firstLine="0" w:firstLineChars="0"/>
              <w:rPr>
                <w:rFonts w:hint="eastAsia" w:ascii="Times New Roman" w:hAnsi="Times New Roman" w:eastAsia="宋体" w:cs="Times New Roman"/>
                <w:color w:val="000000" w:themeColor="text1"/>
                <w:kern w:val="2"/>
                <w:sz w:val="32"/>
                <w:szCs w:val="32"/>
                <w:lang w:val="en-US" w:eastAsia="zh-CN" w:bidi="ar-SA"/>
                <w14:textFill>
                  <w14:solidFill>
                    <w14:schemeClr w14:val="tx1"/>
                  </w14:solidFill>
                </w14:textFill>
              </w:rPr>
            </w:pPr>
          </w:p>
        </w:tc>
      </w:tr>
    </w:tbl>
    <w:p/>
    <w:p>
      <w:pPr>
        <w:pStyle w:val="2"/>
      </w:pPr>
      <w:r>
        <w:br w:type="page"/>
      </w:r>
      <w:bookmarkStart w:id="20" w:name="_GoBack"/>
      <w:bookmarkEnd w:id="20"/>
    </w:p>
    <w:p>
      <w:pPr>
        <w:pStyle w:val="2"/>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eastAsia="宋体" w:cs="Times New Roman"/>
          <w:color w:val="FF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0052474"/>
      <w:bookmarkStart w:id="8" w:name="_Toc73521707"/>
      <w:bookmarkStart w:id="9" w:name="_Toc101074904"/>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0052475"/>
      <w:bookmarkStart w:id="12" w:name="_Toc73521708"/>
      <w:bookmarkStart w:id="13" w:name="_Toc73521620"/>
      <w:bookmarkStart w:id="14"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19118"/>
      <w:bookmarkStart w:id="16" w:name="_Toc201997946"/>
      <w:bookmarkStart w:id="17" w:name="_Toc201743116"/>
      <w:bookmarkStart w:id="18" w:name="_Toc201742861"/>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CB57E"/>
    <w:multiLevelType w:val="singleLevel"/>
    <w:tmpl w:val="B08CB57E"/>
    <w:lvl w:ilvl="0" w:tentative="0">
      <w:start w:val="2"/>
      <w:numFmt w:val="chineseCounting"/>
      <w:suff w:val="nothing"/>
      <w:lvlText w:val="%1、"/>
      <w:lvlJc w:val="left"/>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9C45CC"/>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7FD09C7"/>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5780A"/>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497C47"/>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DFE7AD7"/>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0"/>
    <w:pPr>
      <w:spacing w:before="240" w:after="240"/>
      <w:outlineLvl w:val="2"/>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link w:val="49"/>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ind w:firstLine="420" w:firstLineChars="100"/>
    </w:pPr>
    <w:rPr>
      <w:sz w:val="21"/>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8"/>
    <w:qFormat/>
    <w:uiPriority w:val="0"/>
    <w:rPr>
      <w:rFonts w:ascii="宋体" w:hAnsi="Courier New" w:cs="Courier New"/>
      <w:szCs w:val="21"/>
    </w:rPr>
  </w:style>
  <w:style w:type="paragraph" w:styleId="11">
    <w:name w:val="Date"/>
    <w:basedOn w:val="1"/>
    <w:next w:val="1"/>
    <w:qFormat/>
    <w:uiPriority w:val="0"/>
  </w:style>
  <w:style w:type="paragraph" w:styleId="12">
    <w:name w:val="Body Text Indent 2"/>
    <w:basedOn w:val="1"/>
    <w:qFormat/>
    <w:uiPriority w:val="0"/>
    <w:pPr>
      <w:spacing w:line="360" w:lineRule="auto"/>
      <w:ind w:left="502" w:hanging="502" w:hangingChars="276"/>
    </w:pPr>
    <w:rPr>
      <w:rFonts w:ascii="仿宋_GB2312"/>
      <w:kern w:val="0"/>
      <w:sz w:val="20"/>
    </w:rPr>
  </w:style>
  <w:style w:type="paragraph" w:styleId="13">
    <w:name w:val="Balloon Text"/>
    <w:basedOn w:val="1"/>
    <w:link w:val="51"/>
    <w:qFormat/>
    <w:uiPriority w:val="0"/>
    <w:rPr>
      <w:sz w:val="18"/>
      <w:szCs w:val="18"/>
    </w:rPr>
  </w:style>
  <w:style w:type="paragraph" w:styleId="14">
    <w:name w:val="footer"/>
    <w:basedOn w:val="1"/>
    <w:link w:val="32"/>
    <w:qFormat/>
    <w:uiPriority w:val="99"/>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6"/>
    <w:next w:val="6"/>
    <w:link w:val="50"/>
    <w:qFormat/>
    <w:uiPriority w:val="0"/>
    <w:rPr>
      <w:b/>
      <w:bCs/>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semiHidden/>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表格文字"/>
    <w:basedOn w:val="1"/>
    <w:qFormat/>
    <w:uiPriority w:val="0"/>
    <w:pPr>
      <w:spacing w:before="25" w:after="25"/>
    </w:pPr>
    <w:rPr>
      <w:bCs/>
      <w:spacing w:val="10"/>
      <w:sz w:val="24"/>
    </w:rPr>
  </w:style>
  <w:style w:type="paragraph" w:customStyle="1" w:styleId="26">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4"/>
    <w:qFormat/>
    <w:uiPriority w:val="0"/>
    <w:rPr>
      <w:b/>
      <w:kern w:val="2"/>
      <w:sz w:val="24"/>
    </w:rPr>
  </w:style>
  <w:style w:type="character" w:customStyle="1" w:styleId="28">
    <w:name w:val="纯文本 Char"/>
    <w:basedOn w:val="20"/>
    <w:link w:val="10"/>
    <w:qFormat/>
    <w:uiPriority w:val="0"/>
    <w:rPr>
      <w:rFonts w:ascii="宋体" w:hAnsi="Courier New" w:cs="Courier New"/>
      <w:kern w:val="2"/>
      <w:sz w:val="21"/>
      <w:szCs w:val="21"/>
    </w:rPr>
  </w:style>
  <w:style w:type="paragraph" w:customStyle="1" w:styleId="29">
    <w:name w:val="Char"/>
    <w:basedOn w:val="1"/>
    <w:qFormat/>
    <w:uiPriority w:val="0"/>
    <w:rPr>
      <w:rFonts w:ascii="仿宋_GB2312" w:eastAsia="仿宋_GB2312"/>
      <w:b/>
      <w:sz w:val="32"/>
      <w:szCs w:val="32"/>
    </w:rPr>
  </w:style>
  <w:style w:type="paragraph" w:customStyle="1" w:styleId="30">
    <w:name w:val="样式 (西文) 宋体 行距: 1.5 倍行距"/>
    <w:basedOn w:val="1"/>
    <w:qFormat/>
    <w:uiPriority w:val="0"/>
    <w:pPr>
      <w:spacing w:line="360" w:lineRule="auto"/>
    </w:pPr>
    <w:rPr>
      <w:rFonts w:ascii="宋体" w:hAnsi="宋体" w:cs="宋体"/>
    </w:rPr>
  </w:style>
  <w:style w:type="character" w:customStyle="1" w:styleId="31">
    <w:name w:val="页眉 Char"/>
    <w:basedOn w:val="20"/>
    <w:link w:val="15"/>
    <w:qFormat/>
    <w:uiPriority w:val="0"/>
    <w:rPr>
      <w:kern w:val="2"/>
      <w:sz w:val="18"/>
      <w:szCs w:val="18"/>
    </w:rPr>
  </w:style>
  <w:style w:type="character" w:customStyle="1" w:styleId="32">
    <w:name w:val="页脚 Char"/>
    <w:basedOn w:val="20"/>
    <w:link w:val="14"/>
    <w:qFormat/>
    <w:uiPriority w:val="99"/>
    <w:rPr>
      <w:kern w:val="2"/>
      <w:sz w:val="18"/>
      <w:szCs w:val="18"/>
    </w:rPr>
  </w:style>
  <w:style w:type="character" w:customStyle="1" w:styleId="33">
    <w:name w:val="标题 2 Char"/>
    <w:basedOn w:val="20"/>
    <w:link w:val="2"/>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qFormat/>
    <w:uiPriority w:val="34"/>
    <w:pPr>
      <w:ind w:firstLine="420" w:firstLineChars="200"/>
    </w:pPr>
    <w:rPr>
      <w:rFonts w:ascii="Calibri" w:hAnsi="Calibri"/>
      <w:szCs w:val="22"/>
    </w:rPr>
  </w:style>
  <w:style w:type="character" w:customStyle="1" w:styleId="35">
    <w:name w:val="标题 1 Char"/>
    <w:basedOn w:val="20"/>
    <w:link w:val="3"/>
    <w:qFormat/>
    <w:uiPriority w:val="0"/>
    <w:rPr>
      <w:b/>
      <w:bCs/>
      <w:kern w:val="44"/>
      <w:sz w:val="44"/>
      <w:szCs w:val="44"/>
    </w:rPr>
  </w:style>
  <w:style w:type="paragraph" w:customStyle="1" w:styleId="3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qFormat/>
    <w:uiPriority w:val="34"/>
    <w:pPr>
      <w:ind w:firstLine="420" w:firstLineChars="200"/>
    </w:pPr>
  </w:style>
  <w:style w:type="paragraph" w:customStyle="1" w:styleId="38">
    <w:name w:val="样式3"/>
    <w:basedOn w:val="1"/>
    <w:qFormat/>
    <w:uiPriority w:val="0"/>
    <w:pPr>
      <w:spacing w:line="0" w:lineRule="atLeast"/>
      <w:outlineLvl w:val="0"/>
    </w:pPr>
    <w:rPr>
      <w:rFonts w:ascii="宋体" w:hAnsi="Courier New"/>
      <w:sz w:val="28"/>
      <w:szCs w:val="24"/>
    </w:rPr>
  </w:style>
  <w:style w:type="paragraph" w:customStyle="1" w:styleId="3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qFormat/>
    <w:uiPriority w:val="99"/>
    <w:pPr>
      <w:jc w:val="center"/>
      <w:outlineLvl w:val="0"/>
    </w:pPr>
    <w:rPr>
      <w:rFonts w:ascii="宋体" w:hAnsi="宋体"/>
      <w:b/>
      <w:sz w:val="28"/>
      <w:szCs w:val="28"/>
    </w:rPr>
  </w:style>
  <w:style w:type="paragraph" w:customStyle="1" w:styleId="41">
    <w:name w:val="列出段落1"/>
    <w:basedOn w:val="1"/>
    <w:qFormat/>
    <w:uiPriority w:val="99"/>
    <w:pPr>
      <w:ind w:firstLine="420" w:firstLineChars="200"/>
    </w:pPr>
  </w:style>
  <w:style w:type="paragraph" w:customStyle="1" w:styleId="42">
    <w:name w:val="List Paragraph1"/>
    <w:basedOn w:val="1"/>
    <w:qFormat/>
    <w:uiPriority w:val="99"/>
    <w:pPr>
      <w:ind w:firstLine="420" w:firstLineChars="200"/>
    </w:pPr>
  </w:style>
  <w:style w:type="paragraph" w:customStyle="1" w:styleId="43">
    <w:name w:val="msolistparagraph"/>
    <w:basedOn w:val="1"/>
    <w:qFormat/>
    <w:uiPriority w:val="0"/>
    <w:pPr>
      <w:adjustRightInd w:val="0"/>
      <w:snapToGrid w:val="0"/>
      <w:ind w:firstLine="420" w:firstLineChars="200"/>
    </w:pPr>
    <w:rPr>
      <w:sz w:val="28"/>
      <w:szCs w:val="24"/>
    </w:rPr>
  </w:style>
  <w:style w:type="character" w:customStyle="1" w:styleId="44">
    <w:name w:val="font31"/>
    <w:basedOn w:val="20"/>
    <w:qFormat/>
    <w:uiPriority w:val="0"/>
    <w:rPr>
      <w:rFonts w:hint="eastAsia" w:ascii="宋体" w:hAnsi="宋体" w:eastAsia="宋体" w:cs="Times New Roman"/>
      <w:color w:val="000000"/>
      <w:sz w:val="20"/>
      <w:szCs w:val="20"/>
      <w:u w:val="none"/>
    </w:rPr>
  </w:style>
  <w:style w:type="character" w:customStyle="1" w:styleId="45">
    <w:name w:val="font21"/>
    <w:basedOn w:val="20"/>
    <w:qFormat/>
    <w:uiPriority w:val="0"/>
    <w:rPr>
      <w:rFonts w:hint="eastAsia" w:ascii="宋体" w:hAnsi="宋体" w:eastAsia="宋体" w:cs="宋体"/>
      <w:color w:val="000000"/>
      <w:sz w:val="18"/>
      <w:szCs w:val="18"/>
      <w:u w:val="none"/>
    </w:rPr>
  </w:style>
  <w:style w:type="paragraph" w:customStyle="1" w:styleId="46">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 w:type="character" w:customStyle="1" w:styleId="49">
    <w:name w:val="批注文字 Char"/>
    <w:basedOn w:val="20"/>
    <w:link w:val="6"/>
    <w:qFormat/>
    <w:uiPriority w:val="0"/>
    <w:rPr>
      <w:kern w:val="2"/>
      <w:sz w:val="21"/>
    </w:rPr>
  </w:style>
  <w:style w:type="character" w:customStyle="1" w:styleId="50">
    <w:name w:val="批注主题 Char"/>
    <w:basedOn w:val="49"/>
    <w:link w:val="17"/>
    <w:qFormat/>
    <w:uiPriority w:val="0"/>
    <w:rPr>
      <w:b/>
      <w:bCs/>
      <w:kern w:val="2"/>
      <w:sz w:val="21"/>
    </w:rPr>
  </w:style>
  <w:style w:type="character" w:customStyle="1" w:styleId="51">
    <w:name w:val="批注框文本 Char"/>
    <w:basedOn w:val="20"/>
    <w:link w:val="13"/>
    <w:qFormat/>
    <w:uiPriority w:val="0"/>
    <w:rPr>
      <w:kern w:val="2"/>
      <w:sz w:val="18"/>
      <w:szCs w:val="18"/>
    </w:rPr>
  </w:style>
  <w:style w:type="paragraph" w:customStyle="1" w:styleId="52">
    <w:name w:val="*正文"/>
    <w:basedOn w:val="1"/>
    <w:qFormat/>
    <w:uiPriority w:val="0"/>
    <w:pPr>
      <w:spacing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3400</Words>
  <Characters>3465</Characters>
  <Lines>40</Lines>
  <Paragraphs>11</Paragraphs>
  <TotalTime>3</TotalTime>
  <ScaleCrop>false</ScaleCrop>
  <LinksUpToDate>false</LinksUpToDate>
  <CharactersWithSpaces>4326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茜茜 ✨</cp:lastModifiedBy>
  <cp:lastPrinted>2023-09-08T06:21:00Z</cp:lastPrinted>
  <dcterms:modified xsi:type="dcterms:W3CDTF">2023-10-23T00:13:53Z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1BAD70074A97433A994551EE568F3A6C</vt:lpwstr>
  </property>
</Properties>
</file>