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rPr>
          <w:rFonts w:ascii="宋体" w:hAnsi="宋体"/>
          <w:bCs/>
          <w:szCs w:val="21"/>
        </w:rPr>
      </w:pPr>
      <w:r>
        <w:rPr>
          <w:rFonts w:hint="eastAsia" w:ascii="宋体" w:hAnsi="宋体"/>
          <w:szCs w:val="21"/>
        </w:rPr>
        <w:t xml:space="preserve">1.  </w:t>
      </w:r>
      <w:r>
        <w:rPr>
          <w:rFonts w:hint="eastAsia" w:ascii="宋体" w:hAnsi="宋体"/>
          <w:bCs/>
          <w:szCs w:val="21"/>
        </w:rPr>
        <w:t>评分表</w:t>
      </w:r>
    </w:p>
    <w:p>
      <w:pPr>
        <w:ind w:firstLine="420" w:firstLineChars="200"/>
        <w:rPr>
          <w:rFonts w:ascii="宋体" w:hAnsi="宋体"/>
          <w:szCs w:val="21"/>
        </w:rPr>
      </w:pPr>
    </w:p>
    <w:p>
      <w:pPr>
        <w:ind w:right="-1050" w:rightChars="-500" w:firstLine="560" w:firstLineChars="200"/>
        <w:rPr>
          <w:rFonts w:ascii="仿宋_GB2312" w:eastAsia="仿宋_GB2312"/>
          <w:sz w:val="28"/>
          <w:szCs w:val="24"/>
        </w:rPr>
      </w:pPr>
      <w:bookmarkStart w:id="0" w:name="InsertEnd"/>
      <w:bookmarkEnd w:id="0"/>
      <w:r>
        <w:rPr>
          <w:rFonts w:hint="eastAsia" w:ascii="仿宋_GB2312" w:eastAsia="仿宋_GB2312"/>
          <w:sz w:val="28"/>
          <w:szCs w:val="24"/>
        </w:rPr>
        <w:t>本项目采用综合评分办法，评标小组严格按照招标文件规定的评分标准和要求，对各投标文件进行综合评审，按得分高低顺序推荐中标候选人。项目采用百分制，评审保留至小数点后两位，具体评分细则如下：</w:t>
      </w:r>
    </w:p>
    <w:tbl>
      <w:tblPr>
        <w:tblStyle w:val="15"/>
        <w:tblW w:w="5494"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265"/>
        <w:gridCol w:w="1870"/>
        <w:gridCol w:w="1197"/>
        <w:gridCol w:w="5278"/>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631" w:type="pct"/>
            <w:gridSpan w:val="2"/>
            <w:tcBorders>
              <w:top w:val="outset" w:color="auto" w:sz="6" w:space="0"/>
              <w:left w:val="outset" w:color="auto" w:sz="6" w:space="0"/>
              <w:bottom w:val="outset" w:color="auto" w:sz="6" w:space="0"/>
              <w:right w:val="outset" w:color="auto" w:sz="6" w:space="0"/>
            </w:tcBorders>
            <w:vAlign w:val="center"/>
          </w:tcPr>
          <w:p>
            <w:pPr>
              <w:jc w:val="center"/>
              <w:rPr>
                <w:rFonts w:ascii="仿宋_GB2312" w:eastAsia="仿宋_GB2312"/>
                <w:sz w:val="28"/>
                <w:szCs w:val="24"/>
              </w:rPr>
            </w:pPr>
            <w:r>
              <w:rPr>
                <w:rFonts w:ascii="仿宋_GB2312" w:eastAsia="仿宋_GB2312"/>
                <w:sz w:val="28"/>
                <w:szCs w:val="24"/>
              </w:rPr>
              <w:t xml:space="preserve"> 评审因素</w:t>
            </w:r>
          </w:p>
        </w:tc>
        <w:tc>
          <w:tcPr>
            <w:tcW w:w="623" w:type="pct"/>
            <w:tcBorders>
              <w:top w:val="outset" w:color="auto" w:sz="6" w:space="0"/>
              <w:left w:val="outset" w:color="auto" w:sz="6" w:space="0"/>
              <w:bottom w:val="outset" w:color="auto" w:sz="6" w:space="0"/>
              <w:right w:val="outset" w:color="auto" w:sz="6" w:space="0"/>
            </w:tcBorders>
            <w:vAlign w:val="center"/>
          </w:tcPr>
          <w:p>
            <w:pPr>
              <w:jc w:val="center"/>
              <w:rPr>
                <w:rFonts w:ascii="仿宋_GB2312" w:eastAsia="仿宋_GB2312"/>
                <w:sz w:val="28"/>
                <w:szCs w:val="24"/>
              </w:rPr>
            </w:pPr>
            <w:r>
              <w:rPr>
                <w:rFonts w:ascii="仿宋_GB2312" w:eastAsia="仿宋_GB2312"/>
                <w:sz w:val="28"/>
                <w:szCs w:val="24"/>
              </w:rPr>
              <w:t>分数</w:t>
            </w:r>
          </w:p>
        </w:tc>
        <w:tc>
          <w:tcPr>
            <w:tcW w:w="2746" w:type="pct"/>
            <w:tcBorders>
              <w:top w:val="outset" w:color="auto" w:sz="6" w:space="0"/>
              <w:left w:val="outset" w:color="auto" w:sz="6" w:space="0"/>
              <w:bottom w:val="outset" w:color="auto" w:sz="6" w:space="0"/>
              <w:right w:val="outset" w:color="auto" w:sz="6" w:space="0"/>
            </w:tcBorders>
            <w:vAlign w:val="center"/>
          </w:tcPr>
          <w:p>
            <w:pPr>
              <w:jc w:val="center"/>
              <w:rPr>
                <w:rFonts w:ascii="仿宋_GB2312" w:eastAsia="仿宋_GB2312"/>
                <w:sz w:val="28"/>
                <w:szCs w:val="24"/>
              </w:rPr>
            </w:pPr>
            <w:r>
              <w:rPr>
                <w:rFonts w:ascii="仿宋_GB2312" w:eastAsia="仿宋_GB2312"/>
                <w:sz w:val="28"/>
                <w:szCs w:val="24"/>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8" w:type="pct"/>
            <w:tcBorders>
              <w:top w:val="outset" w:color="auto" w:sz="6" w:space="0"/>
              <w:left w:val="outset" w:color="auto" w:sz="6" w:space="0"/>
              <w:bottom w:val="outset" w:color="auto" w:sz="6" w:space="0"/>
              <w:right w:val="outset" w:color="auto" w:sz="6" w:space="0"/>
            </w:tcBorders>
            <w:vAlign w:val="center"/>
          </w:tcPr>
          <w:p>
            <w:pPr>
              <w:jc w:val="center"/>
              <w:rPr>
                <w:rFonts w:ascii="仿宋_GB2312" w:eastAsia="仿宋_GB2312"/>
                <w:sz w:val="28"/>
                <w:szCs w:val="24"/>
              </w:rPr>
            </w:pPr>
            <w:r>
              <w:rPr>
                <w:rFonts w:ascii="仿宋_GB2312" w:eastAsia="仿宋_GB2312"/>
                <w:sz w:val="28"/>
                <w:szCs w:val="24"/>
              </w:rPr>
              <w:t>报价</w:t>
            </w:r>
            <w:r>
              <w:rPr>
                <w:rFonts w:hint="eastAsia" w:ascii="仿宋_GB2312" w:eastAsia="仿宋_GB2312"/>
                <w:sz w:val="28"/>
                <w:szCs w:val="24"/>
              </w:rPr>
              <w:t>因素</w:t>
            </w:r>
          </w:p>
          <w:p>
            <w:pPr>
              <w:jc w:val="center"/>
              <w:rPr>
                <w:rFonts w:ascii="仿宋_GB2312" w:eastAsia="仿宋_GB2312"/>
                <w:sz w:val="28"/>
                <w:szCs w:val="24"/>
              </w:rPr>
            </w:pPr>
            <w:r>
              <w:rPr>
                <w:rFonts w:hint="eastAsia" w:ascii="仿宋_GB2312" w:eastAsia="仿宋_GB2312"/>
                <w:sz w:val="28"/>
                <w:szCs w:val="24"/>
              </w:rPr>
              <w:t>(30分)</w:t>
            </w:r>
          </w:p>
        </w:tc>
        <w:tc>
          <w:tcPr>
            <w:tcW w:w="973" w:type="pct"/>
            <w:tcBorders>
              <w:top w:val="outset" w:color="auto" w:sz="6" w:space="0"/>
              <w:left w:val="outset" w:color="auto" w:sz="6" w:space="0"/>
              <w:bottom w:val="outset" w:color="auto" w:sz="6" w:space="0"/>
              <w:right w:val="outset" w:color="auto" w:sz="6" w:space="0"/>
            </w:tcBorders>
            <w:vAlign w:val="center"/>
          </w:tcPr>
          <w:p>
            <w:pPr>
              <w:jc w:val="center"/>
              <w:rPr>
                <w:rFonts w:ascii="仿宋_GB2312" w:eastAsia="仿宋_GB2312"/>
                <w:sz w:val="28"/>
                <w:szCs w:val="24"/>
              </w:rPr>
            </w:pPr>
            <w:r>
              <w:rPr>
                <w:rFonts w:ascii="仿宋_GB2312" w:eastAsia="仿宋_GB2312"/>
                <w:sz w:val="28"/>
                <w:szCs w:val="24"/>
              </w:rPr>
              <w:t>投标报价</w:t>
            </w:r>
          </w:p>
        </w:tc>
        <w:tc>
          <w:tcPr>
            <w:tcW w:w="623" w:type="pct"/>
            <w:tcBorders>
              <w:top w:val="outset" w:color="auto" w:sz="6" w:space="0"/>
              <w:left w:val="outset" w:color="auto" w:sz="6" w:space="0"/>
              <w:bottom w:val="outset" w:color="auto" w:sz="6" w:space="0"/>
              <w:right w:val="outset" w:color="auto" w:sz="6" w:space="0"/>
            </w:tcBorders>
            <w:vAlign w:val="center"/>
          </w:tcPr>
          <w:p>
            <w:pPr>
              <w:jc w:val="center"/>
              <w:rPr>
                <w:rFonts w:ascii="仿宋_GB2312" w:eastAsia="仿宋_GB2312"/>
                <w:sz w:val="28"/>
                <w:szCs w:val="24"/>
              </w:rPr>
            </w:pPr>
            <w:r>
              <w:rPr>
                <w:rFonts w:ascii="仿宋_GB2312" w:eastAsia="仿宋_GB2312"/>
                <w:sz w:val="28"/>
                <w:szCs w:val="24"/>
              </w:rPr>
              <w:t>30分</w:t>
            </w:r>
          </w:p>
        </w:tc>
        <w:tc>
          <w:tcPr>
            <w:tcW w:w="2746" w:type="pct"/>
            <w:tcBorders>
              <w:top w:val="outset" w:color="auto" w:sz="6" w:space="0"/>
              <w:left w:val="outset" w:color="auto" w:sz="6" w:space="0"/>
              <w:bottom w:val="outset" w:color="auto" w:sz="6" w:space="0"/>
              <w:right w:val="outset" w:color="auto" w:sz="6" w:space="0"/>
            </w:tcBorders>
            <w:vAlign w:val="center"/>
          </w:tcPr>
          <w:p>
            <w:pPr>
              <w:rPr>
                <w:rFonts w:ascii="仿宋_GB2312" w:eastAsia="仿宋_GB2312"/>
                <w:sz w:val="28"/>
                <w:szCs w:val="24"/>
              </w:rPr>
            </w:pPr>
            <w:r>
              <w:rPr>
                <w:rFonts w:ascii="仿宋_GB2312" w:eastAsia="仿宋_GB2312"/>
                <w:sz w:val="28"/>
                <w:szCs w:val="24"/>
              </w:rPr>
              <w:t>以本次最低经评审的报价为基准价（得满分），报价得分=（基准价/报价）×30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8" w:type="pct"/>
            <w:vMerge w:val="restart"/>
            <w:tcBorders>
              <w:top w:val="outset" w:color="auto" w:sz="6" w:space="0"/>
              <w:left w:val="outset" w:color="auto" w:sz="6" w:space="0"/>
              <w:right w:val="outset" w:color="auto" w:sz="6" w:space="0"/>
            </w:tcBorders>
            <w:vAlign w:val="center"/>
          </w:tcPr>
          <w:p>
            <w:pPr>
              <w:jc w:val="center"/>
              <w:rPr>
                <w:rFonts w:ascii="仿宋_GB2312" w:eastAsia="仿宋_GB2312"/>
                <w:sz w:val="28"/>
                <w:szCs w:val="24"/>
              </w:rPr>
            </w:pPr>
            <w:r>
              <w:rPr>
                <w:rFonts w:ascii="仿宋_GB2312" w:eastAsia="仿宋_GB2312"/>
                <w:sz w:val="28"/>
                <w:szCs w:val="24"/>
              </w:rPr>
              <w:t>技术</w:t>
            </w:r>
            <w:r>
              <w:rPr>
                <w:rFonts w:hint="eastAsia" w:ascii="仿宋_GB2312" w:eastAsia="仿宋_GB2312"/>
                <w:sz w:val="28"/>
                <w:szCs w:val="24"/>
              </w:rPr>
              <w:t>因素</w:t>
            </w:r>
          </w:p>
          <w:p>
            <w:pPr>
              <w:jc w:val="center"/>
              <w:rPr>
                <w:rFonts w:ascii="仿宋_GB2312" w:eastAsia="仿宋_GB2312"/>
                <w:sz w:val="28"/>
                <w:szCs w:val="24"/>
              </w:rPr>
            </w:pPr>
            <w:r>
              <w:rPr>
                <w:rFonts w:hint="eastAsia" w:ascii="仿宋_GB2312" w:eastAsia="仿宋_GB2312"/>
                <w:sz w:val="28"/>
                <w:szCs w:val="24"/>
              </w:rPr>
              <w:t>(</w:t>
            </w:r>
            <w:r>
              <w:rPr>
                <w:rFonts w:ascii="仿宋_GB2312" w:eastAsia="仿宋_GB2312"/>
                <w:sz w:val="28"/>
                <w:szCs w:val="24"/>
              </w:rPr>
              <w:t>45</w:t>
            </w:r>
            <w:r>
              <w:rPr>
                <w:rFonts w:hint="eastAsia" w:ascii="仿宋_GB2312" w:eastAsia="仿宋_GB2312"/>
                <w:sz w:val="28"/>
                <w:szCs w:val="24"/>
              </w:rPr>
              <w:t>分)</w:t>
            </w:r>
          </w:p>
        </w:tc>
        <w:tc>
          <w:tcPr>
            <w:tcW w:w="973" w:type="pct"/>
            <w:tcBorders>
              <w:top w:val="outset" w:color="auto" w:sz="6" w:space="0"/>
              <w:left w:val="outset" w:color="auto" w:sz="6" w:space="0"/>
              <w:bottom w:val="outset" w:color="auto" w:sz="6" w:space="0"/>
              <w:right w:val="outset" w:color="auto" w:sz="6" w:space="0"/>
            </w:tcBorders>
            <w:vAlign w:val="center"/>
          </w:tcPr>
          <w:p>
            <w:pPr>
              <w:jc w:val="center"/>
              <w:rPr>
                <w:rFonts w:ascii="仿宋_GB2312" w:eastAsia="仿宋_GB2312"/>
                <w:sz w:val="28"/>
                <w:szCs w:val="24"/>
              </w:rPr>
            </w:pPr>
            <w:r>
              <w:rPr>
                <w:rFonts w:ascii="仿宋_GB2312" w:eastAsia="仿宋_GB2312"/>
                <w:sz w:val="28"/>
                <w:szCs w:val="24"/>
              </w:rPr>
              <w:t>技术参数响应</w:t>
            </w:r>
          </w:p>
        </w:tc>
        <w:tc>
          <w:tcPr>
            <w:tcW w:w="623" w:type="pct"/>
            <w:tcBorders>
              <w:top w:val="outset" w:color="auto" w:sz="6" w:space="0"/>
              <w:left w:val="outset" w:color="auto" w:sz="6" w:space="0"/>
              <w:bottom w:val="outset" w:color="auto" w:sz="6" w:space="0"/>
              <w:right w:val="outset" w:color="auto" w:sz="6" w:space="0"/>
            </w:tcBorders>
            <w:vAlign w:val="center"/>
          </w:tcPr>
          <w:p>
            <w:pPr>
              <w:jc w:val="center"/>
              <w:rPr>
                <w:rFonts w:ascii="仿宋_GB2312" w:eastAsia="仿宋_GB2312"/>
                <w:sz w:val="28"/>
                <w:szCs w:val="24"/>
              </w:rPr>
            </w:pPr>
            <w:r>
              <w:rPr>
                <w:rFonts w:ascii="仿宋_GB2312" w:eastAsia="仿宋_GB2312"/>
                <w:sz w:val="28"/>
                <w:szCs w:val="24"/>
              </w:rPr>
              <w:t>3</w:t>
            </w:r>
            <w:r>
              <w:rPr>
                <w:rFonts w:hint="eastAsia" w:ascii="仿宋_GB2312" w:eastAsia="仿宋_GB2312"/>
                <w:sz w:val="28"/>
                <w:szCs w:val="24"/>
              </w:rPr>
              <w:t>5</w:t>
            </w:r>
            <w:r>
              <w:rPr>
                <w:rFonts w:ascii="仿宋_GB2312" w:eastAsia="仿宋_GB2312"/>
                <w:sz w:val="28"/>
                <w:szCs w:val="24"/>
              </w:rPr>
              <w:t>分</w:t>
            </w:r>
          </w:p>
        </w:tc>
        <w:tc>
          <w:tcPr>
            <w:tcW w:w="2746" w:type="pct"/>
            <w:tcBorders>
              <w:top w:val="outset" w:color="auto" w:sz="6" w:space="0"/>
              <w:left w:val="outset" w:color="auto" w:sz="6" w:space="0"/>
              <w:bottom w:val="outset" w:color="auto" w:sz="6" w:space="0"/>
              <w:right w:val="outset" w:color="auto" w:sz="6" w:space="0"/>
            </w:tcBorders>
            <w:vAlign w:val="center"/>
          </w:tcPr>
          <w:p>
            <w:pPr>
              <w:rPr>
                <w:rFonts w:ascii="仿宋_GB2312" w:eastAsia="仿宋_GB2312"/>
                <w:sz w:val="28"/>
                <w:szCs w:val="24"/>
              </w:rPr>
            </w:pPr>
            <w:r>
              <w:rPr>
                <w:rFonts w:ascii="仿宋_GB2312" w:eastAsia="仿宋_GB2312"/>
                <w:sz w:val="28"/>
                <w:szCs w:val="24"/>
              </w:rPr>
              <w:t>招标文件</w:t>
            </w:r>
            <w:r>
              <w:rPr>
                <w:rFonts w:hint="eastAsia" w:ascii="仿宋_GB2312" w:eastAsia="仿宋_GB2312"/>
                <w:sz w:val="28"/>
                <w:szCs w:val="24"/>
              </w:rPr>
              <w:t>功能要求及技术要求中</w:t>
            </w:r>
            <w:r>
              <w:rPr>
                <w:rFonts w:ascii="仿宋_GB2312" w:eastAsia="仿宋_GB2312"/>
                <w:sz w:val="28"/>
                <w:szCs w:val="24"/>
              </w:rPr>
              <w:t>：完全满足没有负偏离的得满分3</w:t>
            </w:r>
            <w:r>
              <w:rPr>
                <w:rFonts w:hint="eastAsia" w:ascii="仿宋_GB2312" w:eastAsia="仿宋_GB2312"/>
                <w:sz w:val="28"/>
                <w:szCs w:val="24"/>
              </w:rPr>
              <w:t>5</w:t>
            </w:r>
            <w:r>
              <w:rPr>
                <w:rFonts w:ascii="仿宋_GB2312" w:eastAsia="仿宋_GB2312"/>
                <w:sz w:val="28"/>
                <w:szCs w:val="24"/>
              </w:rPr>
              <w:t>分，加注“▲”号的功能要求有负偏离的，一项扣2分，未加注“▲”号的功能要求有负偏离的，一项扣1分，扣完为止。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8" w:type="pct"/>
            <w:vMerge w:val="continue"/>
            <w:tcBorders>
              <w:left w:val="outset" w:color="auto" w:sz="6" w:space="0"/>
              <w:right w:val="outset" w:color="auto" w:sz="6" w:space="0"/>
            </w:tcBorders>
            <w:vAlign w:val="center"/>
          </w:tcPr>
          <w:p>
            <w:pPr>
              <w:jc w:val="center"/>
              <w:rPr>
                <w:rFonts w:ascii="仿宋_GB2312" w:eastAsia="仿宋_GB2312"/>
                <w:sz w:val="28"/>
                <w:szCs w:val="24"/>
              </w:rPr>
            </w:pPr>
          </w:p>
        </w:tc>
        <w:tc>
          <w:tcPr>
            <w:tcW w:w="973" w:type="pct"/>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jc w:val="center"/>
              <w:rPr>
                <w:rFonts w:ascii="仿宋_GB2312" w:eastAsia="仿宋_GB2312"/>
                <w:sz w:val="28"/>
                <w:szCs w:val="24"/>
              </w:rPr>
            </w:pPr>
            <w:r>
              <w:rPr>
                <w:rFonts w:ascii="仿宋_GB2312" w:eastAsia="仿宋_GB2312"/>
                <w:sz w:val="28"/>
                <w:szCs w:val="24"/>
              </w:rPr>
              <w:t>项目技术人员配备</w:t>
            </w:r>
          </w:p>
        </w:tc>
        <w:tc>
          <w:tcPr>
            <w:tcW w:w="623" w:type="pct"/>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jc w:val="center"/>
              <w:rPr>
                <w:rFonts w:ascii="仿宋_GB2312" w:eastAsia="仿宋_GB2312"/>
                <w:sz w:val="28"/>
                <w:szCs w:val="24"/>
              </w:rPr>
            </w:pPr>
            <w:r>
              <w:rPr>
                <w:rFonts w:hint="eastAsia" w:ascii="仿宋_GB2312" w:eastAsia="仿宋_GB2312"/>
                <w:sz w:val="28"/>
                <w:szCs w:val="24"/>
              </w:rPr>
              <w:t>5</w:t>
            </w:r>
            <w:r>
              <w:rPr>
                <w:rFonts w:ascii="仿宋_GB2312" w:eastAsia="仿宋_GB2312"/>
                <w:sz w:val="28"/>
                <w:szCs w:val="24"/>
              </w:rPr>
              <w:t>分</w:t>
            </w:r>
          </w:p>
        </w:tc>
        <w:tc>
          <w:tcPr>
            <w:tcW w:w="2746" w:type="pct"/>
            <w:tcBorders>
              <w:top w:val="outset" w:color="auto" w:sz="6" w:space="0"/>
              <w:left w:val="outset" w:color="auto" w:sz="6" w:space="0"/>
              <w:bottom w:val="outset" w:color="auto" w:sz="6" w:space="0"/>
              <w:right w:val="outset" w:color="auto" w:sz="6" w:space="0"/>
            </w:tcBorders>
          </w:tcPr>
          <w:p>
            <w:pPr>
              <w:rPr>
                <w:rFonts w:ascii="仿宋_GB2312" w:eastAsia="仿宋_GB2312"/>
                <w:sz w:val="28"/>
                <w:szCs w:val="24"/>
              </w:rPr>
            </w:pPr>
            <w:r>
              <w:rPr>
                <w:rFonts w:hint="eastAsia" w:ascii="仿宋_GB2312" w:eastAsia="仿宋_GB2312"/>
                <w:sz w:val="28"/>
                <w:szCs w:val="24"/>
              </w:rPr>
              <w:t>1</w:t>
            </w:r>
            <w:r>
              <w:rPr>
                <w:rFonts w:ascii="仿宋_GB2312" w:eastAsia="仿宋_GB2312"/>
                <w:sz w:val="28"/>
                <w:szCs w:val="24"/>
              </w:rPr>
              <w:t>.</w:t>
            </w:r>
            <w:r>
              <w:rPr>
                <w:rFonts w:hint="eastAsia" w:ascii="仿宋_GB2312" w:eastAsia="仿宋_GB2312"/>
                <w:sz w:val="28"/>
                <w:szCs w:val="24"/>
              </w:rPr>
              <w:t>项目实施负责人须具备</w:t>
            </w:r>
            <w:r>
              <w:rPr>
                <w:rFonts w:ascii="仿宋_GB2312" w:eastAsia="仿宋_GB2312"/>
                <w:sz w:val="28"/>
                <w:szCs w:val="24"/>
              </w:rPr>
              <w:t>6</w:t>
            </w:r>
            <w:r>
              <w:rPr>
                <w:rFonts w:hint="eastAsia" w:ascii="仿宋_GB2312" w:eastAsia="仿宋_GB2312"/>
                <w:sz w:val="28"/>
                <w:szCs w:val="24"/>
              </w:rPr>
              <w:t>年以上同类项目实施经验，满足得3分。</w:t>
            </w:r>
          </w:p>
          <w:p>
            <w:pPr>
              <w:rPr>
                <w:rFonts w:ascii="仿宋_GB2312" w:eastAsia="仿宋_GB2312"/>
                <w:sz w:val="28"/>
                <w:szCs w:val="24"/>
              </w:rPr>
            </w:pPr>
            <w:r>
              <w:rPr>
                <w:rFonts w:hint="eastAsia" w:ascii="仿宋_GB2312" w:eastAsia="仿宋_GB2312"/>
                <w:sz w:val="28"/>
                <w:szCs w:val="24"/>
              </w:rPr>
              <w:t>评审依据：工作经验证明为项目实施负责人所负责项目的合同关键信息及相应项目验收单，复印件加盖公章。</w:t>
            </w:r>
          </w:p>
          <w:p>
            <w:pPr>
              <w:rPr>
                <w:rFonts w:ascii="仿宋_GB2312" w:eastAsia="仿宋_GB2312"/>
                <w:sz w:val="28"/>
                <w:szCs w:val="24"/>
              </w:rPr>
            </w:pPr>
            <w:r>
              <w:rPr>
                <w:rFonts w:hint="eastAsia" w:ascii="仿宋_GB2312" w:eastAsia="仿宋_GB2312"/>
                <w:sz w:val="28"/>
                <w:szCs w:val="24"/>
              </w:rPr>
              <w:t>2</w:t>
            </w:r>
            <w:r>
              <w:rPr>
                <w:rFonts w:ascii="仿宋_GB2312" w:eastAsia="仿宋_GB2312"/>
                <w:sz w:val="28"/>
                <w:szCs w:val="24"/>
              </w:rPr>
              <w:t>.</w:t>
            </w:r>
            <w:r>
              <w:rPr>
                <w:rFonts w:hint="eastAsia" w:ascii="仿宋_GB2312" w:eastAsia="仿宋_GB2312"/>
                <w:sz w:val="28"/>
                <w:szCs w:val="24"/>
              </w:rPr>
              <w:t>项目团队成员具有P</w:t>
            </w:r>
            <w:r>
              <w:rPr>
                <w:rFonts w:ascii="仿宋_GB2312" w:eastAsia="仿宋_GB2312"/>
                <w:sz w:val="28"/>
                <w:szCs w:val="24"/>
              </w:rPr>
              <w:t>MP</w:t>
            </w:r>
            <w:r>
              <w:rPr>
                <w:rFonts w:hint="eastAsia" w:ascii="仿宋_GB2312" w:eastAsia="仿宋_GB2312"/>
                <w:sz w:val="28"/>
                <w:szCs w:val="24"/>
              </w:rPr>
              <w:t>证书或系统集成项目管理工程师证书，每提供1人得1分，此项最多得2分。</w:t>
            </w:r>
          </w:p>
          <w:p>
            <w:pPr>
              <w:rPr>
                <w:rFonts w:ascii="仿宋_GB2312" w:eastAsia="仿宋_GB2312"/>
                <w:sz w:val="28"/>
                <w:szCs w:val="24"/>
              </w:rPr>
            </w:pPr>
            <w:r>
              <w:rPr>
                <w:rFonts w:hint="eastAsia" w:ascii="仿宋_GB2312" w:eastAsia="仿宋_GB2312"/>
                <w:sz w:val="28"/>
                <w:szCs w:val="24"/>
              </w:rPr>
              <w:t>评审依据：需提供团队成员证书原件扫描件加盖公章。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8" w:type="pct"/>
            <w:vMerge w:val="continue"/>
            <w:tcBorders>
              <w:left w:val="outset" w:color="auto" w:sz="6" w:space="0"/>
              <w:bottom w:val="single" w:color="auto" w:sz="4" w:space="0"/>
              <w:right w:val="outset" w:color="auto" w:sz="6" w:space="0"/>
            </w:tcBorders>
            <w:vAlign w:val="center"/>
          </w:tcPr>
          <w:p>
            <w:pPr>
              <w:jc w:val="center"/>
              <w:rPr>
                <w:rFonts w:ascii="仿宋_GB2312" w:eastAsia="仿宋_GB2312"/>
                <w:sz w:val="28"/>
                <w:szCs w:val="24"/>
              </w:rPr>
            </w:pPr>
          </w:p>
        </w:tc>
        <w:tc>
          <w:tcPr>
            <w:tcW w:w="973" w:type="pct"/>
            <w:tcBorders>
              <w:top w:val="outset" w:color="auto" w:sz="6" w:space="0"/>
              <w:left w:val="outset" w:color="auto" w:sz="6" w:space="0"/>
              <w:bottom w:val="single" w:color="auto" w:sz="4" w:space="0"/>
              <w:right w:val="outset" w:color="auto" w:sz="6" w:space="0"/>
            </w:tcBorders>
            <w:vAlign w:val="center"/>
          </w:tcPr>
          <w:p>
            <w:pPr>
              <w:autoSpaceDE w:val="0"/>
              <w:autoSpaceDN w:val="0"/>
              <w:adjustRightInd w:val="0"/>
              <w:jc w:val="center"/>
              <w:rPr>
                <w:rFonts w:ascii="仿宋_GB2312" w:eastAsia="仿宋_GB2312"/>
                <w:sz w:val="28"/>
                <w:szCs w:val="24"/>
              </w:rPr>
            </w:pPr>
            <w:r>
              <w:rPr>
                <w:rFonts w:ascii="仿宋_GB2312" w:eastAsia="仿宋_GB2312"/>
                <w:sz w:val="28"/>
                <w:szCs w:val="24"/>
              </w:rPr>
              <w:t>售后服务措施</w:t>
            </w:r>
          </w:p>
        </w:tc>
        <w:tc>
          <w:tcPr>
            <w:tcW w:w="623" w:type="pct"/>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jc w:val="center"/>
              <w:rPr>
                <w:rFonts w:ascii="仿宋_GB2312" w:eastAsia="仿宋_GB2312"/>
                <w:sz w:val="28"/>
                <w:szCs w:val="24"/>
              </w:rPr>
            </w:pPr>
            <w:r>
              <w:rPr>
                <w:rFonts w:hint="eastAsia" w:ascii="仿宋_GB2312" w:eastAsia="仿宋_GB2312"/>
                <w:sz w:val="28"/>
                <w:szCs w:val="24"/>
              </w:rPr>
              <w:t>5</w:t>
            </w:r>
            <w:r>
              <w:rPr>
                <w:rFonts w:ascii="仿宋_GB2312" w:eastAsia="仿宋_GB2312"/>
                <w:sz w:val="28"/>
                <w:szCs w:val="24"/>
              </w:rPr>
              <w:t>分</w:t>
            </w:r>
          </w:p>
        </w:tc>
        <w:tc>
          <w:tcPr>
            <w:tcW w:w="2746" w:type="pct"/>
            <w:tcBorders>
              <w:top w:val="outset" w:color="auto" w:sz="6" w:space="0"/>
              <w:left w:val="outset" w:color="auto" w:sz="6" w:space="0"/>
              <w:bottom w:val="outset" w:color="auto" w:sz="6" w:space="0"/>
              <w:right w:val="outset" w:color="auto" w:sz="6" w:space="0"/>
            </w:tcBorders>
          </w:tcPr>
          <w:p>
            <w:pPr>
              <w:rPr>
                <w:rFonts w:ascii="仿宋_GB2312" w:eastAsia="仿宋_GB2312"/>
                <w:sz w:val="28"/>
                <w:szCs w:val="24"/>
              </w:rPr>
            </w:pPr>
            <w:r>
              <w:rPr>
                <w:rFonts w:hint="eastAsia" w:ascii="仿宋_GB2312" w:eastAsia="仿宋_GB2312"/>
                <w:sz w:val="28"/>
                <w:szCs w:val="24"/>
              </w:rPr>
              <w:t>具备完备的售后服务体系，提供售后服务方案包含有：售后服务期限、服务方式、响应时间等。根据方案内容进行评分，方案全面合理，内容具体、适用性强，可全面满足采购人的售后服务需求得5分；售后服务方案较为全面，有基本的服务流程和内容，基本满足采购人的要求得2</w:t>
            </w:r>
            <w:r>
              <w:rPr>
                <w:rFonts w:ascii="仿宋_GB2312" w:eastAsia="仿宋_GB2312"/>
                <w:sz w:val="28"/>
                <w:szCs w:val="24"/>
              </w:rPr>
              <w:t>分；售后服务方案适用性差、不能完全满足采购人的需求或未提供不得分。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8" w:type="pct"/>
            <w:vMerge w:val="restart"/>
            <w:tcBorders>
              <w:top w:val="single" w:color="auto" w:sz="4" w:space="0"/>
              <w:left w:val="single" w:color="auto" w:sz="4" w:space="0"/>
              <w:right w:val="single" w:color="auto" w:sz="4" w:space="0"/>
            </w:tcBorders>
            <w:vAlign w:val="center"/>
          </w:tcPr>
          <w:p>
            <w:pPr>
              <w:jc w:val="center"/>
              <w:rPr>
                <w:rFonts w:ascii="仿宋_GB2312" w:eastAsia="仿宋_GB2312"/>
                <w:sz w:val="28"/>
                <w:szCs w:val="24"/>
              </w:rPr>
            </w:pPr>
            <w:r>
              <w:rPr>
                <w:rFonts w:hint="eastAsia" w:ascii="仿宋_GB2312" w:eastAsia="仿宋_GB2312"/>
                <w:sz w:val="28"/>
                <w:szCs w:val="24"/>
              </w:rPr>
              <w:t>商务因素</w:t>
            </w:r>
          </w:p>
          <w:p>
            <w:pPr>
              <w:jc w:val="center"/>
              <w:rPr>
                <w:rFonts w:ascii="仿宋_GB2312" w:eastAsia="仿宋_GB2312"/>
                <w:sz w:val="28"/>
                <w:szCs w:val="24"/>
              </w:rPr>
            </w:pPr>
            <w:r>
              <w:rPr>
                <w:rFonts w:hint="eastAsia" w:ascii="仿宋_GB2312" w:eastAsia="仿宋_GB2312"/>
                <w:sz w:val="28"/>
                <w:szCs w:val="24"/>
              </w:rPr>
              <w:t>(</w:t>
            </w:r>
            <w:r>
              <w:rPr>
                <w:rFonts w:ascii="仿宋_GB2312" w:eastAsia="仿宋_GB2312"/>
                <w:sz w:val="28"/>
                <w:szCs w:val="24"/>
              </w:rPr>
              <w:t>25</w:t>
            </w:r>
            <w:r>
              <w:rPr>
                <w:rFonts w:hint="eastAsia" w:ascii="仿宋_GB2312" w:eastAsia="仿宋_GB2312"/>
                <w:sz w:val="28"/>
                <w:szCs w:val="24"/>
              </w:rPr>
              <w:t>分)</w:t>
            </w:r>
          </w:p>
        </w:tc>
        <w:tc>
          <w:tcPr>
            <w:tcW w:w="9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sz w:val="28"/>
                <w:szCs w:val="24"/>
              </w:rPr>
            </w:pPr>
            <w:r>
              <w:rPr>
                <w:rFonts w:hint="eastAsia" w:ascii="仿宋_GB2312" w:eastAsia="仿宋_GB2312"/>
                <w:sz w:val="28"/>
                <w:szCs w:val="24"/>
              </w:rPr>
              <w:t>资质证明</w:t>
            </w:r>
          </w:p>
        </w:tc>
        <w:tc>
          <w:tcPr>
            <w:tcW w:w="623" w:type="pct"/>
            <w:tcBorders>
              <w:top w:val="outset" w:color="auto" w:sz="6" w:space="0"/>
              <w:left w:val="single" w:color="auto" w:sz="4" w:space="0"/>
              <w:right w:val="outset" w:color="auto" w:sz="6" w:space="0"/>
            </w:tcBorders>
            <w:vAlign w:val="center"/>
          </w:tcPr>
          <w:p>
            <w:pPr>
              <w:autoSpaceDE w:val="0"/>
              <w:autoSpaceDN w:val="0"/>
              <w:adjustRightInd w:val="0"/>
              <w:jc w:val="center"/>
              <w:rPr>
                <w:rFonts w:ascii="仿宋_GB2312" w:eastAsia="仿宋_GB2312"/>
                <w:sz w:val="28"/>
                <w:szCs w:val="24"/>
              </w:rPr>
            </w:pPr>
            <w:r>
              <w:rPr>
                <w:rFonts w:ascii="仿宋_GB2312" w:eastAsia="仿宋_GB2312"/>
                <w:sz w:val="28"/>
                <w:szCs w:val="24"/>
              </w:rPr>
              <w:t>10</w:t>
            </w:r>
            <w:r>
              <w:rPr>
                <w:rFonts w:hint="eastAsia" w:ascii="仿宋_GB2312" w:eastAsia="仿宋_GB2312"/>
                <w:sz w:val="28"/>
                <w:szCs w:val="24"/>
              </w:rPr>
              <w:t>分</w:t>
            </w:r>
          </w:p>
        </w:tc>
        <w:tc>
          <w:tcPr>
            <w:tcW w:w="2746" w:type="pct"/>
            <w:tcBorders>
              <w:top w:val="outset" w:color="auto" w:sz="6" w:space="0"/>
              <w:left w:val="outset" w:color="auto" w:sz="6" w:space="0"/>
              <w:right w:val="outset" w:color="auto" w:sz="6" w:space="0"/>
            </w:tcBorders>
          </w:tcPr>
          <w:p>
            <w:pPr>
              <w:numPr>
                <w:ilvl w:val="0"/>
                <w:numId w:val="2"/>
              </w:numPr>
              <w:autoSpaceDE w:val="0"/>
              <w:autoSpaceDN w:val="0"/>
              <w:adjustRightInd w:val="0"/>
              <w:jc w:val="left"/>
              <w:rPr>
                <w:rFonts w:ascii="仿宋_GB2312" w:eastAsia="仿宋_GB2312"/>
                <w:sz w:val="28"/>
                <w:szCs w:val="24"/>
              </w:rPr>
            </w:pPr>
            <w:r>
              <w:rPr>
                <w:rFonts w:ascii="仿宋_GB2312" w:eastAsia="仿宋_GB2312"/>
                <w:sz w:val="28"/>
                <w:szCs w:val="24"/>
              </w:rPr>
              <w:t>投标</w:t>
            </w:r>
            <w:r>
              <w:rPr>
                <w:rFonts w:hint="eastAsia" w:ascii="仿宋_GB2312" w:eastAsia="仿宋_GB2312"/>
                <w:sz w:val="28"/>
                <w:szCs w:val="24"/>
              </w:rPr>
              <w:t>产品</w:t>
            </w:r>
            <w:r>
              <w:rPr>
                <w:rFonts w:ascii="仿宋_GB2312" w:eastAsia="仿宋_GB2312"/>
                <w:sz w:val="28"/>
                <w:szCs w:val="24"/>
              </w:rPr>
              <w:t>必须依法取得软件著作权登记证书。</w:t>
            </w:r>
            <w:r>
              <w:rPr>
                <w:rFonts w:hint="eastAsia" w:ascii="仿宋_GB2312" w:eastAsia="仿宋_GB2312"/>
                <w:sz w:val="28"/>
                <w:szCs w:val="24"/>
              </w:rPr>
              <w:t>（1分）</w:t>
            </w:r>
          </w:p>
          <w:p>
            <w:pPr>
              <w:numPr>
                <w:ilvl w:val="0"/>
                <w:numId w:val="2"/>
              </w:numPr>
              <w:autoSpaceDE w:val="0"/>
              <w:autoSpaceDN w:val="0"/>
              <w:adjustRightInd w:val="0"/>
              <w:jc w:val="left"/>
              <w:rPr>
                <w:rFonts w:ascii="仿宋_GB2312" w:eastAsia="仿宋_GB2312"/>
                <w:sz w:val="28"/>
                <w:szCs w:val="24"/>
              </w:rPr>
            </w:pPr>
            <w:r>
              <w:rPr>
                <w:rFonts w:hint="eastAsia" w:ascii="仿宋_GB2312" w:eastAsia="仿宋_GB2312"/>
                <w:sz w:val="28"/>
                <w:szCs w:val="24"/>
              </w:rPr>
              <w:t>所投产品生产厂商具备ISO9001质量管理体系认证证书、ISO20000信息技术服务管理体系认证证书及ISO27001信息安全管理体系认证证书。（全部提供得2分，缺少任意一项或不提供不得分）</w:t>
            </w:r>
          </w:p>
          <w:p>
            <w:pPr>
              <w:numPr>
                <w:ilvl w:val="0"/>
                <w:numId w:val="2"/>
              </w:numPr>
              <w:autoSpaceDE w:val="0"/>
              <w:autoSpaceDN w:val="0"/>
              <w:adjustRightInd w:val="0"/>
              <w:jc w:val="left"/>
              <w:rPr>
                <w:rFonts w:ascii="仿宋_GB2312" w:eastAsia="仿宋_GB2312"/>
                <w:sz w:val="28"/>
                <w:szCs w:val="24"/>
              </w:rPr>
            </w:pPr>
            <w:r>
              <w:rPr>
                <w:rFonts w:hint="eastAsia" w:ascii="仿宋_GB2312" w:eastAsia="仿宋_GB2312"/>
                <w:sz w:val="28"/>
                <w:szCs w:val="24"/>
              </w:rPr>
              <w:t>所投产品生产厂商具有CMMI三级或以上证书。（1分）</w:t>
            </w:r>
          </w:p>
          <w:p>
            <w:pPr>
              <w:numPr>
                <w:ilvl w:val="0"/>
                <w:numId w:val="2"/>
              </w:numPr>
              <w:autoSpaceDE w:val="0"/>
              <w:autoSpaceDN w:val="0"/>
              <w:adjustRightInd w:val="0"/>
              <w:jc w:val="left"/>
              <w:rPr>
                <w:rFonts w:ascii="仿宋_GB2312" w:eastAsia="仿宋_GB2312"/>
                <w:sz w:val="28"/>
                <w:szCs w:val="24"/>
              </w:rPr>
            </w:pPr>
            <w:r>
              <w:rPr>
                <w:rFonts w:hint="eastAsia" w:ascii="仿宋_GB2312" w:eastAsia="仿宋_GB2312"/>
                <w:sz w:val="28"/>
                <w:szCs w:val="24"/>
              </w:rPr>
              <w:t>所投产品生产厂商具有ITSS证书。（1分）</w:t>
            </w:r>
          </w:p>
          <w:p>
            <w:pPr>
              <w:numPr>
                <w:ilvl w:val="0"/>
                <w:numId w:val="2"/>
              </w:numPr>
              <w:autoSpaceDE w:val="0"/>
              <w:autoSpaceDN w:val="0"/>
              <w:adjustRightInd w:val="0"/>
              <w:jc w:val="left"/>
              <w:rPr>
                <w:rFonts w:ascii="仿宋_GB2312" w:eastAsia="仿宋_GB2312"/>
                <w:sz w:val="28"/>
                <w:szCs w:val="24"/>
              </w:rPr>
            </w:pPr>
            <w:r>
              <w:rPr>
                <w:rFonts w:hint="eastAsia" w:ascii="仿宋_GB2312" w:eastAsia="仿宋_GB2312"/>
                <w:sz w:val="28"/>
                <w:szCs w:val="24"/>
              </w:rPr>
              <w:t>所投产品生产厂商具有软件企业认定证书。（1分）</w:t>
            </w:r>
          </w:p>
          <w:p>
            <w:pPr>
              <w:numPr>
                <w:ilvl w:val="0"/>
                <w:numId w:val="2"/>
              </w:numPr>
              <w:autoSpaceDE w:val="0"/>
              <w:autoSpaceDN w:val="0"/>
              <w:adjustRightInd w:val="0"/>
              <w:jc w:val="left"/>
              <w:rPr>
                <w:rFonts w:ascii="仿宋_GB2312" w:eastAsia="仿宋_GB2312"/>
                <w:sz w:val="28"/>
                <w:szCs w:val="24"/>
              </w:rPr>
            </w:pPr>
            <w:r>
              <w:rPr>
                <w:rFonts w:hint="eastAsia" w:ascii="仿宋_GB2312" w:eastAsia="仿宋_GB2312"/>
                <w:sz w:val="28"/>
                <w:szCs w:val="24"/>
              </w:rPr>
              <w:t>所投产品生产厂商具有知识产权管理体系认证证书。(</w:t>
            </w:r>
            <w:r>
              <w:rPr>
                <w:rFonts w:ascii="仿宋_GB2312" w:eastAsia="仿宋_GB2312"/>
                <w:sz w:val="28"/>
                <w:szCs w:val="24"/>
              </w:rPr>
              <w:t>1</w:t>
            </w:r>
            <w:r>
              <w:rPr>
                <w:rFonts w:hint="eastAsia" w:ascii="仿宋_GB2312" w:eastAsia="仿宋_GB2312"/>
                <w:sz w:val="28"/>
                <w:szCs w:val="24"/>
              </w:rPr>
              <w:t>分</w:t>
            </w:r>
            <w:r>
              <w:rPr>
                <w:rFonts w:ascii="仿宋_GB2312" w:eastAsia="仿宋_GB2312"/>
                <w:sz w:val="28"/>
                <w:szCs w:val="24"/>
              </w:rPr>
              <w:t>)</w:t>
            </w:r>
          </w:p>
          <w:p>
            <w:pPr>
              <w:numPr>
                <w:ilvl w:val="0"/>
                <w:numId w:val="2"/>
              </w:numPr>
              <w:autoSpaceDE w:val="0"/>
              <w:autoSpaceDN w:val="0"/>
              <w:adjustRightInd w:val="0"/>
              <w:jc w:val="left"/>
              <w:rPr>
                <w:rFonts w:ascii="仿宋_GB2312" w:eastAsia="仿宋_GB2312"/>
                <w:sz w:val="28"/>
                <w:szCs w:val="24"/>
              </w:rPr>
            </w:pPr>
            <w:r>
              <w:rPr>
                <w:rFonts w:hint="eastAsia" w:ascii="仿宋_GB2312" w:eastAsia="仿宋_GB2312"/>
                <w:sz w:val="28"/>
                <w:szCs w:val="24"/>
              </w:rPr>
              <w:t>所投产品生产厂商具有信息安全服务资质认证</w:t>
            </w:r>
            <w:r>
              <w:rPr>
                <w:rFonts w:ascii="仿宋_GB2312" w:eastAsia="仿宋_GB2312"/>
                <w:sz w:val="28"/>
                <w:szCs w:val="24"/>
              </w:rPr>
              <w:t>CCRC</w:t>
            </w:r>
            <w:r>
              <w:rPr>
                <w:rFonts w:hint="eastAsia" w:ascii="仿宋_GB2312" w:eastAsia="仿宋_GB2312"/>
                <w:sz w:val="28"/>
                <w:szCs w:val="24"/>
              </w:rPr>
              <w:t>三级或以上证书(</w:t>
            </w:r>
            <w:r>
              <w:rPr>
                <w:rFonts w:ascii="仿宋_GB2312" w:eastAsia="仿宋_GB2312"/>
                <w:sz w:val="28"/>
                <w:szCs w:val="24"/>
              </w:rPr>
              <w:t>1</w:t>
            </w:r>
            <w:r>
              <w:rPr>
                <w:rFonts w:hint="eastAsia" w:ascii="仿宋_GB2312" w:eastAsia="仿宋_GB2312"/>
                <w:sz w:val="28"/>
                <w:szCs w:val="24"/>
              </w:rPr>
              <w:t>分</w:t>
            </w:r>
            <w:r>
              <w:rPr>
                <w:rFonts w:ascii="仿宋_GB2312" w:eastAsia="仿宋_GB2312"/>
                <w:sz w:val="28"/>
                <w:szCs w:val="24"/>
              </w:rPr>
              <w:t>)</w:t>
            </w:r>
          </w:p>
          <w:p>
            <w:pPr>
              <w:numPr>
                <w:ilvl w:val="0"/>
                <w:numId w:val="2"/>
              </w:numPr>
              <w:autoSpaceDE w:val="0"/>
              <w:autoSpaceDN w:val="0"/>
              <w:adjustRightInd w:val="0"/>
              <w:jc w:val="left"/>
              <w:rPr>
                <w:rFonts w:ascii="仿宋_GB2312" w:eastAsia="仿宋_GB2312"/>
                <w:sz w:val="28"/>
                <w:szCs w:val="24"/>
              </w:rPr>
            </w:pPr>
            <w:r>
              <w:rPr>
                <w:rFonts w:hint="eastAsia" w:ascii="仿宋_GB2312" w:eastAsia="仿宋_GB2312"/>
                <w:sz w:val="28"/>
                <w:szCs w:val="24"/>
              </w:rPr>
              <w:t>提供国家级相关权威部门的荣誉证书、推荐函等。（1分）</w:t>
            </w:r>
          </w:p>
          <w:p>
            <w:pPr>
              <w:numPr>
                <w:ilvl w:val="0"/>
                <w:numId w:val="2"/>
              </w:numPr>
              <w:autoSpaceDE w:val="0"/>
              <w:autoSpaceDN w:val="0"/>
              <w:adjustRightInd w:val="0"/>
              <w:jc w:val="left"/>
              <w:rPr>
                <w:rFonts w:ascii="仿宋_GB2312" w:eastAsia="仿宋_GB2312"/>
                <w:sz w:val="28"/>
                <w:szCs w:val="24"/>
              </w:rPr>
            </w:pPr>
            <w:r>
              <w:rPr>
                <w:rFonts w:hint="eastAsia" w:ascii="仿宋_GB2312" w:eastAsia="仿宋_GB2312"/>
                <w:sz w:val="28"/>
                <w:szCs w:val="24"/>
              </w:rPr>
              <w:t>所投产品生产厂商具有企业信用等级3A证书，能提供者得1分，不能提供者不得分。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8" w:type="pct"/>
            <w:vMerge w:val="continue"/>
            <w:tcBorders>
              <w:left w:val="single" w:color="auto" w:sz="4" w:space="0"/>
              <w:right w:val="single" w:color="auto" w:sz="4" w:space="0"/>
            </w:tcBorders>
            <w:vAlign w:val="center"/>
          </w:tcPr>
          <w:p>
            <w:pPr>
              <w:jc w:val="center"/>
              <w:rPr>
                <w:rFonts w:ascii="仿宋_GB2312" w:eastAsia="仿宋_GB2312"/>
                <w:sz w:val="28"/>
                <w:szCs w:val="24"/>
              </w:rPr>
            </w:pPr>
          </w:p>
        </w:tc>
        <w:tc>
          <w:tcPr>
            <w:tcW w:w="9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sz w:val="28"/>
                <w:szCs w:val="24"/>
              </w:rPr>
            </w:pPr>
            <w:r>
              <w:rPr>
                <w:rFonts w:hint="eastAsia" w:ascii="仿宋_GB2312" w:eastAsia="仿宋_GB2312"/>
                <w:sz w:val="28"/>
                <w:szCs w:val="24"/>
              </w:rPr>
              <w:t>业绩证明</w:t>
            </w:r>
          </w:p>
        </w:tc>
        <w:tc>
          <w:tcPr>
            <w:tcW w:w="623" w:type="pct"/>
            <w:tcBorders>
              <w:top w:val="outset" w:color="auto" w:sz="6" w:space="0"/>
              <w:left w:val="single" w:color="auto" w:sz="4" w:space="0"/>
              <w:bottom w:val="outset" w:color="auto" w:sz="6" w:space="0"/>
              <w:right w:val="outset" w:color="auto" w:sz="6" w:space="0"/>
            </w:tcBorders>
            <w:vAlign w:val="center"/>
          </w:tcPr>
          <w:p>
            <w:pPr>
              <w:autoSpaceDE w:val="0"/>
              <w:autoSpaceDN w:val="0"/>
              <w:adjustRightInd w:val="0"/>
              <w:jc w:val="center"/>
              <w:rPr>
                <w:rFonts w:ascii="仿宋_GB2312" w:eastAsia="仿宋_GB2312"/>
                <w:sz w:val="28"/>
                <w:szCs w:val="24"/>
              </w:rPr>
            </w:pPr>
            <w:r>
              <w:rPr>
                <w:rFonts w:ascii="仿宋_GB2312" w:eastAsia="仿宋_GB2312"/>
                <w:sz w:val="28"/>
                <w:szCs w:val="24"/>
              </w:rPr>
              <w:t>15</w:t>
            </w:r>
            <w:r>
              <w:rPr>
                <w:rFonts w:hint="eastAsia" w:ascii="仿宋_GB2312" w:eastAsia="仿宋_GB2312"/>
                <w:sz w:val="28"/>
                <w:szCs w:val="24"/>
              </w:rPr>
              <w:t>分</w:t>
            </w:r>
          </w:p>
        </w:tc>
        <w:tc>
          <w:tcPr>
            <w:tcW w:w="2746" w:type="pct"/>
            <w:tcBorders>
              <w:top w:val="outset" w:color="auto" w:sz="6" w:space="0"/>
              <w:left w:val="outset" w:color="auto" w:sz="6" w:space="0"/>
              <w:bottom w:val="outset" w:color="auto" w:sz="6" w:space="0"/>
              <w:right w:val="outset" w:color="auto" w:sz="6" w:space="0"/>
            </w:tcBorders>
          </w:tcPr>
          <w:p>
            <w:pPr>
              <w:numPr>
                <w:ilvl w:val="0"/>
                <w:numId w:val="3"/>
              </w:numPr>
              <w:autoSpaceDE w:val="0"/>
              <w:autoSpaceDN w:val="0"/>
              <w:adjustRightInd w:val="0"/>
              <w:jc w:val="left"/>
              <w:rPr>
                <w:rFonts w:ascii="仿宋_GB2312" w:eastAsia="仿宋_GB2312"/>
                <w:sz w:val="28"/>
                <w:szCs w:val="24"/>
              </w:rPr>
            </w:pPr>
            <w:r>
              <w:rPr>
                <w:rFonts w:hint="eastAsia" w:ascii="仿宋_GB2312" w:eastAsia="仿宋_GB2312"/>
                <w:sz w:val="28"/>
                <w:szCs w:val="24"/>
              </w:rPr>
              <w:t>提供投标人或投标产品生产厂商近三年三甲医院的类似项目建设案例，需提供证明材料，提供一个得1分，此项最多得3分。</w:t>
            </w:r>
          </w:p>
          <w:p>
            <w:pPr>
              <w:autoSpaceDE w:val="0"/>
              <w:autoSpaceDN w:val="0"/>
              <w:adjustRightInd w:val="0"/>
              <w:jc w:val="left"/>
              <w:rPr>
                <w:rFonts w:ascii="仿宋_GB2312" w:eastAsia="仿宋_GB2312"/>
                <w:sz w:val="28"/>
                <w:szCs w:val="24"/>
              </w:rPr>
            </w:pPr>
            <w:r>
              <w:rPr>
                <w:rFonts w:hint="eastAsia" w:ascii="仿宋_GB2312" w:eastAsia="仿宋_GB2312"/>
                <w:sz w:val="28"/>
                <w:szCs w:val="24"/>
              </w:rPr>
              <w:t>评审依据：提供合同关键页或验收单复印件作为证明材料，并加盖公章。</w:t>
            </w:r>
          </w:p>
          <w:p>
            <w:pPr>
              <w:numPr>
                <w:ilvl w:val="0"/>
                <w:numId w:val="3"/>
              </w:numPr>
              <w:autoSpaceDE w:val="0"/>
              <w:autoSpaceDN w:val="0"/>
              <w:adjustRightInd w:val="0"/>
              <w:jc w:val="left"/>
              <w:rPr>
                <w:rFonts w:ascii="仿宋_GB2312" w:eastAsia="仿宋_GB2312"/>
                <w:sz w:val="28"/>
                <w:szCs w:val="24"/>
              </w:rPr>
            </w:pPr>
            <w:r>
              <w:rPr>
                <w:rFonts w:hint="eastAsia" w:ascii="仿宋_GB2312" w:eastAsia="仿宋_GB2312"/>
                <w:sz w:val="28"/>
                <w:szCs w:val="24"/>
              </w:rPr>
              <w:t>投标人或投标产品生产厂商具有成功通过高级别电子病历评级用户的类似项目建设案例，此项最高得</w:t>
            </w:r>
            <w:r>
              <w:rPr>
                <w:rFonts w:ascii="仿宋_GB2312" w:eastAsia="仿宋_GB2312"/>
                <w:sz w:val="28"/>
                <w:szCs w:val="24"/>
              </w:rPr>
              <w:t>12</w:t>
            </w:r>
            <w:r>
              <w:rPr>
                <w:rFonts w:hint="eastAsia" w:ascii="仿宋_GB2312" w:eastAsia="仿宋_GB2312"/>
                <w:sz w:val="28"/>
                <w:szCs w:val="24"/>
              </w:rPr>
              <w:t>分。</w:t>
            </w:r>
          </w:p>
          <w:p>
            <w:pPr>
              <w:autoSpaceDE w:val="0"/>
              <w:autoSpaceDN w:val="0"/>
              <w:adjustRightInd w:val="0"/>
              <w:ind w:left="360"/>
              <w:jc w:val="left"/>
              <w:rPr>
                <w:rFonts w:ascii="仿宋_GB2312" w:eastAsia="仿宋_GB2312"/>
                <w:sz w:val="28"/>
                <w:szCs w:val="24"/>
              </w:rPr>
            </w:pPr>
            <w:r>
              <w:rPr>
                <w:rFonts w:hint="eastAsia" w:ascii="仿宋_GB2312" w:eastAsia="仿宋_GB2312"/>
                <w:sz w:val="28"/>
                <w:szCs w:val="24"/>
              </w:rPr>
              <w:t>每提供一个7级案例得3分，最高得6分；</w:t>
            </w:r>
          </w:p>
          <w:p>
            <w:pPr>
              <w:autoSpaceDE w:val="0"/>
              <w:autoSpaceDN w:val="0"/>
              <w:adjustRightInd w:val="0"/>
              <w:ind w:left="360"/>
              <w:jc w:val="left"/>
              <w:rPr>
                <w:rFonts w:ascii="仿宋_GB2312" w:eastAsia="仿宋_GB2312"/>
                <w:sz w:val="28"/>
                <w:szCs w:val="24"/>
              </w:rPr>
            </w:pPr>
            <w:r>
              <w:rPr>
                <w:rFonts w:hint="eastAsia" w:ascii="仿宋_GB2312" w:eastAsia="仿宋_GB2312"/>
                <w:sz w:val="28"/>
                <w:szCs w:val="24"/>
              </w:rPr>
              <w:t>每提供一个6级案例得2分，最高得6分；</w:t>
            </w:r>
          </w:p>
          <w:p>
            <w:pPr>
              <w:autoSpaceDE w:val="0"/>
              <w:autoSpaceDN w:val="0"/>
              <w:adjustRightInd w:val="0"/>
              <w:ind w:left="360"/>
              <w:jc w:val="left"/>
              <w:rPr>
                <w:rFonts w:ascii="仿宋_GB2312" w:eastAsia="仿宋_GB2312"/>
                <w:sz w:val="28"/>
                <w:szCs w:val="24"/>
              </w:rPr>
            </w:pPr>
            <w:r>
              <w:rPr>
                <w:rFonts w:hint="eastAsia" w:ascii="仿宋_GB2312" w:eastAsia="仿宋_GB2312"/>
                <w:sz w:val="28"/>
                <w:szCs w:val="24"/>
              </w:rPr>
              <w:t>每提供一个5级案例得1分，最高得3分；</w:t>
            </w:r>
          </w:p>
          <w:p>
            <w:pPr>
              <w:autoSpaceDE w:val="0"/>
              <w:autoSpaceDN w:val="0"/>
              <w:adjustRightInd w:val="0"/>
              <w:jc w:val="left"/>
              <w:rPr>
                <w:rFonts w:ascii="仿宋_GB2312" w:eastAsia="仿宋_GB2312"/>
                <w:sz w:val="28"/>
                <w:szCs w:val="24"/>
              </w:rPr>
            </w:pPr>
            <w:r>
              <w:rPr>
                <w:rFonts w:hint="eastAsia" w:ascii="仿宋_GB2312" w:eastAsia="仿宋_GB2312"/>
                <w:sz w:val="28"/>
                <w:szCs w:val="24"/>
              </w:rPr>
              <w:t>评审依据：提供国家卫生健康委公布的高级别电子病历评级通过医院用户的项目合同关键页或项目验收单，复印件加盖公章。</w:t>
            </w:r>
          </w:p>
        </w:tc>
      </w:tr>
    </w:tbl>
    <w:p>
      <w:pPr>
        <w:rPr>
          <w:rFonts w:ascii="Arial" w:hAnsi="Arial" w:eastAsia="仿宋_GB2312" w:cs="Arial"/>
          <w:sz w:val="28"/>
          <w:szCs w:val="28"/>
        </w:rPr>
      </w:pPr>
      <w:r>
        <w:rPr>
          <w:rFonts w:hint="eastAsia" w:ascii="仿宋_GB2312" w:hAnsi="华文中宋" w:eastAsia="仿宋_GB2312"/>
          <w:b/>
          <w:sz w:val="28"/>
          <w:szCs w:val="28"/>
        </w:rPr>
        <w:t>注：投标文件中未提供评分标准中涉及的证书证明等资料复印件（加盖投标人公章）的，相应条款不得分。</w:t>
      </w:r>
    </w:p>
    <w:p>
      <w:pPr>
        <w:jc w:val="left"/>
        <w:rPr>
          <w:rFonts w:ascii="宋体" w:hAnsi="宋体"/>
          <w:szCs w:val="21"/>
        </w:rPr>
      </w:pPr>
      <w:r>
        <w:br w:type="page"/>
      </w:r>
    </w:p>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项目名称</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深圳市儿童医院合理用药系统技术服务项目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commentRangeStart w:id="0"/>
            <w:r>
              <w:rPr>
                <w:rFonts w:hint="eastAsia" w:ascii="宋体" w:hAnsi="宋体"/>
                <w:szCs w:val="21"/>
              </w:rPr>
              <w:t>项目预算</w:t>
            </w:r>
            <w:commentRangeEnd w:id="0"/>
            <w:r>
              <w:rPr>
                <w:rStyle w:val="21"/>
              </w:rPr>
              <w:commentReference w:id="0"/>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99700</w:t>
            </w: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项目背景</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拟对我院深圳市儿童医院已购买的合理用药系统进行技术服务事项，提升我院用药安全水平。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服务内容</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合理用药系统一年的技术服务。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r>
              <w:rPr>
                <w:rFonts w:hint="eastAsia" w:ascii="宋体" w:hAnsi="宋体"/>
                <w:kern w:val="0"/>
                <w:szCs w:val="21"/>
              </w:rPr>
              <w:t>商务需求</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bCs/>
                <w:szCs w:val="21"/>
              </w:rPr>
            </w:pPr>
            <w:r>
              <w:rPr>
                <w:rFonts w:hint="eastAsia" w:ascii="宋体" w:hAnsi="宋体"/>
                <w:bCs/>
                <w:szCs w:val="21"/>
              </w:rPr>
              <w:t>一、服务要求</w:t>
            </w:r>
          </w:p>
          <w:p>
            <w:pPr>
              <w:snapToGrid w:val="0"/>
              <w:jc w:val="left"/>
              <w:rPr>
                <w:rFonts w:ascii="宋体" w:hAnsi="宋体"/>
                <w:bCs/>
                <w:szCs w:val="21"/>
              </w:rPr>
            </w:pPr>
            <w:r>
              <w:rPr>
                <w:rFonts w:hint="eastAsia" w:ascii="宋体" w:hAnsi="宋体"/>
                <w:bCs/>
                <w:szCs w:val="21"/>
              </w:rPr>
              <w:t>1. 在中华人民共和国境内注册，具有独立法人资格；</w:t>
            </w:r>
          </w:p>
          <w:p>
            <w:pPr>
              <w:snapToGrid w:val="0"/>
              <w:jc w:val="left"/>
              <w:rPr>
                <w:rFonts w:ascii="宋体" w:hAnsi="宋体"/>
                <w:bCs/>
                <w:szCs w:val="21"/>
              </w:rPr>
            </w:pPr>
            <w:r>
              <w:rPr>
                <w:rFonts w:hint="eastAsia" w:ascii="宋体" w:hAnsi="宋体"/>
                <w:bCs/>
                <w:szCs w:val="21"/>
              </w:rPr>
              <w:t>2. 意向服务商须承诺近三年无重大行政处罚；</w:t>
            </w:r>
          </w:p>
          <w:p>
            <w:pPr>
              <w:snapToGrid w:val="0"/>
              <w:jc w:val="left"/>
              <w:rPr>
                <w:rFonts w:ascii="宋体" w:hAnsi="宋体"/>
                <w:bCs/>
                <w:szCs w:val="21"/>
              </w:rPr>
            </w:pPr>
            <w:r>
              <w:rPr>
                <w:rFonts w:hint="eastAsia" w:ascii="宋体" w:hAnsi="宋体"/>
                <w:bCs/>
                <w:szCs w:val="21"/>
              </w:rPr>
              <w:t>3. 不接受联合体参与本采购项目；</w:t>
            </w:r>
          </w:p>
          <w:p>
            <w:pPr>
              <w:snapToGrid w:val="0"/>
              <w:jc w:val="left"/>
              <w:rPr>
                <w:rFonts w:ascii="宋体" w:hAnsi="宋体"/>
                <w:bCs/>
                <w:szCs w:val="21"/>
              </w:rPr>
            </w:pPr>
            <w:r>
              <w:rPr>
                <w:rFonts w:hint="eastAsia" w:ascii="宋体" w:hAnsi="宋体"/>
                <w:bCs/>
                <w:szCs w:val="21"/>
              </w:rPr>
              <w:t>4. 具有合同履行能力。</w:t>
            </w:r>
          </w:p>
          <w:p>
            <w:pPr>
              <w:snapToGrid w:val="0"/>
              <w:jc w:val="left"/>
              <w:rPr>
                <w:rFonts w:ascii="宋体" w:hAnsi="宋体"/>
                <w:bCs/>
                <w:szCs w:val="21"/>
              </w:rPr>
            </w:pPr>
            <w:r>
              <w:rPr>
                <w:rFonts w:hint="eastAsia" w:ascii="宋体" w:hAnsi="宋体"/>
                <w:bCs/>
                <w:szCs w:val="21"/>
              </w:rPr>
              <w:t>二、付款方式</w:t>
            </w:r>
          </w:p>
          <w:p>
            <w:pPr>
              <w:snapToGrid w:val="0"/>
              <w:jc w:val="left"/>
              <w:rPr>
                <w:rFonts w:hint="eastAsia" w:asciiTheme="minorEastAsia" w:hAnsiTheme="minorEastAsia" w:eastAsiaTheme="minorEastAsia" w:cstheme="minorEastAsia"/>
                <w:sz w:val="22"/>
                <w:lang w:eastAsia="zh-CN"/>
              </w:rPr>
            </w:pPr>
            <w:r>
              <w:rPr>
                <w:rFonts w:hint="eastAsia" w:ascii="宋体" w:hAnsi="宋体"/>
                <w:bCs/>
                <w:szCs w:val="21"/>
              </w:rPr>
              <w:t>1．</w:t>
            </w:r>
            <w:r>
              <w:rPr>
                <w:rFonts w:hint="eastAsia" w:asciiTheme="minorEastAsia" w:hAnsiTheme="minorEastAsia" w:eastAsiaTheme="minorEastAsia" w:cstheme="minorEastAsia"/>
                <w:sz w:val="22"/>
              </w:rPr>
              <w:t>甲方收到乙方开具的增值税专用发票后，10个</w:t>
            </w:r>
            <w:r>
              <w:rPr>
                <w:rFonts w:asciiTheme="minorEastAsia" w:hAnsiTheme="minorEastAsia" w:eastAsiaTheme="minorEastAsia" w:cstheme="minorEastAsia"/>
                <w:sz w:val="22"/>
              </w:rPr>
              <w:t>工作</w:t>
            </w:r>
            <w:r>
              <w:rPr>
                <w:rFonts w:hint="eastAsia" w:asciiTheme="minorEastAsia" w:hAnsiTheme="minorEastAsia" w:eastAsiaTheme="minorEastAsia" w:cstheme="minorEastAsia"/>
                <w:sz w:val="22"/>
              </w:rPr>
              <w:t>日内</w:t>
            </w:r>
            <w:r>
              <w:rPr>
                <w:rFonts w:hint="eastAsia" w:asciiTheme="minorEastAsia" w:hAnsiTheme="minorEastAsia" w:eastAsiaTheme="minorEastAsia" w:cstheme="minorEastAsia"/>
                <w:sz w:val="22"/>
                <w:lang w:eastAsia="zh-Hans"/>
              </w:rPr>
              <w:t>以银行转帐方式</w:t>
            </w:r>
            <w:r>
              <w:rPr>
                <w:rFonts w:hint="eastAsia" w:asciiTheme="minorEastAsia" w:hAnsiTheme="minorEastAsia" w:eastAsiaTheme="minorEastAsia" w:cstheme="minorEastAsia"/>
                <w:sz w:val="22"/>
              </w:rPr>
              <w:t>支付总金额的50%技术服务费。合同结束时，乙方申请项目验收并提交经</w:t>
            </w:r>
            <w:r>
              <w:rPr>
                <w:rFonts w:asciiTheme="minorEastAsia" w:hAnsiTheme="minorEastAsia" w:eastAsiaTheme="minorEastAsia" w:cstheme="minorEastAsia"/>
                <w:sz w:val="22"/>
              </w:rPr>
              <w:t>甲方</w:t>
            </w:r>
            <w:r>
              <w:rPr>
                <w:rFonts w:hint="eastAsia" w:asciiTheme="minorEastAsia" w:hAnsiTheme="minorEastAsia" w:eastAsiaTheme="minorEastAsia" w:cstheme="minorEastAsia"/>
                <w:sz w:val="22"/>
              </w:rPr>
              <w:t>验收</w:t>
            </w:r>
            <w:r>
              <w:rPr>
                <w:rFonts w:asciiTheme="minorEastAsia" w:hAnsiTheme="minorEastAsia" w:eastAsiaTheme="minorEastAsia" w:cstheme="minorEastAsia"/>
                <w:sz w:val="22"/>
              </w:rPr>
              <w:t>合格的</w:t>
            </w:r>
            <w:r>
              <w:rPr>
                <w:rFonts w:hint="eastAsia" w:asciiTheme="minorEastAsia" w:hAnsiTheme="minorEastAsia" w:eastAsiaTheme="minorEastAsia" w:cstheme="minorEastAsia"/>
                <w:sz w:val="22"/>
              </w:rPr>
              <w:t>验收报告，由甲方向乙方支付合同总额剩余的50%款项</w:t>
            </w:r>
            <w:r>
              <w:rPr>
                <w:rFonts w:hint="eastAsia" w:asciiTheme="minorEastAsia" w:hAnsiTheme="minorEastAsia" w:eastAsiaTheme="minorEastAsia" w:cstheme="minorEastAsia"/>
                <w:sz w:val="22"/>
                <w:lang w:eastAsia="zh-CN"/>
              </w:rPr>
              <w:t>。</w:t>
            </w:r>
            <w:bookmarkStart w:id="15" w:name="_GoBack"/>
            <w:bookmarkEnd w:id="15"/>
          </w:p>
          <w:p>
            <w:pPr>
              <w:snapToGrid w:val="0"/>
              <w:jc w:val="left"/>
              <w:rPr>
                <w:rFonts w:ascii="宋体" w:hAnsi="宋体"/>
                <w:bCs/>
                <w:szCs w:val="21"/>
              </w:rPr>
            </w:pPr>
            <w:r>
              <w:rPr>
                <w:rFonts w:hint="eastAsia" w:ascii="宋体" w:hAnsi="宋体"/>
                <w:bCs/>
                <w:szCs w:val="21"/>
              </w:rPr>
              <w:t>三、违约责任</w:t>
            </w:r>
          </w:p>
          <w:p>
            <w:pPr>
              <w:snapToGrid w:val="0"/>
              <w:jc w:val="left"/>
              <w:rPr>
                <w:rFonts w:ascii="宋体" w:hAnsi="宋体"/>
                <w:bCs/>
                <w:szCs w:val="21"/>
              </w:rPr>
            </w:pPr>
            <w:r>
              <w:rPr>
                <w:rFonts w:hint="eastAsia" w:ascii="宋体" w:hAnsi="宋体"/>
                <w:bCs/>
                <w:szCs w:val="21"/>
              </w:rPr>
              <w:t>1．如中标人未按照投标文件中承诺的时间交货或提供服务，投标人应承担延期交货和延期服务的违约责任，并可要求投标人按合同赔偿采购人因此造成的实际经济损失。</w:t>
            </w:r>
          </w:p>
          <w:p>
            <w:pPr>
              <w:snapToGrid w:val="0"/>
              <w:jc w:val="left"/>
              <w:rPr>
                <w:rFonts w:ascii="宋体" w:hAnsi="宋体"/>
                <w:bCs/>
                <w:szCs w:val="21"/>
              </w:rPr>
            </w:pPr>
            <w:r>
              <w:rPr>
                <w:rFonts w:ascii="宋体" w:hAnsi="宋体"/>
                <w:bCs/>
                <w:szCs w:val="21"/>
              </w:rPr>
              <w:t>四、服务内容</w:t>
            </w:r>
          </w:p>
          <w:p>
            <w:r>
              <w:rPr>
                <w:rFonts w:hint="eastAsia"/>
              </w:rPr>
              <w:t>1.</w:t>
            </w:r>
            <w:r>
              <w:rPr>
                <w:rFonts w:hint="eastAsia"/>
              </w:rPr>
              <w:tab/>
            </w:r>
            <w:r>
              <w:rPr>
                <w:rFonts w:hint="eastAsia"/>
              </w:rPr>
              <w:t>指定1名客服工程师负责医院的技术服务工作</w:t>
            </w:r>
          </w:p>
          <w:p>
            <w:r>
              <w:rPr>
                <w:rFonts w:hint="eastAsia"/>
              </w:rPr>
              <w:t>2.</w:t>
            </w:r>
            <w:r>
              <w:rPr>
                <w:rFonts w:hint="eastAsia"/>
              </w:rPr>
              <w:tab/>
            </w:r>
            <w:r>
              <w:rPr>
                <w:rFonts w:hint="eastAsia"/>
              </w:rPr>
              <w:t>提供多种问题受理渠道：包括客服热线、微信公众号、客服邮箱、专属客服工程师的联系方式等</w:t>
            </w:r>
          </w:p>
          <w:p>
            <w:r>
              <w:rPr>
                <w:rFonts w:hint="eastAsia"/>
              </w:rPr>
              <w:t>3.</w:t>
            </w:r>
            <w:r>
              <w:rPr>
                <w:rFonts w:hint="eastAsia"/>
              </w:rPr>
              <w:tab/>
            </w:r>
            <w:r>
              <w:rPr>
                <w:rFonts w:hint="eastAsia"/>
              </w:rPr>
              <w:t>提供电话或远程桌面技术支持服务，响应时间为7*24小时，紧急问题4小时内开始处理，并及时反馈解决时间</w:t>
            </w:r>
          </w:p>
          <w:p>
            <w:r>
              <w:rPr>
                <w:rFonts w:hint="eastAsia"/>
              </w:rPr>
              <w:t>4.</w:t>
            </w:r>
            <w:r>
              <w:rPr>
                <w:rFonts w:hint="eastAsia"/>
              </w:rPr>
              <w:tab/>
            </w:r>
            <w:r>
              <w:rPr>
                <w:rFonts w:hint="eastAsia"/>
              </w:rPr>
              <w:t>为保障产品稳定运行，对用户反馈的产品使用相关问题进行及时响应和分析，对远程无法解决的问题，需安排人员到现场进行处理</w:t>
            </w:r>
          </w:p>
          <w:p>
            <w:r>
              <w:rPr>
                <w:rFonts w:hint="eastAsia"/>
              </w:rPr>
              <w:t>5.</w:t>
            </w:r>
            <w:r>
              <w:rPr>
                <w:rFonts w:hint="eastAsia"/>
              </w:rPr>
              <w:tab/>
            </w:r>
            <w:r>
              <w:rPr>
                <w:rFonts w:hint="eastAsia"/>
              </w:rPr>
              <w:t>提供1次/年的现场巡检调优服务，服务内容包括服务器环境检查和调优、产品使用培训及集中答疑等，现场服务完成后向客户提交现场巡检报告</w:t>
            </w:r>
          </w:p>
          <w:p>
            <w:r>
              <w:rPr>
                <w:rFonts w:hint="eastAsia"/>
              </w:rPr>
              <w:t>6.</w:t>
            </w:r>
            <w:r>
              <w:rPr>
                <w:rFonts w:hint="eastAsia"/>
              </w:rPr>
              <w:tab/>
            </w:r>
            <w:r>
              <w:rPr>
                <w:rFonts w:hint="eastAsia"/>
              </w:rPr>
              <w:t>协助提供医院所需要的项目产品相关的文档资料</w:t>
            </w:r>
          </w:p>
          <w:p>
            <w:r>
              <w:rPr>
                <w:rFonts w:hint="eastAsia"/>
              </w:rPr>
              <w:t>7.</w:t>
            </w:r>
            <w:r>
              <w:rPr>
                <w:rFonts w:hint="eastAsia"/>
              </w:rPr>
              <w:tab/>
            </w:r>
            <w:r>
              <w:rPr>
                <w:rFonts w:hint="eastAsia"/>
              </w:rPr>
              <w:t xml:space="preserve">为医院在用的合理用药系统提供2次/年的数据更新服务 </w:t>
            </w:r>
          </w:p>
          <w:p>
            <w:r>
              <w:rPr>
                <w:rFonts w:hint="eastAsia"/>
              </w:rPr>
              <w:t>8.</w:t>
            </w:r>
            <w:r>
              <w:rPr>
                <w:rFonts w:hint="eastAsia"/>
              </w:rPr>
              <w:tab/>
            </w:r>
            <w:r>
              <w:rPr>
                <w:rFonts w:hint="eastAsia"/>
              </w:rPr>
              <w:t>提供电话回访服务，了解产品使用、维保问题解决情况等方面的用户体验，不低于4次/年</w:t>
            </w:r>
          </w:p>
          <w:p>
            <w:r>
              <w:rPr>
                <w:rFonts w:hint="eastAsia"/>
              </w:rPr>
              <w:t>9.</w:t>
            </w:r>
            <w:r>
              <w:rPr>
                <w:rFonts w:hint="eastAsia"/>
              </w:rPr>
              <w:tab/>
            </w:r>
            <w:r>
              <w:rPr>
                <w:rFonts w:hint="eastAsia"/>
              </w:rPr>
              <w:t>提供年度服务报告；</w:t>
            </w:r>
          </w:p>
          <w:p>
            <w:r>
              <w:rPr>
                <w:rFonts w:hint="eastAsia"/>
              </w:rPr>
              <w:t>10.</w:t>
            </w:r>
            <w:r>
              <w:rPr>
                <w:rFonts w:hint="eastAsia"/>
              </w:rPr>
              <w:tab/>
            </w:r>
            <w:r>
              <w:rPr>
                <w:rFonts w:hint="eastAsia"/>
              </w:rPr>
              <w:t>提供患者用药指导系统的软件使用许可1年及两次/年数据更新服务。</w:t>
            </w:r>
          </w:p>
          <w:p>
            <w:r>
              <w:rPr>
                <w:rFonts w:hint="eastAsia"/>
              </w:rPr>
              <w:t>11.</w:t>
            </w:r>
            <w:r>
              <w:rPr>
                <w:rFonts w:hint="eastAsia"/>
              </w:rPr>
              <w:tab/>
            </w:r>
            <w:r>
              <w:rPr>
                <w:rFonts w:hint="eastAsia"/>
              </w:rPr>
              <w:t>提供合理用药信息支持系统网络版的软件使用许可1年及10次/年数据更新服务。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commentRangeStart w:id="1"/>
            <w:r>
              <w:rPr>
                <w:rFonts w:hint="eastAsia" w:ascii="宋体" w:hAnsi="宋体"/>
                <w:kern w:val="0"/>
                <w:szCs w:val="21"/>
              </w:rPr>
              <w:t>技术参数</w:t>
            </w:r>
            <w:commentRangeEnd w:id="1"/>
            <w:r>
              <w:rPr>
                <w:rStyle w:val="21"/>
              </w:rPr>
              <w:commentReference w:id="1"/>
            </w:r>
          </w:p>
        </w:tc>
        <w:tc>
          <w:tcPr>
            <w:tcW w:w="0" w:type="auto"/>
            <w:tcBorders>
              <w:top w:val="single" w:color="auto" w:sz="4" w:space="0"/>
              <w:left w:val="single" w:color="auto" w:sz="4" w:space="0"/>
              <w:bottom w:val="single" w:color="auto" w:sz="4" w:space="0"/>
              <w:right w:val="single" w:color="auto" w:sz="4" w:space="0"/>
            </w:tcBorders>
            <w:vAlign w:val="center"/>
          </w:tcPr>
          <w:p>
            <w:r>
              <w:rPr>
                <w:rFonts w:hint="eastAsia"/>
              </w:rPr>
              <w:t>详见下文“技术参数要求”</w:t>
            </w:r>
          </w:p>
        </w:tc>
      </w:tr>
    </w:tbl>
    <w:p>
      <w:pPr>
        <w:spacing w:line="360" w:lineRule="auto"/>
        <w:rPr>
          <w:rFonts w:ascii="宋体" w:hAnsi="宋体" w:cstheme="minorBidi"/>
          <w:b/>
          <w:szCs w:val="21"/>
        </w:rPr>
      </w:pPr>
      <w:r>
        <w:rPr>
          <w:rFonts w:ascii="宋体" w:hAnsi="宋体" w:cstheme="minorBidi"/>
          <w:b/>
          <w:szCs w:val="21"/>
        </w:rPr>
        <w:t>技术参数要求：</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rPr>
                <w:rFonts w:ascii="宋体" w:hAnsi="宋体" w:eastAsiaTheme="minorEastAsia" w:cstheme="minorBidi"/>
                <w:szCs w:val="21"/>
              </w:rPr>
            </w:pPr>
            <w:r>
              <w:rPr>
                <w:rFonts w:ascii="宋体" w:hAnsi="宋体" w:eastAsiaTheme="minorEastAsia" w:cstheme="minorBidi"/>
                <w:szCs w:val="21"/>
              </w:rPr>
              <w:t>序号</w:t>
            </w:r>
          </w:p>
        </w:tc>
        <w:tc>
          <w:tcPr>
            <w:tcW w:w="1276" w:type="dxa"/>
            <w:vAlign w:val="center"/>
          </w:tcPr>
          <w:p>
            <w:pPr>
              <w:spacing w:line="360" w:lineRule="auto"/>
              <w:rPr>
                <w:rFonts w:ascii="宋体" w:hAnsi="宋体" w:eastAsiaTheme="minorEastAsia" w:cstheme="minorBidi"/>
                <w:szCs w:val="21"/>
              </w:rPr>
            </w:pPr>
            <w:r>
              <w:rPr>
                <w:rFonts w:ascii="宋体" w:hAnsi="宋体" w:eastAsiaTheme="minorEastAsia" w:cstheme="minorBidi"/>
                <w:szCs w:val="21"/>
              </w:rPr>
              <w:t>子项</w:t>
            </w:r>
          </w:p>
        </w:tc>
        <w:tc>
          <w:tcPr>
            <w:tcW w:w="6662" w:type="dxa"/>
            <w:vAlign w:val="center"/>
          </w:tcPr>
          <w:p>
            <w:pPr>
              <w:spacing w:line="360" w:lineRule="auto"/>
              <w:rPr>
                <w:rFonts w:ascii="宋体" w:hAnsi="宋体" w:eastAsiaTheme="minorEastAsia" w:cstheme="minorBidi"/>
                <w:szCs w:val="21"/>
              </w:rPr>
            </w:pPr>
            <w:r>
              <w:rPr>
                <w:rFonts w:ascii="宋体" w:hAnsi="宋体" w:eastAsiaTheme="minorEastAsia" w:cstheme="minorBidi"/>
                <w:szCs w:val="21"/>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vAlign w:val="center"/>
          </w:tcPr>
          <w:p>
            <w:pPr>
              <w:spacing w:line="360" w:lineRule="auto"/>
              <w:rPr>
                <w:rFonts w:ascii="宋体" w:hAnsi="宋体" w:cs="Arial" w:eastAsiaTheme="minorEastAsia"/>
                <w:b/>
                <w:bCs/>
                <w:szCs w:val="21"/>
              </w:rPr>
            </w:pPr>
            <w:r>
              <w:rPr>
                <w:rFonts w:hint="eastAsia" w:ascii="宋体" w:hAnsi="宋体" w:cs="Arial" w:eastAsiaTheme="minorEastAsia"/>
                <w:b/>
                <w:bCs/>
                <w:szCs w:val="21"/>
              </w:rPr>
              <w:t>系统审方功能要求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line="360" w:lineRule="auto"/>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hint="eastAsia" w:ascii="宋体" w:hAnsi="宋体" w:eastAsiaTheme="minorEastAsia" w:cstheme="minorBidi"/>
                <w:szCs w:val="21"/>
              </w:rPr>
              <w:t>处方（医嘱）用药审查功能</w:t>
            </w:r>
          </w:p>
        </w:tc>
        <w:tc>
          <w:tcPr>
            <w:tcW w:w="6662" w:type="dxa"/>
            <w:vAlign w:val="center"/>
          </w:tcPr>
          <w:p>
            <w:pPr>
              <w:widowControl/>
              <w:spacing w:line="360" w:lineRule="auto"/>
              <w:jc w:val="left"/>
              <w:rPr>
                <w:rFonts w:cs="Arial" w:asciiTheme="minorEastAsia" w:hAnsiTheme="minorEastAsia" w:eastAsiaTheme="minorEastAsia"/>
                <w:szCs w:val="21"/>
              </w:rPr>
            </w:pPr>
            <w:r>
              <w:rPr>
                <w:rFonts w:hint="eastAsia" w:cs="Arial" w:asciiTheme="minorEastAsia" w:hAnsiTheme="minorEastAsia" w:eastAsiaTheme="minorEastAsia"/>
                <w:szCs w:val="21"/>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pPr>
              <w:widowControl/>
              <w:numPr>
                <w:ilvl w:val="1"/>
                <w:numId w:val="5"/>
              </w:numPr>
              <w:spacing w:line="360" w:lineRule="auto"/>
              <w:jc w:val="left"/>
              <w:rPr>
                <w:rFonts w:cs="Arial" w:asciiTheme="minorEastAsia" w:hAnsiTheme="minorEastAsia" w:eastAsiaTheme="minorEastAsia"/>
                <w:szCs w:val="21"/>
              </w:rPr>
            </w:pPr>
            <w:r>
              <w:rPr>
                <w:rFonts w:hint="eastAsia" w:cs="Arial" w:asciiTheme="minorEastAsia" w:hAnsiTheme="minorEastAsia" w:eastAsiaTheme="minorEastAsia"/>
                <w:szCs w:val="21"/>
              </w:rPr>
              <w:t>住院医嘱支持用药天数预警。</w:t>
            </w:r>
          </w:p>
          <w:p>
            <w:pPr>
              <w:numPr>
                <w:ilvl w:val="1"/>
                <w:numId w:val="5"/>
              </w:num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▲可为医生提供TPN处方的营养均衡性、肠外营养浓度、溶液中渗透压浓度计算功能。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line="360" w:lineRule="auto"/>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hint="eastAsia" w:ascii="宋体" w:hAnsi="宋体" w:cs="Arial" w:eastAsiaTheme="minorEastAsia"/>
                <w:szCs w:val="21"/>
              </w:rPr>
              <w:t>药品信息提示功能</w:t>
            </w:r>
          </w:p>
        </w:tc>
        <w:tc>
          <w:tcPr>
            <w:tcW w:w="6662" w:type="dxa"/>
            <w:vAlign w:val="center"/>
          </w:tcPr>
          <w:p>
            <w:pPr>
              <w:spacing w:line="360" w:lineRule="auto"/>
              <w:jc w:val="left"/>
              <w:outlineLvl w:val="3"/>
              <w:rPr>
                <w:rFonts w:ascii="宋体" w:hAnsi="宋体" w:cs="Arial" w:eastAsiaTheme="minorEastAsia"/>
                <w:szCs w:val="21"/>
              </w:rPr>
            </w:pPr>
            <w:r>
              <w:rPr>
                <w:rFonts w:hint="eastAsia" w:ascii="宋体" w:hAnsi="宋体" w:cs="Arial" w:eastAsiaTheme="minorEastAsia"/>
                <w:szCs w:val="21"/>
              </w:rPr>
              <w:t>可快捷查看药品相关重要信息；药品厂家说明书，▲并可查看药监局发布的说明书修订勘误，修改和新增药品说明书内容；查询相应药品的中药材专论信息。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line="360" w:lineRule="auto"/>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hint="eastAsia" w:ascii="宋体" w:hAnsi="宋体" w:cs="Arial" w:eastAsiaTheme="minorEastAsia"/>
                <w:szCs w:val="21"/>
              </w:rPr>
              <w:t>质子泵抑制剂专项管控</w:t>
            </w:r>
          </w:p>
        </w:tc>
        <w:tc>
          <w:tcPr>
            <w:tcW w:w="6662" w:type="dxa"/>
            <w:vAlign w:val="center"/>
          </w:tcPr>
          <w:p>
            <w:pPr>
              <w:keepNext/>
              <w:keepLines/>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系统可针对质子泵抑制剂提供药品专项管控，具体要求如下：</w:t>
            </w:r>
          </w:p>
          <w:p>
            <w:pPr>
              <w:keepNext/>
              <w:keepLines/>
              <w:numPr>
                <w:ilvl w:val="0"/>
                <w:numId w:val="6"/>
              </w:numPr>
              <w:spacing w:line="360" w:lineRule="auto"/>
              <w:jc w:val="left"/>
              <w:outlineLvl w:val="3"/>
              <w:rPr>
                <w:rFonts w:ascii="宋体" w:hAnsi="宋体" w:cs="Arial" w:eastAsiaTheme="minorEastAsia"/>
                <w:bCs/>
                <w:szCs w:val="21"/>
              </w:rPr>
            </w:pPr>
            <w:r>
              <w:rPr>
                <w:rFonts w:hint="eastAsia" w:ascii="宋体" w:hAnsi="宋体" w:cs="Arial" w:eastAsiaTheme="minorEastAsia"/>
                <w:szCs w:val="21"/>
              </w:rPr>
              <w:t>▲</w:t>
            </w:r>
            <w:r>
              <w:rPr>
                <w:rFonts w:hint="eastAsia" w:ascii="宋体" w:hAnsi="宋体" w:cs="Arial" w:eastAsiaTheme="minorEastAsia"/>
                <w:bCs/>
                <w:szCs w:val="21"/>
              </w:rPr>
              <w:t>医生开具质子泵抑制剂药品时，需填写用药评估单。提供评估单专项统计分析。</w:t>
            </w:r>
          </w:p>
          <w:p>
            <w:pPr>
              <w:keepNext/>
              <w:keepLines/>
              <w:numPr>
                <w:ilvl w:val="0"/>
                <w:numId w:val="6"/>
              </w:numPr>
              <w:spacing w:line="360" w:lineRule="auto"/>
              <w:jc w:val="left"/>
              <w:outlineLvl w:val="3"/>
              <w:rPr>
                <w:rFonts w:ascii="宋体" w:hAnsi="宋体" w:cs="Arial" w:eastAsiaTheme="minorEastAsia"/>
                <w:bCs/>
                <w:szCs w:val="21"/>
              </w:rPr>
            </w:pPr>
            <w:r>
              <w:rPr>
                <w:rFonts w:hint="eastAsia" w:ascii="宋体" w:hAnsi="宋体" w:cs="Arial" w:eastAsiaTheme="minorEastAsia"/>
                <w:szCs w:val="21"/>
              </w:rPr>
              <w:t>▲</w:t>
            </w:r>
            <w:r>
              <w:rPr>
                <w:rFonts w:hint="eastAsia" w:ascii="宋体" w:hAnsi="宋体" w:cs="Arial" w:eastAsiaTheme="minorEastAsia"/>
                <w:bCs/>
                <w:szCs w:val="21"/>
              </w:rPr>
              <w:t>“系统”可评估患者病生状态，若存在应激性溃疡风险，提供质子泵抑制剂用药建议。</w:t>
            </w:r>
          </w:p>
          <w:p>
            <w:pPr>
              <w:keepNext/>
              <w:keepLines/>
              <w:numPr>
                <w:ilvl w:val="0"/>
                <w:numId w:val="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围术期不合理使用质子泵抑制剂时，“系统”可警示医生。</w:t>
            </w:r>
          </w:p>
          <w:p>
            <w:pPr>
              <w:numPr>
                <w:ilvl w:val="0"/>
                <w:numId w:val="6"/>
              </w:numPr>
              <w:spacing w:line="360" w:lineRule="auto"/>
              <w:rPr>
                <w:rFonts w:ascii="宋体" w:hAnsi="宋体" w:cs="Arial" w:eastAsiaTheme="minorEastAsia"/>
                <w:bCs/>
                <w:szCs w:val="21"/>
              </w:rPr>
            </w:pPr>
            <w:r>
              <w:rPr>
                <w:rFonts w:hint="eastAsia" w:ascii="宋体" w:hAnsi="宋体" w:cs="Arial" w:eastAsiaTheme="minorEastAsia"/>
                <w:szCs w:val="21"/>
              </w:rPr>
              <w:t>提供质子泵抑制剂医保相关项目审查，如限定适应症、限二线用药等。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line="360" w:lineRule="auto"/>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hint="eastAsia" w:ascii="宋体" w:hAnsi="宋体" w:eastAsiaTheme="minorEastAsia" w:cstheme="minorBidi"/>
                <w:szCs w:val="21"/>
              </w:rPr>
              <w:t>用药指导单</w:t>
            </w:r>
          </w:p>
        </w:tc>
        <w:tc>
          <w:tcPr>
            <w:tcW w:w="6662" w:type="dxa"/>
            <w:vAlign w:val="center"/>
          </w:tcPr>
          <w:p>
            <w:pPr>
              <w:keepNext/>
              <w:keepLines/>
              <w:spacing w:line="360" w:lineRule="auto"/>
              <w:jc w:val="left"/>
              <w:outlineLvl w:val="3"/>
              <w:rPr>
                <w:rFonts w:ascii="宋体" w:hAnsi="宋体" w:eastAsiaTheme="minorEastAsia" w:cstheme="majorBidi"/>
                <w:b/>
                <w:bCs/>
                <w:sz w:val="24"/>
                <w:szCs w:val="21"/>
              </w:rPr>
            </w:pPr>
            <w:r>
              <w:rPr>
                <w:rFonts w:hint="eastAsia" w:ascii="宋体" w:hAnsi="宋体" w:cs="Arial" w:eastAsiaTheme="minorEastAsia"/>
                <w:bCs/>
                <w:szCs w:val="21"/>
              </w:rPr>
              <w:t>可生成并打印用药指导单，并可自定义维护用药指导单的内容。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line="360" w:lineRule="auto"/>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hint="eastAsia" w:ascii="宋体" w:hAnsi="宋体" w:eastAsiaTheme="minorEastAsia" w:cstheme="minorBidi"/>
                <w:szCs w:val="21"/>
              </w:rPr>
              <w:t>审查提示屏蔽功能</w:t>
            </w:r>
          </w:p>
        </w:tc>
        <w:tc>
          <w:tcPr>
            <w:tcW w:w="6662" w:type="dxa"/>
            <w:vAlign w:val="center"/>
          </w:tcPr>
          <w:p>
            <w:pPr>
              <w:spacing w:line="360" w:lineRule="auto"/>
              <w:rPr>
                <w:rFonts w:ascii="宋体" w:hAnsi="宋体" w:cs="Arial" w:eastAsiaTheme="minorEastAsia"/>
                <w:bCs/>
                <w:szCs w:val="21"/>
              </w:rPr>
            </w:pPr>
            <w:r>
              <w:rPr>
                <w:rFonts w:hint="eastAsia" w:ascii="宋体" w:hAnsi="宋体" w:cs="Arial" w:eastAsiaTheme="minorEastAsia"/>
                <w:bCs/>
                <w:szCs w:val="21"/>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line="360" w:lineRule="auto"/>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hint="eastAsia" w:ascii="宋体" w:hAnsi="宋体" w:eastAsiaTheme="minorEastAsia" w:cstheme="minorBidi"/>
                <w:szCs w:val="21"/>
              </w:rPr>
              <w:t>审查规则自定义功能（医院专家知识库）</w:t>
            </w:r>
          </w:p>
        </w:tc>
        <w:tc>
          <w:tcPr>
            <w:tcW w:w="6662" w:type="dxa"/>
            <w:vAlign w:val="center"/>
          </w:tcPr>
          <w:p>
            <w:pPr>
              <w:numPr>
                <w:ilvl w:val="0"/>
                <w:numId w:val="7"/>
              </w:numPr>
              <w:spacing w:line="360" w:lineRule="auto"/>
              <w:rPr>
                <w:rFonts w:ascii="宋体" w:hAnsi="宋体" w:cs="Arial" w:eastAsiaTheme="minorEastAsia"/>
                <w:bCs/>
                <w:szCs w:val="21"/>
              </w:rPr>
            </w:pPr>
            <w:r>
              <w:rPr>
                <w:rFonts w:hint="eastAsia" w:ascii="宋体" w:hAnsi="宋体" w:cs="Arial" w:eastAsiaTheme="minorEastAsia"/>
                <w:bCs/>
                <w:szCs w:val="21"/>
              </w:rPr>
              <w:t>▲系统可以提供多种自定义方式：</w:t>
            </w:r>
          </w:p>
          <w:p>
            <w:pPr>
              <w:spacing w:line="360" w:lineRule="auto"/>
              <w:ind w:firstLine="420" w:firstLineChars="200"/>
              <w:rPr>
                <w:rFonts w:ascii="宋体" w:hAnsi="宋体" w:cs="Arial" w:eastAsiaTheme="minorEastAsia"/>
                <w:bCs/>
                <w:szCs w:val="21"/>
              </w:rPr>
            </w:pPr>
            <w:r>
              <w:rPr>
                <w:rFonts w:hint="eastAsia" w:ascii="宋体" w:hAnsi="宋体" w:cs="Arial" w:eastAsiaTheme="minorEastAsia"/>
                <w:bCs/>
                <w:szCs w:val="21"/>
              </w:rPr>
              <w:t>（1）基于系统审查数据自定义方式，节省药师工作量；</w:t>
            </w:r>
          </w:p>
          <w:p>
            <w:pPr>
              <w:spacing w:line="360" w:lineRule="auto"/>
              <w:ind w:firstLine="420" w:firstLineChars="200"/>
              <w:rPr>
                <w:rFonts w:ascii="宋体" w:hAnsi="宋体" w:cs="Arial" w:eastAsiaTheme="minorEastAsia"/>
                <w:bCs/>
                <w:szCs w:val="21"/>
              </w:rPr>
            </w:pPr>
            <w:r>
              <w:rPr>
                <w:rFonts w:hint="eastAsia" w:ascii="宋体" w:hAnsi="宋体" w:cs="Arial" w:eastAsiaTheme="minorEastAsia"/>
                <w:bCs/>
                <w:szCs w:val="21"/>
              </w:rPr>
              <w:t>（2）可完全由用户新建审查规则包括审查要素和审查逻辑。</w:t>
            </w:r>
          </w:p>
          <w:p>
            <w:pPr>
              <w:spacing w:line="360" w:lineRule="auto"/>
              <w:ind w:firstLine="420" w:firstLineChars="200"/>
              <w:rPr>
                <w:rFonts w:ascii="宋体" w:hAnsi="宋体" w:cs="Arial" w:eastAsiaTheme="minorEastAsia"/>
                <w:bCs/>
                <w:szCs w:val="21"/>
              </w:rPr>
            </w:pPr>
            <w:r>
              <w:rPr>
                <w:rFonts w:hint="eastAsia" w:ascii="宋体" w:hAnsi="宋体" w:cs="Arial" w:eastAsiaTheme="minorEastAsia"/>
                <w:bCs/>
                <w:szCs w:val="21"/>
              </w:rPr>
              <w:t>用户可自定义药品警示、拦截规则，被拦截的问题处方必须返回修改，否则不可进行下一步操作。</w:t>
            </w:r>
          </w:p>
          <w:p>
            <w:pPr>
              <w:numPr>
                <w:ilvl w:val="0"/>
                <w:numId w:val="7"/>
              </w:numPr>
              <w:spacing w:line="360" w:lineRule="auto"/>
              <w:rPr>
                <w:rFonts w:ascii="宋体" w:hAnsi="宋体" w:cs="Arial" w:eastAsiaTheme="minorEastAsia"/>
                <w:bCs/>
                <w:szCs w:val="21"/>
              </w:rPr>
            </w:pPr>
            <w:r>
              <w:rPr>
                <w:rFonts w:hint="eastAsia" w:ascii="宋体" w:hAnsi="宋体" w:cs="Arial" w:eastAsiaTheme="minorEastAsia"/>
                <w:bCs/>
                <w:szCs w:val="21"/>
              </w:rPr>
              <w:t>其中部分审查项目可支持以下功能：</w:t>
            </w:r>
          </w:p>
          <w:p>
            <w:pPr>
              <w:numPr>
                <w:ilvl w:val="0"/>
                <w:numId w:val="8"/>
              </w:numPr>
              <w:spacing w:line="360" w:lineRule="auto"/>
              <w:ind w:firstLine="420"/>
              <w:rPr>
                <w:rFonts w:ascii="宋体" w:hAnsi="宋体" w:cs="Arial" w:eastAsiaTheme="minorEastAsia"/>
                <w:bCs/>
                <w:szCs w:val="21"/>
              </w:rPr>
            </w:pPr>
            <w:r>
              <w:rPr>
                <w:rFonts w:hint="eastAsia" w:ascii="宋体" w:hAnsi="宋体" w:cs="Arial" w:eastAsiaTheme="minorEastAsia"/>
                <w:bCs/>
                <w:szCs w:val="21"/>
              </w:rPr>
              <w:t>剂量：可显示某个药品在本院近一个月医嘱用量统计，查看不同科室的剂量使用情况。用户只需维护药品一种给药单位的剂量审查规则，系统可自动将规则匹配到该药品其余给药单位。</w:t>
            </w:r>
          </w:p>
          <w:p>
            <w:pPr>
              <w:numPr>
                <w:ilvl w:val="0"/>
                <w:numId w:val="8"/>
              </w:numPr>
              <w:spacing w:line="360" w:lineRule="auto"/>
              <w:ind w:firstLine="420"/>
              <w:rPr>
                <w:rFonts w:ascii="宋体" w:hAnsi="宋体" w:cs="Arial" w:eastAsiaTheme="minorEastAsia"/>
                <w:bCs/>
                <w:szCs w:val="21"/>
              </w:rPr>
            </w:pPr>
            <w:r>
              <w:rPr>
                <w:rFonts w:hint="eastAsia" w:ascii="宋体" w:hAnsi="宋体" w:cs="Arial" w:eastAsiaTheme="minorEastAsia"/>
                <w:bCs/>
                <w:szCs w:val="21"/>
              </w:rPr>
              <w:t>超多日用量可对门、急诊处方药品、麻醉药品和精一药品超多日用量天数进行设置，可针对慢病（区分医保、自费）、非慢病处方、特殊患者分别设置用药天数，并可根据超出天数设置不同的警示级别。支持用户维护参与联合审查的历史处方时间范围。针对特定药品可设置是否拆零参与审查。</w:t>
            </w:r>
          </w:p>
          <w:p>
            <w:pPr>
              <w:numPr>
                <w:ilvl w:val="0"/>
                <w:numId w:val="8"/>
              </w:numPr>
              <w:spacing w:line="360" w:lineRule="auto"/>
              <w:ind w:firstLine="420"/>
              <w:rPr>
                <w:rFonts w:ascii="宋体" w:hAnsi="宋体" w:cs="Arial" w:eastAsiaTheme="minorEastAsia"/>
                <w:bCs/>
                <w:szCs w:val="21"/>
              </w:rPr>
            </w:pPr>
            <w:r>
              <w:rPr>
                <w:rFonts w:hint="eastAsia" w:ascii="宋体" w:hAnsi="宋体" w:cs="Arial" w:eastAsiaTheme="minorEastAsia"/>
                <w:bCs/>
                <w:szCs w:val="21"/>
              </w:rPr>
              <w:t>中药饮片剂量：支持以系统数据高值和低值的整数倍分别自定义设置中药饮片剂量标准，支持针对医生、科室设置中药饮片剂量规则。</w:t>
            </w:r>
          </w:p>
          <w:p>
            <w:pPr>
              <w:numPr>
                <w:ilvl w:val="0"/>
                <w:numId w:val="8"/>
              </w:numPr>
              <w:spacing w:line="360" w:lineRule="auto"/>
              <w:ind w:firstLine="420"/>
              <w:rPr>
                <w:rFonts w:ascii="宋体" w:hAnsi="宋体" w:cs="Arial" w:eastAsiaTheme="minorEastAsia"/>
                <w:bCs/>
                <w:szCs w:val="21"/>
              </w:rPr>
            </w:pPr>
            <w:r>
              <w:rPr>
                <w:rFonts w:hint="eastAsia" w:ascii="宋体" w:hAnsi="宋体" w:cs="Arial" w:eastAsiaTheme="minorEastAsia"/>
                <w:bCs/>
                <w:szCs w:val="21"/>
              </w:rPr>
              <w:t>体外注射剂配伍：可设置小剂量胰岛素不参与体外配伍审查，具体剂量标准可由用户自行设置。</w:t>
            </w:r>
          </w:p>
          <w:p>
            <w:pPr>
              <w:numPr>
                <w:ilvl w:val="0"/>
                <w:numId w:val="8"/>
              </w:numPr>
              <w:spacing w:line="360" w:lineRule="auto"/>
              <w:ind w:firstLine="420"/>
              <w:rPr>
                <w:rFonts w:ascii="宋体" w:hAnsi="宋体" w:cs="Arial" w:eastAsiaTheme="minorEastAsia"/>
                <w:bCs/>
                <w:szCs w:val="21"/>
              </w:rPr>
            </w:pPr>
            <w:r>
              <w:rPr>
                <w:rFonts w:hint="eastAsia" w:ascii="宋体" w:hAnsi="宋体" w:cs="Arial" w:eastAsiaTheme="minorEastAsia"/>
                <w:bCs/>
                <w:szCs w:val="21"/>
              </w:rPr>
              <w:t>▲药品专项管控：可设置应激性溃疡风险的预警规则；支持设置可预防使用质子泵抑制剂的手术、质子泵抑制剂药品及术后质子泵抑制剂用药疗程。</w:t>
            </w:r>
          </w:p>
          <w:p>
            <w:pPr>
              <w:numPr>
                <w:ilvl w:val="0"/>
                <w:numId w:val="7"/>
              </w:numPr>
              <w:spacing w:line="360" w:lineRule="auto"/>
              <w:rPr>
                <w:rFonts w:ascii="宋体" w:hAnsi="宋体" w:cs="Arial" w:eastAsiaTheme="minorEastAsia"/>
                <w:bCs/>
                <w:szCs w:val="21"/>
              </w:rPr>
            </w:pPr>
            <w:r>
              <w:rPr>
                <w:rFonts w:hint="eastAsia" w:ascii="宋体" w:hAnsi="宋体" w:cs="Arial" w:eastAsiaTheme="minorEastAsia"/>
                <w:bCs/>
                <w:szCs w:val="21"/>
              </w:rPr>
              <w:t>规则复制功能：系统支持将其它药品已有的自定义规则分模块复制到被选择的药品上。</w:t>
            </w:r>
          </w:p>
          <w:p>
            <w:pPr>
              <w:numPr>
                <w:ilvl w:val="0"/>
                <w:numId w:val="7"/>
              </w:numPr>
              <w:spacing w:line="360" w:lineRule="auto"/>
              <w:rPr>
                <w:rFonts w:ascii="宋体" w:hAnsi="宋体" w:cs="Arial" w:eastAsiaTheme="minorEastAsia"/>
                <w:bCs/>
                <w:szCs w:val="21"/>
              </w:rPr>
            </w:pPr>
            <w:r>
              <w:rPr>
                <w:rFonts w:hint="eastAsia" w:ascii="宋体" w:hAnsi="宋体" w:cs="Arial" w:eastAsiaTheme="minorEastAsia"/>
                <w:bCs/>
                <w:szCs w:val="21"/>
              </w:rPr>
              <w:t>▲豁免对象：可根据药品、医生、科室等条件设置特定对象不参与某些模块审查，并可按照模块查看对各种豁免情况的统计。</w:t>
            </w:r>
          </w:p>
          <w:p>
            <w:pPr>
              <w:numPr>
                <w:ilvl w:val="0"/>
                <w:numId w:val="7"/>
              </w:numPr>
              <w:spacing w:line="360" w:lineRule="auto"/>
              <w:rPr>
                <w:rFonts w:ascii="宋体" w:hAnsi="宋体" w:cs="Arial" w:eastAsiaTheme="minorEastAsia"/>
                <w:bCs/>
                <w:szCs w:val="21"/>
              </w:rPr>
            </w:pPr>
            <w:r>
              <w:rPr>
                <w:rFonts w:hint="eastAsia" w:ascii="宋体" w:hAnsi="宋体" w:cs="Arial" w:eastAsiaTheme="minorEastAsia"/>
                <w:bCs/>
                <w:szCs w:val="21"/>
              </w:rPr>
              <w:t xml:space="preserve">自定义规则查询：可查询药品、科室以及各模块的自定义规则。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line="360" w:lineRule="auto"/>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hint="eastAsia" w:ascii="宋体" w:hAnsi="宋体" w:eastAsiaTheme="minorEastAsia" w:cstheme="minorBidi"/>
                <w:szCs w:val="21"/>
              </w:rPr>
              <w:t>统计分析功能</w:t>
            </w:r>
          </w:p>
        </w:tc>
        <w:tc>
          <w:tcPr>
            <w:tcW w:w="6662" w:type="dxa"/>
            <w:vAlign w:val="center"/>
          </w:tcPr>
          <w:p>
            <w:pPr>
              <w:numPr>
                <w:ilvl w:val="0"/>
                <w:numId w:val="9"/>
              </w:numPr>
              <w:spacing w:line="360" w:lineRule="auto"/>
              <w:rPr>
                <w:rFonts w:ascii="宋体" w:hAnsi="宋体" w:cs="Arial" w:eastAsiaTheme="minorEastAsia"/>
                <w:bCs/>
                <w:szCs w:val="21"/>
              </w:rPr>
            </w:pPr>
            <w:r>
              <w:rPr>
                <w:rFonts w:hint="eastAsia" w:ascii="宋体" w:hAnsi="宋体" w:cs="Arial" w:eastAsiaTheme="minorEastAsia"/>
                <w:bCs/>
                <w:szCs w:val="21"/>
              </w:rPr>
              <w:t>问题处方（医嘱）保存、查询，以及不合理问题统计分析。</w:t>
            </w:r>
          </w:p>
          <w:p>
            <w:pPr>
              <w:numPr>
                <w:ilvl w:val="0"/>
                <w:numId w:val="9"/>
              </w:numPr>
              <w:spacing w:line="360" w:lineRule="auto"/>
              <w:rPr>
                <w:rFonts w:ascii="宋体" w:hAnsi="宋体" w:cs="Arial" w:eastAsiaTheme="minorEastAsia"/>
                <w:bCs/>
                <w:szCs w:val="21"/>
              </w:rPr>
            </w:pPr>
            <w:r>
              <w:rPr>
                <w:rFonts w:hint="eastAsia" w:ascii="宋体" w:hAnsi="宋体" w:cs="Arial" w:eastAsiaTheme="minorEastAsia"/>
                <w:bCs/>
                <w:szCs w:val="21"/>
              </w:rPr>
              <w:t>提供不合理问题评估功能，便于药师在做回顾性分析时对已评估的问题做记录。</w:t>
            </w:r>
          </w:p>
          <w:p>
            <w:pPr>
              <w:numPr>
                <w:ilvl w:val="0"/>
                <w:numId w:val="9"/>
              </w:numPr>
              <w:spacing w:line="360" w:lineRule="auto"/>
              <w:rPr>
                <w:rFonts w:ascii="宋体" w:hAnsi="宋体" w:cs="Arial" w:eastAsiaTheme="minorEastAsia"/>
                <w:bCs/>
                <w:szCs w:val="21"/>
              </w:rPr>
            </w:pPr>
            <w:r>
              <w:rPr>
                <w:rFonts w:hint="eastAsia" w:ascii="宋体" w:hAnsi="宋体" w:cs="Arial" w:eastAsiaTheme="minorEastAsia"/>
                <w:bCs/>
                <w:szCs w:val="21"/>
              </w:rPr>
              <w:t>用药理由统计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4"/>
              </w:numPr>
              <w:spacing w:line="360" w:lineRule="auto"/>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hint="eastAsia" w:ascii="宋体" w:hAnsi="宋体" w:eastAsiaTheme="minorEastAsia" w:cstheme="minorBidi"/>
                <w:szCs w:val="21"/>
              </w:rPr>
              <w:t>通讯功能</w:t>
            </w:r>
          </w:p>
        </w:tc>
        <w:tc>
          <w:tcPr>
            <w:tcW w:w="6662" w:type="dxa"/>
            <w:vAlign w:val="center"/>
          </w:tcPr>
          <w:p>
            <w:pPr>
              <w:keepNext/>
              <w:keepLines/>
              <w:spacing w:line="360" w:lineRule="auto"/>
              <w:jc w:val="left"/>
              <w:outlineLvl w:val="4"/>
              <w:rPr>
                <w:rFonts w:ascii="宋体" w:hAnsi="宋体" w:cs="Arial" w:eastAsiaTheme="minorEastAsia"/>
                <w:bCs/>
                <w:szCs w:val="21"/>
              </w:rPr>
            </w:pPr>
            <w:r>
              <w:rPr>
                <w:rFonts w:hint="eastAsia" w:ascii="宋体" w:hAnsi="宋体" w:cs="Arial" w:eastAsiaTheme="minorEastAsia"/>
                <w:bCs/>
                <w:szCs w:val="21"/>
              </w:rPr>
              <w:t>系统应提供药师和医生的在线沟通平台，提供截图、发送图片、文件传输、消息撤回、消息已读提示功能。</w:t>
            </w:r>
          </w:p>
        </w:tc>
      </w:tr>
    </w:tbl>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vAlign w:val="center"/>
          </w:tcPr>
          <w:p>
            <w:pPr>
              <w:spacing w:line="360" w:lineRule="auto"/>
              <w:rPr>
                <w:rFonts w:ascii="宋体" w:hAnsi="宋体" w:cs="Arial" w:eastAsiaTheme="minorEastAsia"/>
                <w:b/>
                <w:bCs/>
                <w:szCs w:val="21"/>
              </w:rPr>
            </w:pPr>
            <w:r>
              <w:rPr>
                <w:rFonts w:hint="eastAsia" w:ascii="宋体" w:hAnsi="宋体" w:cs="Arial" w:eastAsiaTheme="minorEastAsia"/>
                <w:b/>
                <w:bCs/>
                <w:szCs w:val="21"/>
              </w:rPr>
              <w:t>药师审方干预功能要求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numPr>
                <w:ilvl w:val="0"/>
                <w:numId w:val="10"/>
              </w:numPr>
              <w:spacing w:line="360" w:lineRule="auto"/>
              <w:rPr>
                <w:rFonts w:ascii="宋体" w:hAnsi="宋体" w:eastAsiaTheme="minorEastAsia" w:cstheme="minorBidi"/>
                <w:szCs w:val="21"/>
              </w:rPr>
            </w:pPr>
            <w:bookmarkStart w:id="1" w:name="_Hlk109920880"/>
          </w:p>
        </w:tc>
        <w:tc>
          <w:tcPr>
            <w:tcW w:w="1560" w:type="dxa"/>
            <w:vAlign w:val="center"/>
          </w:tcPr>
          <w:p>
            <w:pPr>
              <w:spacing w:line="360" w:lineRule="auto"/>
              <w:rPr>
                <w:rFonts w:ascii="宋体" w:hAnsi="宋体" w:eastAsiaTheme="minorEastAsia" w:cstheme="minorBidi"/>
                <w:szCs w:val="21"/>
              </w:rPr>
            </w:pPr>
            <w:r>
              <w:rPr>
                <w:rFonts w:hint="eastAsia" w:ascii="宋体" w:hAnsi="宋体" w:eastAsiaTheme="minorEastAsia" w:cstheme="minorBidi"/>
                <w:szCs w:val="21"/>
              </w:rPr>
              <w:t>审方时机和过程</w:t>
            </w:r>
          </w:p>
        </w:tc>
        <w:tc>
          <w:tcPr>
            <w:tcW w:w="6662" w:type="dxa"/>
            <w:vAlign w:val="center"/>
          </w:tcPr>
          <w:p>
            <w:pPr>
              <w:keepNext/>
              <w:keepLines/>
              <w:spacing w:line="360" w:lineRule="auto"/>
              <w:jc w:val="left"/>
              <w:outlineLvl w:val="3"/>
              <w:rPr>
                <w:rFonts w:ascii="宋体" w:hAnsi="宋体" w:eastAsiaTheme="minorEastAsia" w:cstheme="minorBidi"/>
                <w:szCs w:val="21"/>
              </w:rPr>
            </w:pPr>
            <w:r>
              <w:rPr>
                <w:rFonts w:hint="eastAsia" w:ascii="宋体" w:hAnsi="宋体" w:eastAsiaTheme="minorEastAsia" w:cstheme="minorBidi"/>
                <w:szCs w:val="21"/>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必要时，药师可同时接收门诊、住院任务。</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numPr>
                <w:ilvl w:val="0"/>
                <w:numId w:val="10"/>
              </w:numPr>
              <w:spacing w:line="360" w:lineRule="auto"/>
              <w:rPr>
                <w:rFonts w:ascii="宋体" w:hAnsi="宋体" w:eastAsiaTheme="minorEastAsia" w:cstheme="minorBidi"/>
                <w:szCs w:val="21"/>
              </w:rPr>
            </w:pPr>
          </w:p>
        </w:tc>
        <w:tc>
          <w:tcPr>
            <w:tcW w:w="1560" w:type="dxa"/>
            <w:vAlign w:val="center"/>
          </w:tcPr>
          <w:p>
            <w:pPr>
              <w:spacing w:line="360" w:lineRule="auto"/>
              <w:rPr>
                <w:rFonts w:ascii="宋体" w:hAnsi="宋体" w:eastAsiaTheme="minorEastAsia" w:cstheme="minorBidi"/>
                <w:szCs w:val="21"/>
              </w:rPr>
            </w:pPr>
            <w:r>
              <w:rPr>
                <w:rFonts w:hint="eastAsia" w:ascii="宋体" w:hAnsi="宋体" w:cs="Arial" w:eastAsiaTheme="minorEastAsia"/>
                <w:szCs w:val="21"/>
              </w:rPr>
              <w:t>审方干预功能</w:t>
            </w:r>
          </w:p>
        </w:tc>
        <w:tc>
          <w:tcPr>
            <w:tcW w:w="6662" w:type="dxa"/>
            <w:vAlign w:val="center"/>
          </w:tcPr>
          <w:p>
            <w:pPr>
              <w:keepNext/>
              <w:keepLines/>
              <w:numPr>
                <w:ilvl w:val="0"/>
                <w:numId w:val="11"/>
              </w:numPr>
              <w:spacing w:line="360" w:lineRule="auto"/>
              <w:jc w:val="left"/>
              <w:outlineLvl w:val="3"/>
              <w:rPr>
                <w:rFonts w:ascii="宋体" w:hAnsi="宋体" w:cs="Arial" w:eastAsiaTheme="minorEastAsia"/>
                <w:szCs w:val="21"/>
              </w:rPr>
            </w:pPr>
            <w:r>
              <w:rPr>
                <w:rFonts w:hint="eastAsia" w:ascii="宋体" w:hAnsi="宋体" w:cs="Arial" w:eastAsiaTheme="minorEastAsia"/>
                <w:szCs w:val="21"/>
              </w:rPr>
              <w:t>▲系统可主动分配任务给药师，任务来临时可用弹框提醒药师，点击弹框后即可跳转至审方页面。</w:t>
            </w:r>
          </w:p>
          <w:p>
            <w:pPr>
              <w:keepNext/>
              <w:keepLines/>
              <w:numPr>
                <w:ilvl w:val="0"/>
                <w:numId w:val="11"/>
              </w:numPr>
              <w:spacing w:line="360" w:lineRule="auto"/>
              <w:jc w:val="left"/>
              <w:outlineLvl w:val="3"/>
              <w:rPr>
                <w:rFonts w:ascii="宋体" w:hAnsi="宋体" w:cs="Arial" w:eastAsiaTheme="minorEastAsia"/>
                <w:szCs w:val="21"/>
              </w:rPr>
            </w:pPr>
            <w:r>
              <w:rPr>
                <w:rFonts w:hint="eastAsia" w:ascii="宋体" w:hAnsi="宋体" w:cs="Arial" w:eastAsiaTheme="minorEastAsia"/>
                <w:szCs w:val="21"/>
              </w:rPr>
              <w:t>药师可设置单次可获取任务数，所获取的任务按时间先后顺序排列。</w:t>
            </w:r>
          </w:p>
          <w:p>
            <w:pPr>
              <w:keepNext/>
              <w:keepLines/>
              <w:numPr>
                <w:ilvl w:val="0"/>
                <w:numId w:val="11"/>
              </w:numPr>
              <w:spacing w:line="360" w:lineRule="auto"/>
              <w:jc w:val="left"/>
              <w:outlineLvl w:val="3"/>
              <w:rPr>
                <w:rFonts w:ascii="宋体" w:hAnsi="宋体" w:cs="Arial" w:eastAsiaTheme="minorEastAsia"/>
                <w:szCs w:val="21"/>
              </w:rPr>
            </w:pPr>
            <w:bookmarkStart w:id="2" w:name="_Hlk109921512"/>
            <w:r>
              <w:rPr>
                <w:rFonts w:hint="eastAsia" w:ascii="宋体" w:hAnsi="宋体" w:cs="Arial" w:eastAsiaTheme="minorEastAsia"/>
                <w:szCs w:val="21"/>
              </w:rPr>
              <w:t>药师审查时，可在审查界面一体化查看当前处方（医嘱）历史干预记录，如医生操作、用药理由等。</w:t>
            </w:r>
          </w:p>
          <w:p>
            <w:pPr>
              <w:keepNext/>
              <w:keepLines/>
              <w:numPr>
                <w:ilvl w:val="0"/>
                <w:numId w:val="11"/>
              </w:numPr>
              <w:spacing w:line="360" w:lineRule="auto"/>
              <w:jc w:val="left"/>
              <w:outlineLvl w:val="3"/>
              <w:rPr>
                <w:rFonts w:ascii="宋体" w:hAnsi="宋体" w:cs="Arial" w:eastAsiaTheme="minorEastAsia"/>
                <w:szCs w:val="21"/>
              </w:rPr>
            </w:pPr>
            <w:r>
              <w:rPr>
                <w:rFonts w:hint="eastAsia" w:ascii="宋体" w:hAnsi="宋体" w:cs="Arial" w:eastAsiaTheme="minorEastAsia"/>
                <w:szCs w:val="21"/>
              </w:rPr>
              <w:t>药师审查时可查看当前处方（医嘱）历史修改版本信息。</w:t>
            </w:r>
          </w:p>
          <w:bookmarkEnd w:id="2"/>
          <w:p>
            <w:pPr>
              <w:keepNext/>
              <w:keepLines/>
              <w:numPr>
                <w:ilvl w:val="0"/>
                <w:numId w:val="11"/>
              </w:numPr>
              <w:spacing w:line="360" w:lineRule="auto"/>
              <w:jc w:val="left"/>
              <w:outlineLvl w:val="3"/>
              <w:rPr>
                <w:rFonts w:ascii="宋体" w:hAnsi="宋体" w:cs="Arial" w:eastAsiaTheme="minorEastAsia"/>
                <w:szCs w:val="21"/>
              </w:rPr>
            </w:pPr>
            <w:r>
              <w:rPr>
                <w:rFonts w:hint="eastAsia" w:ascii="宋体" w:hAnsi="宋体" w:cs="Arial" w:eastAsiaTheme="minorEastAsia"/>
                <w:szCs w:val="21"/>
              </w:rPr>
              <w:t>药师可选择审核意见中的重点文字变色处理后发给医生。药师还可预设常用问题模板。</w:t>
            </w:r>
          </w:p>
          <w:p>
            <w:pPr>
              <w:keepNext/>
              <w:keepLines/>
              <w:numPr>
                <w:ilvl w:val="0"/>
                <w:numId w:val="11"/>
              </w:numPr>
              <w:spacing w:line="360" w:lineRule="auto"/>
              <w:jc w:val="left"/>
              <w:outlineLvl w:val="3"/>
              <w:rPr>
                <w:rFonts w:ascii="宋体" w:hAnsi="宋体" w:cs="Arial" w:eastAsiaTheme="minorEastAsia"/>
                <w:szCs w:val="21"/>
              </w:rPr>
            </w:pPr>
            <w:r>
              <w:rPr>
                <w:rFonts w:hint="eastAsia" w:ascii="宋体" w:hAnsi="宋体" w:cs="Arial" w:eastAsiaTheme="minorEastAsia"/>
                <w:szCs w:val="21"/>
              </w:rPr>
              <w:t>▲药师可以根据不同任务情况选择医生处方（医嘱）直接双签通过还是需要药师复核。</w:t>
            </w:r>
          </w:p>
          <w:p>
            <w:pPr>
              <w:keepNext/>
              <w:keepLines/>
              <w:numPr>
                <w:ilvl w:val="0"/>
                <w:numId w:val="11"/>
              </w:numPr>
              <w:spacing w:line="360" w:lineRule="auto"/>
              <w:jc w:val="left"/>
              <w:outlineLvl w:val="3"/>
              <w:rPr>
                <w:rFonts w:ascii="宋体" w:hAnsi="宋体" w:cs="Arial" w:eastAsiaTheme="minorEastAsia"/>
                <w:szCs w:val="21"/>
              </w:rPr>
            </w:pPr>
            <w:r>
              <w:rPr>
                <w:rFonts w:hint="eastAsia" w:ascii="宋体" w:hAnsi="宋体" w:cs="Arial" w:eastAsiaTheme="minorEastAsia"/>
                <w:szCs w:val="21"/>
              </w:rPr>
              <w:t>若一张处方（医嘱）通过前有多个修改版本，系统可以标记每个版本的处置状态。</w:t>
            </w:r>
          </w:p>
          <w:p>
            <w:pPr>
              <w:keepNext/>
              <w:keepLines/>
              <w:numPr>
                <w:ilvl w:val="0"/>
                <w:numId w:val="11"/>
              </w:numPr>
              <w:spacing w:line="360" w:lineRule="auto"/>
              <w:jc w:val="left"/>
              <w:outlineLvl w:val="3"/>
              <w:rPr>
                <w:rFonts w:ascii="宋体" w:hAnsi="宋体" w:cs="Arial" w:eastAsiaTheme="minorEastAsia"/>
                <w:szCs w:val="21"/>
              </w:rPr>
            </w:pPr>
            <w:r>
              <w:rPr>
                <w:rFonts w:hint="eastAsia" w:ascii="宋体" w:hAnsi="宋体" w:cs="Arial" w:eastAsiaTheme="minorEastAsia"/>
                <w:szCs w:val="21"/>
              </w:rPr>
              <w:t>▲系统支持根据医生提交至药师处的中药处方智能检索近似经典方剂供药师参考。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numPr>
                <w:ilvl w:val="0"/>
                <w:numId w:val="10"/>
              </w:numPr>
              <w:spacing w:line="360" w:lineRule="auto"/>
              <w:rPr>
                <w:rFonts w:ascii="宋体" w:hAnsi="宋体" w:eastAsiaTheme="minorEastAsia" w:cstheme="minorBidi"/>
                <w:szCs w:val="21"/>
              </w:rPr>
            </w:pPr>
            <w:bookmarkStart w:id="3" w:name="_Hlk109920935"/>
          </w:p>
        </w:tc>
        <w:tc>
          <w:tcPr>
            <w:tcW w:w="1560" w:type="dxa"/>
            <w:vAlign w:val="center"/>
          </w:tcPr>
          <w:p>
            <w:pPr>
              <w:spacing w:line="360" w:lineRule="auto"/>
              <w:rPr>
                <w:rFonts w:ascii="宋体" w:hAnsi="宋体" w:cs="Arial" w:eastAsiaTheme="minorEastAsia"/>
                <w:szCs w:val="21"/>
              </w:rPr>
            </w:pPr>
            <w:r>
              <w:rPr>
                <w:rFonts w:hint="eastAsia" w:ascii="宋体" w:hAnsi="宋体" w:cs="Arial" w:eastAsiaTheme="minorEastAsia"/>
                <w:szCs w:val="21"/>
              </w:rPr>
              <w:t>质量评价功能</w:t>
            </w:r>
          </w:p>
        </w:tc>
        <w:tc>
          <w:tcPr>
            <w:tcW w:w="6662" w:type="dxa"/>
            <w:vAlign w:val="center"/>
          </w:tcPr>
          <w:p>
            <w:pPr>
              <w:keepNext/>
              <w:keepLines/>
              <w:spacing w:line="360" w:lineRule="auto"/>
              <w:jc w:val="left"/>
              <w:outlineLvl w:val="3"/>
              <w:rPr>
                <w:rFonts w:ascii="宋体" w:hAnsi="宋体" w:cs="Arial" w:eastAsiaTheme="minorEastAsia"/>
                <w:szCs w:val="21"/>
              </w:rPr>
            </w:pPr>
            <w:r>
              <w:rPr>
                <w:rFonts w:hint="eastAsia" w:ascii="宋体" w:hAnsi="宋体" w:cs="Arial" w:eastAsiaTheme="minorEastAsia"/>
                <w:szCs w:val="21"/>
              </w:rPr>
              <w:t>系统提供多种筛选方案设置功能，进行待评价任务筛选。评价人可对每个任务输入审核意见并打分。系统可自动生成任务评分表，并可导出到Excel。</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numPr>
                <w:ilvl w:val="0"/>
                <w:numId w:val="10"/>
              </w:numPr>
              <w:spacing w:line="360" w:lineRule="auto"/>
              <w:rPr>
                <w:rFonts w:ascii="宋体" w:hAnsi="宋体" w:eastAsiaTheme="minorEastAsia" w:cstheme="minorBidi"/>
                <w:szCs w:val="21"/>
              </w:rPr>
            </w:pPr>
          </w:p>
        </w:tc>
        <w:tc>
          <w:tcPr>
            <w:tcW w:w="1560" w:type="dxa"/>
            <w:vAlign w:val="center"/>
          </w:tcPr>
          <w:p>
            <w:pPr>
              <w:spacing w:line="360" w:lineRule="auto"/>
              <w:rPr>
                <w:rFonts w:ascii="宋体" w:hAnsi="宋体" w:eastAsiaTheme="minorEastAsia" w:cstheme="minorBidi"/>
                <w:szCs w:val="21"/>
              </w:rPr>
            </w:pPr>
            <w:r>
              <w:rPr>
                <w:rFonts w:hint="eastAsia" w:ascii="宋体" w:hAnsi="宋体" w:eastAsiaTheme="minorEastAsia" w:cstheme="minorBidi"/>
                <w:szCs w:val="21"/>
              </w:rPr>
              <w:t>审方干预自定义功能</w:t>
            </w:r>
          </w:p>
        </w:tc>
        <w:tc>
          <w:tcPr>
            <w:tcW w:w="6662" w:type="dxa"/>
            <w:vAlign w:val="center"/>
          </w:tcPr>
          <w:p>
            <w:pPr>
              <w:numPr>
                <w:ilvl w:val="0"/>
                <w:numId w:val="12"/>
              </w:numPr>
              <w:spacing w:line="360" w:lineRule="auto"/>
              <w:rPr>
                <w:rFonts w:ascii="宋体" w:hAnsi="宋体" w:cs="Arial" w:eastAsiaTheme="minorEastAsia"/>
                <w:bCs/>
                <w:szCs w:val="21"/>
              </w:rPr>
            </w:pPr>
            <w:r>
              <w:rPr>
                <w:rFonts w:hint="eastAsia" w:ascii="宋体" w:hAnsi="宋体" w:cs="Arial" w:eastAsiaTheme="minorEastAsia"/>
                <w:bCs/>
                <w:szCs w:val="21"/>
              </w:rPr>
              <w:t>▲可将任意科室、医生、患者、疾病、药品设置为重点关注，可按科室、医生、患者、疾病、药品、问题类型、警示级别多条件组合设置重点关注，包含重点关注信息的处方由药师进行全面审查。</w:t>
            </w:r>
          </w:p>
          <w:p>
            <w:pPr>
              <w:numPr>
                <w:ilvl w:val="0"/>
                <w:numId w:val="12"/>
              </w:numPr>
              <w:spacing w:line="360" w:lineRule="auto"/>
              <w:rPr>
                <w:rFonts w:asciiTheme="minorHAnsi" w:hAnsiTheme="minorHAnsi" w:eastAsiaTheme="minorEastAsia" w:cstheme="minorBidi"/>
                <w:szCs w:val="22"/>
              </w:rPr>
            </w:pPr>
            <w:r>
              <w:rPr>
                <w:rFonts w:hint="eastAsia" w:ascii="宋体" w:hAnsi="宋体" w:cs="Arial" w:eastAsiaTheme="minorEastAsia"/>
                <w:bCs/>
                <w:szCs w:val="21"/>
              </w:rPr>
              <w:t>用户可根据使用习惯，设置或上传任务提示音，设置处置按钮顺序、样式，以及发送给医生的常用语。</w:t>
            </w:r>
          </w:p>
          <w:p>
            <w:pPr>
              <w:numPr>
                <w:ilvl w:val="0"/>
                <w:numId w:val="12"/>
              </w:numPr>
              <w:spacing w:line="360" w:lineRule="auto"/>
              <w:rPr>
                <w:rFonts w:ascii="宋体" w:hAnsi="宋体" w:cs="Arial" w:eastAsiaTheme="minorEastAsia"/>
                <w:bCs/>
                <w:szCs w:val="21"/>
              </w:rPr>
            </w:pPr>
            <w:r>
              <w:rPr>
                <w:rFonts w:hint="eastAsia" w:ascii="宋体" w:hAnsi="宋体" w:cs="Arial" w:eastAsiaTheme="minorEastAsia"/>
                <w:bCs/>
                <w:szCs w:val="21"/>
              </w:rPr>
              <w:t>▲用户可设置自动干预模式，并设置医生填写用药理由的模式。药师不在岗时，系统自动干预，医生填写用药理由后方可执行，支持全院和分科室设置。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numPr>
                <w:ilvl w:val="0"/>
                <w:numId w:val="10"/>
              </w:numPr>
              <w:spacing w:line="360" w:lineRule="auto"/>
              <w:rPr>
                <w:rFonts w:ascii="宋体" w:hAnsi="宋体" w:eastAsiaTheme="minorEastAsia" w:cstheme="minorBidi"/>
                <w:szCs w:val="21"/>
              </w:rPr>
            </w:pPr>
          </w:p>
        </w:tc>
        <w:tc>
          <w:tcPr>
            <w:tcW w:w="1560" w:type="dxa"/>
            <w:vAlign w:val="center"/>
          </w:tcPr>
          <w:p>
            <w:pPr>
              <w:spacing w:line="360" w:lineRule="auto"/>
              <w:rPr>
                <w:rFonts w:ascii="宋体" w:hAnsi="宋体" w:eastAsiaTheme="minorEastAsia" w:cstheme="minorBidi"/>
                <w:szCs w:val="21"/>
              </w:rPr>
            </w:pPr>
            <w:r>
              <w:rPr>
                <w:rFonts w:hint="eastAsia" w:ascii="宋体" w:hAnsi="宋体" w:eastAsiaTheme="minorEastAsia" w:cstheme="minorBidi"/>
                <w:szCs w:val="21"/>
              </w:rPr>
              <w:t>系统审查</w:t>
            </w:r>
          </w:p>
        </w:tc>
        <w:tc>
          <w:tcPr>
            <w:tcW w:w="6662" w:type="dxa"/>
            <w:vAlign w:val="center"/>
          </w:tcPr>
          <w:p>
            <w:pPr>
              <w:spacing w:line="360" w:lineRule="auto"/>
              <w:rPr>
                <w:rFonts w:ascii="宋体" w:hAnsi="宋体" w:cs="Arial" w:eastAsiaTheme="minorEastAsia"/>
                <w:bCs/>
                <w:szCs w:val="21"/>
              </w:rPr>
            </w:pPr>
            <w:r>
              <w:rPr>
                <w:rFonts w:hint="eastAsia" w:ascii="宋体" w:hAnsi="宋体" w:cs="Arial" w:eastAsiaTheme="minorEastAsia"/>
                <w:bCs/>
                <w:szCs w:val="21"/>
              </w:rPr>
              <w:t>系统审查项目、规则等应与医院当前在用医生端审方系统保持一致，并能实现无缝对接，即药师端可查看医生端审方系统的详细审查结果信息，同时药师审核问题标准可按医生端审方系统的审查项目和问题级别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numPr>
                <w:ilvl w:val="0"/>
                <w:numId w:val="10"/>
              </w:numPr>
              <w:spacing w:line="360" w:lineRule="auto"/>
              <w:rPr>
                <w:rFonts w:ascii="宋体" w:hAnsi="宋体" w:eastAsiaTheme="minorEastAsia" w:cstheme="minorBidi"/>
                <w:szCs w:val="21"/>
              </w:rPr>
            </w:pPr>
          </w:p>
        </w:tc>
        <w:tc>
          <w:tcPr>
            <w:tcW w:w="1560" w:type="dxa"/>
            <w:vAlign w:val="center"/>
          </w:tcPr>
          <w:p>
            <w:pPr>
              <w:spacing w:line="360" w:lineRule="auto"/>
              <w:rPr>
                <w:rFonts w:ascii="宋体" w:hAnsi="宋体" w:eastAsiaTheme="minorEastAsia" w:cstheme="minorBidi"/>
                <w:szCs w:val="21"/>
              </w:rPr>
            </w:pPr>
            <w:r>
              <w:rPr>
                <w:rFonts w:hint="eastAsia" w:ascii="宋体" w:hAnsi="宋体" w:eastAsiaTheme="minorEastAsia" w:cstheme="minorBidi"/>
                <w:szCs w:val="21"/>
              </w:rPr>
              <w:t>统计分析</w:t>
            </w:r>
          </w:p>
        </w:tc>
        <w:tc>
          <w:tcPr>
            <w:tcW w:w="6662" w:type="dxa"/>
            <w:vAlign w:val="center"/>
          </w:tcPr>
          <w:p>
            <w:pPr>
              <w:numPr>
                <w:ilvl w:val="0"/>
                <w:numId w:val="13"/>
              </w:numPr>
              <w:spacing w:line="360" w:lineRule="auto"/>
              <w:rPr>
                <w:rFonts w:ascii="宋体" w:hAnsi="宋体" w:cs="Arial" w:eastAsiaTheme="minorEastAsia"/>
                <w:bCs/>
                <w:szCs w:val="21"/>
              </w:rPr>
            </w:pPr>
            <w:r>
              <w:rPr>
                <w:rFonts w:hint="eastAsia" w:ascii="宋体" w:hAnsi="宋体" w:cs="Arial" w:eastAsiaTheme="minorEastAsia"/>
                <w:bCs/>
                <w:szCs w:val="21"/>
              </w:rPr>
              <w:t>可以分别统计门诊、住院任务的审核率、干预率、合格率等重要指标，并可提供统计图。可按照科室、医生、药品、药师进行干预情况分类统计。</w:t>
            </w:r>
          </w:p>
          <w:p>
            <w:pPr>
              <w:numPr>
                <w:ilvl w:val="0"/>
                <w:numId w:val="13"/>
              </w:numPr>
              <w:spacing w:line="360" w:lineRule="auto"/>
              <w:rPr>
                <w:rFonts w:ascii="宋体" w:hAnsi="宋体" w:cs="Arial" w:eastAsiaTheme="minorEastAsia"/>
                <w:bCs/>
                <w:szCs w:val="21"/>
              </w:rPr>
            </w:pPr>
            <w:r>
              <w:rPr>
                <w:rFonts w:hint="eastAsia" w:ascii="宋体" w:hAnsi="宋体" w:cs="Arial" w:eastAsiaTheme="minorEastAsia"/>
                <w:bCs/>
                <w:szCs w:val="21"/>
              </w:rPr>
              <w:t>可以统计每个药师的监测时长、审核工作量、干预工作量和干预有效率，并可提供统计图。</w:t>
            </w:r>
          </w:p>
          <w:p>
            <w:pPr>
              <w:numPr>
                <w:ilvl w:val="0"/>
                <w:numId w:val="13"/>
              </w:numPr>
              <w:spacing w:line="360" w:lineRule="auto"/>
              <w:rPr>
                <w:rFonts w:ascii="宋体" w:hAnsi="宋体" w:cs="Arial" w:eastAsiaTheme="minorEastAsia"/>
                <w:bCs/>
                <w:szCs w:val="21"/>
              </w:rPr>
            </w:pPr>
            <w:r>
              <w:rPr>
                <w:rFonts w:hint="eastAsia" w:ascii="宋体" w:hAnsi="宋体" w:cs="Arial" w:eastAsiaTheme="minorEastAsia"/>
                <w:bCs/>
                <w:szCs w:val="21"/>
              </w:rPr>
              <w:t>可以提供不合理问题统计分析，支持按时间、问题类型、警示等级等条件进行统计，并可生成统计图。可以查看在人工审方时药师主动添加的问题的发生次数、发生率。</w:t>
            </w:r>
          </w:p>
          <w:p>
            <w:pPr>
              <w:numPr>
                <w:ilvl w:val="0"/>
                <w:numId w:val="13"/>
              </w:numPr>
              <w:spacing w:line="360" w:lineRule="auto"/>
              <w:rPr>
                <w:rFonts w:ascii="宋体" w:hAnsi="宋体" w:cs="Arial" w:eastAsiaTheme="minorEastAsia"/>
                <w:bCs/>
                <w:szCs w:val="21"/>
              </w:rPr>
            </w:pPr>
            <w:r>
              <w:rPr>
                <w:rFonts w:hint="eastAsia" w:ascii="宋体" w:hAnsi="宋体" w:cs="Arial" w:eastAsiaTheme="minorEastAsia"/>
                <w:bCs/>
                <w:szCs w:val="21"/>
              </w:rPr>
              <w:t>可以分科室、医生、药品、问题类型提供干预效果追踪，并以统计图的方式体现干预效果。</w:t>
            </w:r>
          </w:p>
          <w:p>
            <w:pPr>
              <w:numPr>
                <w:ilvl w:val="0"/>
                <w:numId w:val="13"/>
              </w:numPr>
              <w:spacing w:line="360" w:lineRule="auto"/>
              <w:rPr>
                <w:rFonts w:ascii="宋体" w:hAnsi="宋体" w:cs="Arial" w:eastAsiaTheme="minorEastAsia"/>
                <w:bCs/>
                <w:szCs w:val="21"/>
              </w:rPr>
            </w:pPr>
            <w:r>
              <w:rPr>
                <w:rFonts w:hint="eastAsia" w:ascii="宋体" w:hAnsi="宋体" w:cs="Arial" w:eastAsiaTheme="minorEastAsia"/>
                <w:bCs/>
                <w:szCs w:val="21"/>
              </w:rPr>
              <w:t>可按不同的处方（医嘱）通过状态进行统计，并可生成统计图。</w:t>
            </w:r>
          </w:p>
          <w:p>
            <w:pPr>
              <w:keepNext/>
              <w:keepLines/>
              <w:numPr>
                <w:ilvl w:val="0"/>
                <w:numId w:val="13"/>
              </w:numPr>
              <w:spacing w:line="360" w:lineRule="auto"/>
              <w:jc w:val="left"/>
              <w:outlineLvl w:val="4"/>
              <w:rPr>
                <w:rFonts w:ascii="宋体" w:hAnsi="宋体" w:cs="Arial" w:eastAsiaTheme="minorEastAsia"/>
                <w:bCs/>
                <w:szCs w:val="21"/>
              </w:rPr>
            </w:pPr>
            <w:r>
              <w:rPr>
                <w:rFonts w:hint="eastAsia" w:ascii="宋体" w:hAnsi="宋体" w:cs="Arial" w:eastAsiaTheme="minorEastAsia"/>
                <w:bCs/>
                <w:szCs w:val="21"/>
              </w:rPr>
              <w:t>医生端可通过用药自查，查看自身任务的审核干预相关统计数据。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numPr>
                <w:ilvl w:val="0"/>
                <w:numId w:val="10"/>
              </w:numPr>
              <w:spacing w:line="360" w:lineRule="auto"/>
              <w:rPr>
                <w:rFonts w:ascii="宋体" w:hAnsi="宋体" w:eastAsiaTheme="minorEastAsia" w:cstheme="minorBidi"/>
                <w:szCs w:val="21"/>
              </w:rPr>
            </w:pPr>
          </w:p>
        </w:tc>
        <w:tc>
          <w:tcPr>
            <w:tcW w:w="1560" w:type="dxa"/>
            <w:vAlign w:val="center"/>
          </w:tcPr>
          <w:p>
            <w:pPr>
              <w:spacing w:line="360" w:lineRule="auto"/>
              <w:rPr>
                <w:rFonts w:ascii="宋体" w:hAnsi="宋体" w:eastAsiaTheme="minorEastAsia" w:cstheme="minorBidi"/>
                <w:szCs w:val="21"/>
              </w:rPr>
            </w:pPr>
            <w:r>
              <w:rPr>
                <w:rFonts w:hint="eastAsia" w:ascii="宋体" w:hAnsi="宋体" w:eastAsiaTheme="minorEastAsia" w:cstheme="minorBidi"/>
                <w:szCs w:val="21"/>
              </w:rPr>
              <w:t>大屏展示功能</w:t>
            </w:r>
          </w:p>
        </w:tc>
        <w:tc>
          <w:tcPr>
            <w:tcW w:w="6662" w:type="dxa"/>
            <w:vAlign w:val="center"/>
          </w:tcPr>
          <w:p>
            <w:pPr>
              <w:spacing w:line="360" w:lineRule="auto"/>
              <w:rPr>
                <w:rFonts w:ascii="宋体" w:hAnsi="宋体" w:cs="Arial" w:eastAsiaTheme="minorEastAsia"/>
                <w:bCs/>
                <w:szCs w:val="21"/>
              </w:rPr>
            </w:pPr>
            <w:r>
              <w:rPr>
                <w:rFonts w:hint="eastAsia" w:ascii="宋体" w:hAnsi="宋体" w:cs="Arial" w:eastAsiaTheme="minorEastAsia"/>
                <w:bCs/>
                <w:szCs w:val="21"/>
              </w:rPr>
              <w:t>系统应支持将重要审方指标通过图表在用户大屏上展示。</w:t>
            </w:r>
          </w:p>
        </w:tc>
      </w:tr>
    </w:tbl>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spacing w:line="360" w:lineRule="auto"/>
              <w:rPr>
                <w:rFonts w:ascii="宋体" w:hAnsi="宋体" w:cs="Arial" w:eastAsiaTheme="minorEastAsia"/>
                <w:b/>
                <w:bCs/>
                <w:szCs w:val="21"/>
              </w:rPr>
            </w:pPr>
            <w:r>
              <w:rPr>
                <w:rFonts w:hint="eastAsia" w:ascii="宋体" w:hAnsi="宋体" w:cs="Arial" w:eastAsiaTheme="minorEastAsia"/>
                <w:b/>
                <w:bCs/>
                <w:szCs w:val="21"/>
              </w:rPr>
              <w:t>处方点评系统功能要求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14"/>
              </w:numPr>
              <w:spacing w:line="360" w:lineRule="auto"/>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ascii="宋体" w:hAnsi="宋体" w:eastAsiaTheme="minorEastAsia" w:cstheme="minorBidi"/>
                <w:szCs w:val="21"/>
              </w:rPr>
              <w:t>智慧中心</w:t>
            </w:r>
          </w:p>
        </w:tc>
        <w:tc>
          <w:tcPr>
            <w:tcW w:w="6287" w:type="dxa"/>
            <w:vAlign w:val="center"/>
          </w:tcPr>
          <w:p>
            <w:pPr>
              <w:spacing w:line="360" w:lineRule="auto"/>
              <w:rPr>
                <w:rFonts w:ascii="宋体" w:hAnsi="宋体" w:eastAsiaTheme="minorEastAsia" w:cstheme="minorBidi"/>
                <w:b/>
                <w:bCs/>
                <w:sz w:val="24"/>
                <w:szCs w:val="22"/>
              </w:rPr>
            </w:pPr>
            <w:r>
              <w:rPr>
                <w:rFonts w:hint="eastAsia" w:asciiTheme="minorHAnsi" w:hAnsiTheme="minorHAnsi" w:eastAsiaTheme="minorEastAsia" w:cstheme="minorBidi"/>
                <w:szCs w:val="22"/>
              </w:rPr>
              <w:t>系统主页应能显示门诊</w:t>
            </w:r>
            <w:r>
              <w:rPr>
                <w:rFonts w:asciiTheme="minorHAnsi" w:hAnsiTheme="minorHAnsi" w:eastAsiaTheme="minorEastAsia" w:cstheme="minorBidi"/>
                <w:szCs w:val="22"/>
              </w:rPr>
              <w:t>/住院点评率、合理率</w:t>
            </w:r>
            <w:r>
              <w:rPr>
                <w:rFonts w:hint="eastAsia" w:asciiTheme="minorHAnsi" w:hAnsiTheme="minorHAnsi" w:eastAsiaTheme="minorEastAsia" w:cstheme="minorBidi"/>
                <w:szCs w:val="22"/>
              </w:rPr>
              <w:t>、住</w:t>
            </w:r>
            <w:r>
              <w:rPr>
                <w:rFonts w:hint="eastAsia" w:ascii="宋体" w:hAnsi="宋体" w:cs="Arial" w:eastAsiaTheme="minorEastAsia"/>
                <w:szCs w:val="22"/>
              </w:rPr>
              <w:t>院抗菌药物使用强度、门诊基本药物占比、住院静脉输液使用率等指标。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14"/>
              </w:numPr>
              <w:spacing w:line="360" w:lineRule="auto"/>
              <w:ind w:left="562"/>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hint="eastAsia" w:ascii="宋体" w:hAnsi="宋体" w:cs="Arial" w:eastAsiaTheme="minorEastAsia"/>
                <w:szCs w:val="21"/>
              </w:rPr>
              <w:t>读取和查看病人信息</w:t>
            </w:r>
          </w:p>
        </w:tc>
        <w:tc>
          <w:tcPr>
            <w:tcW w:w="6287" w:type="dxa"/>
            <w:vAlign w:val="center"/>
          </w:tcPr>
          <w:p>
            <w:pPr>
              <w:spacing w:line="360" w:lineRule="auto"/>
              <w:jc w:val="left"/>
              <w:outlineLvl w:val="3"/>
              <w:rPr>
                <w:rFonts w:ascii="宋体" w:hAnsi="宋体" w:cs="Arial" w:eastAsiaTheme="minorEastAsia"/>
                <w:szCs w:val="21"/>
              </w:rPr>
            </w:pPr>
            <w:r>
              <w:rPr>
                <w:rFonts w:hint="eastAsia" w:ascii="宋体" w:hAnsi="宋体" w:cs="Arial" w:eastAsiaTheme="minorEastAsia"/>
                <w:szCs w:val="21"/>
              </w:rPr>
              <w:t>系统应能筛选患者并查看患者基本信息、医嘱、检查、检验、手术、费用、会诊、病程等信息，同时能提供</w:t>
            </w:r>
            <w:r>
              <w:rPr>
                <w:rFonts w:ascii="宋体" w:hAnsi="宋体" w:cs="Arial" w:eastAsiaTheme="minorEastAsia"/>
                <w:szCs w:val="21"/>
              </w:rPr>
              <w:t>EMR、PACS、LIS</w:t>
            </w:r>
            <w:r>
              <w:rPr>
                <w:rFonts w:hint="eastAsia" w:ascii="宋体" w:hAnsi="宋体" w:cs="Arial" w:eastAsiaTheme="minorEastAsia"/>
                <w:szCs w:val="21"/>
              </w:rPr>
              <w:t>超链接功能，帮助药师快速切换。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14"/>
              </w:numPr>
              <w:spacing w:line="360" w:lineRule="auto"/>
              <w:ind w:left="562"/>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hint="eastAsia" w:ascii="宋体" w:hAnsi="宋体" w:cs="Arial" w:eastAsiaTheme="minorEastAsia"/>
                <w:szCs w:val="21"/>
              </w:rPr>
              <w:t>处方点评</w:t>
            </w:r>
          </w:p>
        </w:tc>
        <w:tc>
          <w:tcPr>
            <w:tcW w:w="6287" w:type="dxa"/>
            <w:vAlign w:val="center"/>
          </w:tcPr>
          <w:p>
            <w:pPr>
              <w:numPr>
                <w:ilvl w:val="0"/>
                <w:numId w:val="15"/>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 xml:space="preserve">系统应结合国家处方点评相关政策要求，实现对处方（医嘱）电子化评价功能。 </w:t>
            </w:r>
            <w:r>
              <w:rPr>
                <w:rFonts w:hint="eastAsia" w:ascii="宋体" w:hAnsi="宋体" w:cs="Arial" w:eastAsiaTheme="minorEastAsia"/>
                <w:b/>
                <w:sz w:val="24"/>
                <w:szCs w:val="21"/>
              </w:rPr>
              <w:t>▲</w:t>
            </w:r>
            <w:r>
              <w:rPr>
                <w:rFonts w:hint="eastAsia" w:ascii="宋体" w:hAnsi="宋体" w:cs="Arial" w:eastAsiaTheme="minorEastAsia"/>
                <w:bCs/>
                <w:szCs w:val="21"/>
              </w:rPr>
              <w:t>应能对处方（医嘱）用药进行剂量审查、给药途径审查、相互作用审查、体外注射剂配伍审查、配伍浓度审查、钾离子监测、</w:t>
            </w:r>
            <w:r>
              <w:rPr>
                <w:rFonts w:ascii="宋体" w:hAnsi="宋体" w:cs="Arial" w:eastAsiaTheme="minorEastAsia"/>
                <w:bCs/>
                <w:szCs w:val="21"/>
              </w:rPr>
              <w:t>TPN处方审查、门诊输液审查、禁忌症审查、不良反应审查、特殊人群用药审查、重复用药审查、适应症审查、</w:t>
            </w:r>
            <w:r>
              <w:rPr>
                <w:rFonts w:hint="eastAsia" w:ascii="宋体" w:hAnsi="宋体" w:cs="Arial" w:eastAsiaTheme="minorEastAsia"/>
                <w:bCs/>
                <w:szCs w:val="21"/>
              </w:rPr>
              <w:t>药物过敏审查、药物检验值审查、规范性审查、医保审查、越权用药审查、围术期用药审查，并提供审查规则自定义功能，使得点评结果更加符合医院实际用药情况。</w:t>
            </w:r>
          </w:p>
          <w:p>
            <w:pPr>
              <w:numPr>
                <w:ilvl w:val="0"/>
                <w:numId w:val="15"/>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系统应能实现点评任务分配、点评求助、点评复核、反馈医生、医生申述的闭环管理，▲并在医生、药师交互环节进行消息提示。点评结果反馈医生或科主任后，医生（工作站）可直接填写申述理由或确认，无需登录系统查看点评结果。</w:t>
            </w:r>
          </w:p>
          <w:p>
            <w:pPr>
              <w:numPr>
                <w:ilvl w:val="0"/>
                <w:numId w:val="15"/>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▲系统应提供双盲点评设置、医生处理点评结果逾期设置、</w:t>
            </w:r>
            <w:r>
              <w:rPr>
                <w:rFonts w:hint="eastAsia" w:asciiTheme="majorHAnsi" w:hAnsiTheme="majorHAnsi" w:eastAsiaTheme="minorEastAsia" w:cstheme="majorBidi"/>
                <w:szCs w:val="21"/>
              </w:rPr>
              <w:t>增补处方或病人</w:t>
            </w:r>
            <w:r>
              <w:rPr>
                <w:rFonts w:hint="eastAsia" w:ascii="宋体" w:hAnsi="宋体" w:cs="Arial" w:eastAsiaTheme="minorEastAsia"/>
                <w:szCs w:val="21"/>
              </w:rPr>
              <w:t>、</w:t>
            </w:r>
            <w:r>
              <w:rPr>
                <w:rFonts w:hint="eastAsia" w:ascii="宋体" w:hAnsi="宋体" w:cs="Arial" w:eastAsiaTheme="minorEastAsia"/>
                <w:bCs/>
                <w:szCs w:val="21"/>
              </w:rPr>
              <w:t xml:space="preserve">高亮显示被点评药品功能，方便药师点评。 </w:t>
            </w:r>
          </w:p>
          <w:p>
            <w:pPr>
              <w:numPr>
                <w:ilvl w:val="0"/>
                <w:numId w:val="15"/>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▲系统应能自定义点评模板及点评点，实现个性化点评需求。</w:t>
            </w:r>
          </w:p>
          <w:p>
            <w:pPr>
              <w:numPr>
                <w:ilvl w:val="0"/>
                <w:numId w:val="15"/>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▲系统应能自动生成住院患者用药联用图、时序图，并支持自定义。住院患者时序图包含患者体征、用药、手术和检验信息等内容。</w:t>
            </w:r>
          </w:p>
          <w:p>
            <w:pPr>
              <w:numPr>
                <w:ilvl w:val="0"/>
                <w:numId w:val="15"/>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系统应能自动生成点评相关报表及任务完成情况等管理报表。</w:t>
            </w:r>
          </w:p>
          <w:p>
            <w:pPr>
              <w:spacing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3</w:t>
            </w:r>
            <w:r>
              <w:rPr>
                <w:rFonts w:asciiTheme="minorHAnsi" w:hAnsiTheme="minorHAnsi" w:eastAsiaTheme="minorEastAsia" w:cstheme="minorBidi"/>
                <w:szCs w:val="22"/>
              </w:rPr>
              <w:t xml:space="preserve">.7 </w:t>
            </w:r>
            <w:r>
              <w:rPr>
                <w:rFonts w:hint="eastAsia" w:asciiTheme="minorHAnsi" w:hAnsiTheme="minorHAnsi" w:eastAsiaTheme="minorEastAsia" w:cstheme="minorBidi"/>
                <w:szCs w:val="22"/>
              </w:rPr>
              <w:t>系统应包含全处方点评、全医嘱点评、门急诊</w:t>
            </w:r>
            <w:r>
              <w:rPr>
                <w:rFonts w:asciiTheme="minorHAnsi" w:hAnsiTheme="minorHAnsi" w:eastAsiaTheme="minorEastAsia" w:cstheme="minorBidi"/>
                <w:szCs w:val="22"/>
              </w:rPr>
              <w:t>/</w:t>
            </w:r>
            <w:r>
              <w:rPr>
                <w:rFonts w:hint="eastAsia" w:asciiTheme="minorHAnsi" w:hAnsiTheme="minorHAnsi" w:eastAsiaTheme="minorEastAsia" w:cstheme="minorBidi"/>
                <w:szCs w:val="22"/>
              </w:rPr>
              <w:t>住院抗菌药物专项点评、围手术期抗菌药物专项点评、门急诊</w:t>
            </w:r>
            <w:r>
              <w:rPr>
                <w:rFonts w:asciiTheme="minorHAnsi" w:hAnsiTheme="minorHAnsi" w:eastAsiaTheme="minorEastAsia" w:cstheme="minorBidi"/>
                <w:szCs w:val="22"/>
              </w:rPr>
              <w:t>/</w:t>
            </w:r>
            <w:r>
              <w:rPr>
                <w:rFonts w:hint="eastAsia" w:asciiTheme="minorHAnsi" w:hAnsiTheme="minorHAnsi" w:eastAsiaTheme="minorEastAsia" w:cstheme="minorBidi"/>
                <w:szCs w:val="22"/>
              </w:rPr>
              <w:t>住院专项药品点评、门急诊</w:t>
            </w:r>
            <w:r>
              <w:rPr>
                <w:rFonts w:asciiTheme="minorHAnsi" w:hAnsiTheme="minorHAnsi" w:eastAsiaTheme="minorEastAsia" w:cstheme="minorBidi"/>
                <w:szCs w:val="22"/>
              </w:rPr>
              <w:t>/</w:t>
            </w:r>
            <w:r>
              <w:rPr>
                <w:rFonts w:hint="eastAsia" w:asciiTheme="minorHAnsi" w:hAnsiTheme="minorHAnsi" w:eastAsiaTheme="minorEastAsia" w:cstheme="minorBidi"/>
                <w:szCs w:val="22"/>
              </w:rPr>
              <w:t>住院抗肿瘤药物专项点评、住院病人特殊级抗菌药物专项点评、▲</w:t>
            </w:r>
            <w:r>
              <w:rPr>
                <w:rFonts w:asciiTheme="minorHAnsi" w:hAnsiTheme="minorHAnsi" w:eastAsiaTheme="minorEastAsia" w:cstheme="minorBidi"/>
                <w:szCs w:val="22"/>
              </w:rPr>
              <w:t>住院病人碳青霉烯类及</w:t>
            </w:r>
            <w:r>
              <w:rPr>
                <w:rFonts w:hint="eastAsia" w:asciiTheme="minorHAnsi" w:hAnsiTheme="minorHAnsi" w:eastAsiaTheme="minorEastAsia" w:cstheme="minorBidi"/>
                <w:szCs w:val="22"/>
              </w:rPr>
              <w:t>替加环素专项点评、住院病人人血白蛋白专项点评、▲门（急）诊</w:t>
            </w:r>
            <w:r>
              <w:rPr>
                <w:rFonts w:asciiTheme="minorHAnsi" w:hAnsiTheme="minorHAnsi" w:eastAsiaTheme="minorEastAsia" w:cstheme="minorBidi"/>
                <w:szCs w:val="22"/>
              </w:rPr>
              <w:t>/</w:t>
            </w:r>
            <w:r>
              <w:rPr>
                <w:rFonts w:hint="eastAsia" w:asciiTheme="minorHAnsi" w:hAnsiTheme="minorHAnsi" w:eastAsiaTheme="minorEastAsia" w:cstheme="minorBidi"/>
                <w:szCs w:val="22"/>
              </w:rPr>
              <w:t>住院中药饮片专项点评、门（急）诊中成药处方专项点评、▲</w:t>
            </w:r>
            <w:r>
              <w:rPr>
                <w:rFonts w:asciiTheme="minorHAnsi" w:hAnsiTheme="minorHAnsi" w:eastAsiaTheme="minorEastAsia" w:cstheme="minorBidi"/>
                <w:szCs w:val="22"/>
              </w:rPr>
              <w:t>用药排名医嘱点评</w:t>
            </w:r>
            <w:r>
              <w:rPr>
                <w:rFonts w:hint="eastAsia" w:asciiTheme="minorHAnsi" w:hAnsiTheme="minorHAnsi" w:eastAsiaTheme="minorEastAsia" w:cstheme="minorBidi"/>
                <w:szCs w:val="22"/>
              </w:rPr>
              <w:t>、住院用药医嘱点评、出院带药医嘱点评、门（急）诊基本药物专项点评、▲住院病人肠外营养专项点评、住院病人自备药专项点评</w:t>
            </w:r>
            <w:r>
              <w:rPr>
                <w:rFonts w:hint="eastAsia" w:asciiTheme="minorEastAsia" w:hAnsiTheme="minorEastAsia" w:eastAsiaTheme="minorEastAsia" w:cstheme="majorBidi"/>
                <w:szCs w:val="22"/>
              </w:rPr>
              <w:t>、门（急）诊外延处方点评</w:t>
            </w:r>
            <w:r>
              <w:rPr>
                <w:rFonts w:hint="eastAsia" w:asciiTheme="minorEastAsia" w:hAnsiTheme="minorEastAsia" w:eastAsiaTheme="minorEastAsia" w:cstheme="minorBidi"/>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14"/>
              </w:numPr>
              <w:spacing w:line="360" w:lineRule="auto"/>
              <w:ind w:left="562"/>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hint="eastAsia" w:ascii="宋体" w:hAnsi="宋体" w:eastAsiaTheme="minorEastAsia" w:cstheme="minorBidi"/>
                <w:szCs w:val="21"/>
              </w:rPr>
              <w:t>抗菌药物临床应用监测</w:t>
            </w:r>
          </w:p>
        </w:tc>
        <w:tc>
          <w:tcPr>
            <w:tcW w:w="6287" w:type="dxa"/>
            <w:vAlign w:val="center"/>
          </w:tcPr>
          <w:p>
            <w:pPr>
              <w:spacing w:line="360" w:lineRule="auto"/>
              <w:ind w:firstLine="420" w:firstLineChars="200"/>
              <w:rPr>
                <w:rFonts w:ascii="宋体" w:hAnsi="宋体" w:eastAsiaTheme="minorEastAsia" w:cstheme="minorBidi"/>
                <w:szCs w:val="21"/>
              </w:rPr>
            </w:pPr>
            <w:r>
              <w:rPr>
                <w:rFonts w:hint="eastAsia" w:ascii="宋体" w:hAnsi="宋体" w:cs="Arial" w:eastAsiaTheme="minorEastAsia"/>
                <w:bCs/>
                <w:szCs w:val="21"/>
              </w:rPr>
              <w:t>系统应根据卫生部《抗菌药物临床应用监测方案》中的相关规定，完成抗菌药物临床应用监测网要求的抗菌药物使用情况统计及上报工作。▲系统应提供手术</w:t>
            </w:r>
            <w:r>
              <w:rPr>
                <w:rFonts w:ascii="宋体" w:hAnsi="宋体" w:cs="Arial" w:eastAsiaTheme="minorEastAsia"/>
                <w:bCs/>
                <w:szCs w:val="21"/>
              </w:rPr>
              <w:t>/非手术抗菌药物使用情况调查表、门诊</w:t>
            </w:r>
            <w:r>
              <w:rPr>
                <w:rFonts w:hint="eastAsia" w:ascii="宋体" w:hAnsi="宋体" w:cs="Arial" w:eastAsiaTheme="minorEastAsia"/>
                <w:bCs/>
                <w:szCs w:val="21"/>
              </w:rPr>
              <w:t>/急诊/</w:t>
            </w:r>
            <w:r>
              <w:rPr>
                <w:rFonts w:ascii="宋体" w:hAnsi="宋体" w:cs="Arial" w:eastAsiaTheme="minorEastAsia"/>
                <w:bCs/>
                <w:szCs w:val="21"/>
              </w:rPr>
              <w:t>住院患者抗菌药物使用情况统计报表的离线上报功能，可直接上传文档</w:t>
            </w:r>
            <w:r>
              <w:rPr>
                <w:rFonts w:hint="eastAsia" w:ascii="宋体" w:hAnsi="宋体" w:cs="Arial" w:eastAsiaTheme="minorEastAsia"/>
                <w:bCs/>
                <w:szCs w:val="21"/>
              </w:rPr>
              <w:t>至监测网完成填报工作，避免二次填写。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14"/>
              </w:numPr>
              <w:spacing w:line="360" w:lineRule="auto"/>
              <w:ind w:left="562"/>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ascii="宋体" w:hAnsi="宋体" w:eastAsiaTheme="minorEastAsia" w:cstheme="minorBidi"/>
                <w:szCs w:val="21"/>
              </w:rPr>
              <w:t>电子药历</w:t>
            </w:r>
          </w:p>
        </w:tc>
        <w:tc>
          <w:tcPr>
            <w:tcW w:w="6287" w:type="dxa"/>
            <w:vAlign w:val="center"/>
          </w:tcPr>
          <w:p>
            <w:pPr>
              <w:spacing w:line="360" w:lineRule="auto"/>
              <w:ind w:firstLine="420" w:firstLineChars="200"/>
              <w:rPr>
                <w:rFonts w:ascii="宋体" w:hAnsi="宋体" w:cs="Arial" w:eastAsiaTheme="minorEastAsia"/>
                <w:bCs/>
                <w:szCs w:val="21"/>
              </w:rPr>
            </w:pPr>
            <w:r>
              <w:rPr>
                <w:rFonts w:hint="eastAsia" w:ascii="宋体" w:hAnsi="宋体" w:cs="Arial" w:eastAsiaTheme="minorEastAsia"/>
                <w:bCs/>
                <w:szCs w:val="21"/>
              </w:rPr>
              <w:t>系统应提供工作药历、教学药历填写模块，并提供▲自定义药历内容、药历审阅和工作量统计。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14"/>
              </w:numPr>
              <w:spacing w:line="360" w:lineRule="auto"/>
              <w:ind w:left="562"/>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ascii="宋体" w:hAnsi="宋体" w:eastAsiaTheme="minorEastAsia" w:cstheme="minorBidi"/>
                <w:szCs w:val="21"/>
              </w:rPr>
              <w:t>统计分析</w:t>
            </w:r>
          </w:p>
        </w:tc>
        <w:tc>
          <w:tcPr>
            <w:tcW w:w="6287" w:type="dxa"/>
            <w:vAlign w:val="center"/>
          </w:tcPr>
          <w:p>
            <w:pPr>
              <w:spacing w:line="360" w:lineRule="auto"/>
              <w:ind w:firstLine="420" w:firstLineChars="200"/>
              <w:rPr>
                <w:rFonts w:ascii="宋体" w:hAnsi="宋体" w:cs="Arial" w:eastAsiaTheme="minorEastAsia"/>
                <w:bCs/>
                <w:szCs w:val="21"/>
              </w:rPr>
            </w:pPr>
            <w:r>
              <w:rPr>
                <w:rFonts w:hint="eastAsia" w:ascii="宋体" w:hAnsi="宋体" w:cs="Arial" w:eastAsiaTheme="minorEastAsia"/>
                <w:bCs/>
                <w:szCs w:val="21"/>
              </w:rPr>
              <w:t>系统应提供对医院合理用药指标及药品使用情况的统计分析，并能自定义显示和导出。同时提供关键字检索功能，便于快速查询指标。</w:t>
            </w:r>
          </w:p>
          <w:p>
            <w:pPr>
              <w:keepNext/>
              <w:keepLines/>
              <w:numPr>
                <w:ilvl w:val="0"/>
                <w:numId w:val="16"/>
              </w:numPr>
              <w:spacing w:line="360" w:lineRule="auto"/>
              <w:jc w:val="left"/>
              <w:outlineLvl w:val="3"/>
              <w:rPr>
                <w:rFonts w:cs="Arial" w:asciiTheme="minorEastAsia" w:hAnsiTheme="minorEastAsia" w:eastAsiaTheme="minorEastAsia"/>
                <w:szCs w:val="21"/>
              </w:rPr>
            </w:pPr>
            <w:r>
              <w:rPr>
                <w:rFonts w:hint="eastAsia" w:cs="Arial" w:asciiTheme="minorEastAsia" w:hAnsiTheme="minorEastAsia" w:eastAsiaTheme="minorEastAsia"/>
                <w:szCs w:val="21"/>
              </w:rPr>
              <w:t>合理用药指标及趋势分析，包括：抗菌药物使用率</w:t>
            </w:r>
            <w:r>
              <w:rPr>
                <w:rFonts w:hint="eastAsia" w:cs="Arial" w:asciiTheme="minorEastAsia" w:hAnsiTheme="minorEastAsia" w:eastAsiaTheme="minorEastAsia"/>
                <w:sz w:val="24"/>
                <w:szCs w:val="21"/>
              </w:rPr>
              <w:t>、</w:t>
            </w:r>
            <w:r>
              <w:rPr>
                <w:rFonts w:hint="eastAsia" w:cs="Arial" w:asciiTheme="minorEastAsia" w:hAnsiTheme="minorEastAsia" w:eastAsiaTheme="minorEastAsia"/>
                <w:szCs w:val="21"/>
              </w:rPr>
              <w:t>平均用药品种数、注射剂使用率、抗菌药物患者使用前病原送检率、</w:t>
            </w:r>
            <w:r>
              <w:rPr>
                <w:rFonts w:cs="Arial" w:asciiTheme="minorEastAsia" w:hAnsiTheme="minorEastAsia" w:eastAsiaTheme="minorEastAsia"/>
                <w:szCs w:val="21"/>
              </w:rPr>
              <w:t>X</w:t>
            </w:r>
            <w:r>
              <w:rPr>
                <w:rFonts w:hint="eastAsia" w:cs="Arial" w:asciiTheme="minorEastAsia" w:hAnsiTheme="minorEastAsia" w:eastAsiaTheme="minorEastAsia"/>
                <w:szCs w:val="21"/>
              </w:rPr>
              <w:t>类切口手术预防用抗菌药物百分率、</w:t>
            </w:r>
            <w:r>
              <w:rPr>
                <w:rFonts w:cs="Arial" w:asciiTheme="minorEastAsia" w:hAnsiTheme="minorEastAsia" w:eastAsiaTheme="minorEastAsia"/>
                <w:szCs w:val="21"/>
              </w:rPr>
              <w:t>X</w:t>
            </w:r>
            <w:r>
              <w:rPr>
                <w:rFonts w:hint="eastAsia" w:cs="Arial" w:asciiTheme="minorEastAsia" w:hAnsiTheme="minorEastAsia" w:eastAsiaTheme="minorEastAsia"/>
                <w:szCs w:val="21"/>
              </w:rPr>
              <w:t>类切口手术术前</w:t>
            </w:r>
            <w:r>
              <w:rPr>
                <w:rFonts w:cs="Arial" w:asciiTheme="minorEastAsia" w:hAnsiTheme="minorEastAsia" w:eastAsiaTheme="minorEastAsia"/>
                <w:szCs w:val="21"/>
              </w:rPr>
              <w:t>0.5-1.0</w:t>
            </w:r>
            <w:r>
              <w:rPr>
                <w:rFonts w:hint="eastAsia" w:cs="Arial" w:asciiTheme="minorEastAsia" w:hAnsiTheme="minorEastAsia" w:eastAsiaTheme="minorEastAsia"/>
                <w:szCs w:val="21"/>
              </w:rPr>
              <w:t>小时预防给药百分率等。应能按全院、大科室、科室、医疗组、医生分别提供合理用药相关指标的统计，并能将合理用药指标重新组合并生成新的报表。</w:t>
            </w:r>
            <w:r>
              <w:rPr>
                <w:rFonts w:hint="eastAsia" w:asciiTheme="minorEastAsia" w:hAnsiTheme="minorEastAsia" w:eastAsiaTheme="minorEastAsia" w:cstheme="majorBidi"/>
                <w:szCs w:val="21"/>
              </w:rPr>
              <w:t>应能实现抗菌药物使用强度、抗菌药物使用率、抗菌药物使用量、</w:t>
            </w:r>
            <w:r>
              <w:rPr>
                <w:rFonts w:asciiTheme="minorEastAsia" w:hAnsiTheme="minorEastAsia" w:eastAsiaTheme="minorEastAsia" w:cstheme="majorBidi"/>
                <w:szCs w:val="21"/>
              </w:rPr>
              <w:t>I</w:t>
            </w:r>
            <w:r>
              <w:rPr>
                <w:rFonts w:hint="eastAsia" w:asciiTheme="minorEastAsia" w:hAnsiTheme="minorEastAsia" w:eastAsiaTheme="minorEastAsia" w:cstheme="majorBidi"/>
                <w:szCs w:val="21"/>
              </w:rPr>
              <w:t>类切口手术预防用抗菌药物百分率、国家基本药物药占比同比、环比分析。</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自定义合理用药指标</w:t>
            </w:r>
          </w:p>
          <w:p>
            <w:pPr>
              <w:spacing w:line="360" w:lineRule="auto"/>
              <w:ind w:firstLine="420" w:firstLineChars="200"/>
              <w:rPr>
                <w:rFonts w:ascii="宋体" w:hAnsi="宋体" w:cs="Arial" w:eastAsiaTheme="minorEastAsia"/>
                <w:bCs/>
                <w:szCs w:val="21"/>
              </w:rPr>
            </w:pPr>
            <w:r>
              <w:rPr>
                <w:rFonts w:hint="eastAsia" w:ascii="宋体" w:hAnsi="宋体" w:cs="Arial" w:eastAsiaTheme="minorEastAsia"/>
                <w:bCs/>
                <w:szCs w:val="21"/>
              </w:rPr>
              <w:t>▲系统应提供自定义合理用药指标功能，可自行设置指标分子、分母进行统计。自定义要素包含药品、治疗金额、药品金额、处方数、病人数、药品品种数、使用量DDDs、人天数、用药医嘱条目数。</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药品使用强度统计</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药品金额、数量、</w:t>
            </w:r>
            <w:r>
              <w:rPr>
                <w:rFonts w:ascii="宋体" w:hAnsi="宋体" w:cs="Arial" w:eastAsiaTheme="minorEastAsia"/>
                <w:bCs/>
                <w:szCs w:val="21"/>
              </w:rPr>
              <w:t>DDDs统计</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药品使用人次统计</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注射剂</w:t>
            </w:r>
            <w:r>
              <w:rPr>
                <w:rFonts w:ascii="宋体" w:hAnsi="宋体" w:cs="Arial" w:eastAsiaTheme="minorEastAsia"/>
                <w:bCs/>
                <w:szCs w:val="21"/>
              </w:rPr>
              <w:t>/大容量注射液统计</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药品品种</w:t>
            </w:r>
            <w:r>
              <w:rPr>
                <w:rFonts w:ascii="宋体" w:hAnsi="宋体" w:cs="Arial" w:eastAsiaTheme="minorEastAsia"/>
                <w:bCs/>
                <w:szCs w:val="21"/>
              </w:rPr>
              <w:t>/费用构成统计</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门（急）诊大处方分析</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抗菌药物使用清单及统计</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基本药物使用清单及统计</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麻精药品管理处方登记表</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▲国家三级公立医院绩效考核</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▲国家组织药品集中采购和使用监测</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▲全国抗菌药物临床应用管理</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▲国家卫生计生委抗菌药物临床应用管理数据上报</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▲全国合理用药监测系统</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▲抗肿瘤药物临床应用情况调查表</w:t>
            </w:r>
          </w:p>
          <w:p>
            <w:pPr>
              <w:keepNext/>
              <w:keepLines/>
              <w:numPr>
                <w:ilvl w:val="0"/>
                <w:numId w:val="16"/>
              </w:numPr>
              <w:spacing w:line="360" w:lineRule="auto"/>
              <w:jc w:val="left"/>
              <w:outlineLvl w:val="3"/>
              <w:rPr>
                <w:rFonts w:ascii="宋体" w:hAnsi="宋体" w:cs="Arial" w:eastAsiaTheme="minorEastAsia"/>
                <w:bCs/>
                <w:szCs w:val="21"/>
              </w:rPr>
            </w:pPr>
            <w:r>
              <w:rPr>
                <w:rFonts w:hint="eastAsia" w:ascii="宋体" w:hAnsi="宋体" w:cs="Arial" w:eastAsiaTheme="minorEastAsia"/>
                <w:bCs/>
                <w:szCs w:val="21"/>
              </w:rPr>
              <w:t>省、市报表中心</w:t>
            </w:r>
          </w:p>
          <w:p>
            <w:pPr>
              <w:keepNext/>
              <w:keepLines/>
              <w:numPr>
                <w:ilvl w:val="0"/>
                <w:numId w:val="17"/>
              </w:numPr>
              <w:spacing w:line="360" w:lineRule="auto"/>
              <w:jc w:val="left"/>
              <w:outlineLvl w:val="4"/>
              <w:rPr>
                <w:rFonts w:ascii="宋体" w:hAnsi="宋体" w:cs="Arial" w:eastAsiaTheme="minorEastAsia"/>
                <w:bCs/>
                <w:szCs w:val="21"/>
              </w:rPr>
            </w:pPr>
            <w:r>
              <w:rPr>
                <w:rFonts w:hint="eastAsia" w:ascii="宋体" w:hAnsi="宋体" w:cs="Arial" w:eastAsiaTheme="minorEastAsia"/>
                <w:bCs/>
                <w:szCs w:val="21"/>
              </w:rPr>
              <w:t>广东省医疗机构阳光用药信息上报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14"/>
              </w:numPr>
              <w:spacing w:line="360" w:lineRule="auto"/>
              <w:ind w:left="562"/>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ascii="宋体" w:hAnsi="宋体" w:eastAsiaTheme="minorEastAsia" w:cstheme="minorBidi"/>
                <w:szCs w:val="21"/>
              </w:rPr>
              <w:t>预警公示</w:t>
            </w:r>
          </w:p>
        </w:tc>
        <w:tc>
          <w:tcPr>
            <w:tcW w:w="6287" w:type="dxa"/>
            <w:vAlign w:val="center"/>
          </w:tcPr>
          <w:p>
            <w:pPr>
              <w:numPr>
                <w:ilvl w:val="0"/>
                <w:numId w:val="9"/>
              </w:numPr>
              <w:spacing w:line="360" w:lineRule="auto"/>
              <w:rPr>
                <w:rFonts w:ascii="宋体" w:hAnsi="宋体" w:cs="Arial" w:eastAsiaTheme="minorEastAsia"/>
                <w:bCs/>
                <w:szCs w:val="21"/>
              </w:rPr>
            </w:pPr>
            <w:r>
              <w:rPr>
                <w:rFonts w:hint="eastAsia" w:ascii="宋体" w:hAnsi="宋体" w:cs="Arial" w:eastAsiaTheme="minorEastAsia"/>
                <w:bCs/>
                <w:szCs w:val="21"/>
              </w:rPr>
              <w:t>系统应能通过设置全院</w:t>
            </w:r>
            <w:r>
              <w:rPr>
                <w:rFonts w:ascii="宋体" w:hAnsi="宋体" w:cs="Arial" w:eastAsiaTheme="minorEastAsia"/>
                <w:bCs/>
                <w:szCs w:val="21"/>
              </w:rPr>
              <w:t>/科室/医生指标上（下）限、药品数量上限实现合理用药指标、自定义合理用药指标及药品数量的智能预警，用户可根据自身需要</w:t>
            </w:r>
            <w:r>
              <w:rPr>
                <w:rFonts w:hint="eastAsia" w:ascii="宋体" w:hAnsi="宋体" w:cs="Arial" w:eastAsiaTheme="minorEastAsia"/>
                <w:bCs/>
                <w:szCs w:val="21"/>
              </w:rPr>
              <w:t>选择仅统计、（医生工作站）提醒、医生端自查指标等预警方式。</w:t>
            </w:r>
          </w:p>
          <w:p>
            <w:pPr>
              <w:numPr>
                <w:ilvl w:val="0"/>
                <w:numId w:val="9"/>
              </w:numPr>
              <w:spacing w:line="360" w:lineRule="auto"/>
              <w:rPr>
                <w:rFonts w:ascii="宋体" w:hAnsi="宋体" w:cs="Arial" w:eastAsiaTheme="minorEastAsia"/>
                <w:bCs/>
                <w:szCs w:val="21"/>
              </w:rPr>
            </w:pPr>
            <w:r>
              <w:rPr>
                <w:rFonts w:hint="eastAsia" w:ascii="宋体" w:hAnsi="宋体" w:cs="Arial" w:eastAsiaTheme="minorEastAsia"/>
                <w:bCs/>
                <w:szCs w:val="21"/>
              </w:rPr>
              <w:t>系统应提供处方点评结果、药品消耗情况、合理用药指标公示功能，允许药师仅发送超标值或人工编辑发送内容。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14"/>
              </w:numPr>
              <w:spacing w:line="360" w:lineRule="auto"/>
              <w:ind w:left="562"/>
              <w:rPr>
                <w:rFonts w:ascii="宋体" w:hAnsi="宋体" w:eastAsiaTheme="minorEastAsia" w:cstheme="minorBidi"/>
                <w:szCs w:val="21"/>
              </w:rPr>
            </w:pPr>
          </w:p>
        </w:tc>
        <w:tc>
          <w:tcPr>
            <w:tcW w:w="1276" w:type="dxa"/>
            <w:vAlign w:val="center"/>
          </w:tcPr>
          <w:p>
            <w:pPr>
              <w:spacing w:line="360" w:lineRule="auto"/>
              <w:rPr>
                <w:rFonts w:ascii="宋体" w:hAnsi="宋体" w:eastAsiaTheme="minorEastAsia" w:cstheme="minorBidi"/>
                <w:szCs w:val="21"/>
              </w:rPr>
            </w:pPr>
            <w:r>
              <w:rPr>
                <w:rFonts w:ascii="宋体" w:hAnsi="宋体" w:eastAsiaTheme="minorEastAsia" w:cstheme="minorBidi"/>
                <w:szCs w:val="21"/>
              </w:rPr>
              <w:t>其它</w:t>
            </w:r>
          </w:p>
        </w:tc>
        <w:tc>
          <w:tcPr>
            <w:tcW w:w="6287" w:type="dxa"/>
            <w:vAlign w:val="center"/>
          </w:tcPr>
          <w:p>
            <w:pPr>
              <w:numPr>
                <w:ilvl w:val="0"/>
                <w:numId w:val="18"/>
              </w:numPr>
              <w:spacing w:line="360" w:lineRule="auto"/>
              <w:rPr>
                <w:rFonts w:ascii="宋体" w:hAnsi="宋体" w:cs="Arial" w:eastAsiaTheme="minorEastAsia"/>
                <w:bCs/>
                <w:szCs w:val="21"/>
              </w:rPr>
            </w:pPr>
            <w:r>
              <w:rPr>
                <w:rFonts w:hint="eastAsia" w:ascii="宋体" w:hAnsi="宋体" w:cs="Arial" w:eastAsiaTheme="minorEastAsia"/>
                <w:bCs/>
                <w:szCs w:val="21"/>
              </w:rPr>
              <w:t>自维护功能</w:t>
            </w:r>
          </w:p>
          <w:p>
            <w:pPr>
              <w:spacing w:line="360" w:lineRule="auto"/>
              <w:ind w:firstLine="420" w:firstLineChars="200"/>
              <w:rPr>
                <w:rFonts w:ascii="宋体" w:hAnsi="宋体" w:cs="Arial" w:eastAsiaTheme="minorEastAsia"/>
                <w:bCs/>
                <w:szCs w:val="21"/>
              </w:rPr>
            </w:pPr>
            <w:r>
              <w:rPr>
                <w:rFonts w:ascii="宋体" w:hAnsi="宋体" w:cs="Arial" w:eastAsiaTheme="minorEastAsia"/>
                <w:bCs/>
                <w:szCs w:val="21"/>
              </w:rPr>
              <w:t>▲</w:t>
            </w:r>
            <w:r>
              <w:rPr>
                <w:rFonts w:hint="eastAsia" w:ascii="宋体" w:hAnsi="宋体" w:cs="Arial" w:eastAsiaTheme="minorEastAsia"/>
                <w:bCs/>
                <w:szCs w:val="21"/>
              </w:rPr>
              <w:t>系统应对医院药品属性、</w:t>
            </w:r>
            <w:r>
              <w:rPr>
                <w:rFonts w:hint="eastAsia" w:ascii="宋体" w:hAnsi="宋体" w:eastAsiaTheme="minorEastAsia" w:cstheme="minorBidi"/>
                <w:szCs w:val="21"/>
              </w:rPr>
              <w:t>给药途径、给药频次、感染疾病类型、检验申请/结果/收费项目类型、手术分类、科室类型、医生抗菌药物权限、围术期用药</w:t>
            </w:r>
            <w:r>
              <w:rPr>
                <w:rFonts w:ascii="宋体" w:hAnsi="宋体" w:cs="Arial" w:eastAsiaTheme="minorEastAsia"/>
                <w:bCs/>
                <w:szCs w:val="21"/>
              </w:rPr>
              <w:t>等基础数据进行程序自动维护。</w:t>
            </w:r>
          </w:p>
          <w:p>
            <w:pPr>
              <w:numPr>
                <w:ilvl w:val="0"/>
                <w:numId w:val="18"/>
              </w:numPr>
              <w:spacing w:line="360" w:lineRule="auto"/>
              <w:rPr>
                <w:rFonts w:ascii="宋体" w:hAnsi="宋体" w:cs="Arial" w:eastAsiaTheme="minorEastAsia"/>
                <w:bCs/>
                <w:szCs w:val="21"/>
              </w:rPr>
            </w:pPr>
            <w:r>
              <w:rPr>
                <w:rFonts w:hint="eastAsia" w:ascii="宋体" w:hAnsi="宋体" w:cs="Arial" w:eastAsiaTheme="minorEastAsia"/>
                <w:bCs/>
                <w:szCs w:val="21"/>
              </w:rPr>
              <w:t>权限管理</w:t>
            </w:r>
          </w:p>
          <w:p>
            <w:pPr>
              <w:keepNext/>
              <w:keepLines/>
              <w:numPr>
                <w:ilvl w:val="0"/>
                <w:numId w:val="19"/>
              </w:numPr>
              <w:spacing w:line="360" w:lineRule="auto"/>
              <w:jc w:val="left"/>
              <w:outlineLvl w:val="4"/>
              <w:rPr>
                <w:rFonts w:ascii="宋体" w:hAnsi="宋体" w:cs="Arial" w:eastAsiaTheme="minorEastAsia"/>
                <w:bCs/>
                <w:szCs w:val="21"/>
              </w:rPr>
            </w:pPr>
            <w:r>
              <w:rPr>
                <w:rFonts w:hint="eastAsia" w:ascii="宋体" w:hAnsi="宋体" w:cs="Arial" w:eastAsiaTheme="minorEastAsia"/>
                <w:bCs/>
                <w:szCs w:val="21"/>
              </w:rPr>
              <w:t>系统应对各项功能设置严格的权限管理，包括处方点评权限、报表的统计权限、打印</w:t>
            </w:r>
            <w:r>
              <w:rPr>
                <w:rFonts w:ascii="宋体" w:hAnsi="宋体" w:cs="Arial" w:eastAsiaTheme="minorEastAsia"/>
                <w:bCs/>
                <w:szCs w:val="21"/>
              </w:rPr>
              <w:t>/导出权限等。</w:t>
            </w:r>
          </w:p>
          <w:p>
            <w:pPr>
              <w:keepNext/>
              <w:keepLines/>
              <w:numPr>
                <w:ilvl w:val="0"/>
                <w:numId w:val="19"/>
              </w:numPr>
              <w:spacing w:line="360" w:lineRule="auto"/>
              <w:jc w:val="left"/>
              <w:outlineLvl w:val="4"/>
              <w:rPr>
                <w:rFonts w:ascii="宋体" w:hAnsi="宋体" w:cs="Arial" w:eastAsiaTheme="minorEastAsia"/>
                <w:bCs/>
                <w:szCs w:val="21"/>
              </w:rPr>
            </w:pPr>
            <w:r>
              <w:rPr>
                <w:rFonts w:ascii="宋体" w:hAnsi="宋体" w:cs="Arial" w:eastAsiaTheme="minorEastAsia"/>
                <w:bCs/>
                <w:szCs w:val="21"/>
              </w:rPr>
              <w:t>▲</w:t>
            </w:r>
            <w:r>
              <w:rPr>
                <w:rFonts w:hint="eastAsia" w:ascii="宋体" w:hAnsi="宋体" w:cs="Arial" w:eastAsiaTheme="minorEastAsia"/>
                <w:bCs/>
                <w:szCs w:val="21"/>
              </w:rPr>
              <w:t>系统应提供用户操作日志、版本更新内容查询功能。</w:t>
            </w:r>
          </w:p>
        </w:tc>
      </w:tr>
    </w:tbl>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881"/>
        <w:gridCol w:w="425"/>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7" w:hRule="atLeast"/>
        </w:trPr>
        <w:tc>
          <w:tcPr>
            <w:tcW w:w="8472" w:type="dxa"/>
            <w:gridSpan w:val="4"/>
            <w:vAlign w:val="center"/>
          </w:tcPr>
          <w:p>
            <w:pPr>
              <w:adjustRightInd w:val="0"/>
              <w:snapToGrid w:val="0"/>
              <w:spacing w:line="360" w:lineRule="auto"/>
              <w:jc w:val="left"/>
              <w:rPr>
                <w:rFonts w:ascii="宋体" w:hAnsi="宋体" w:cs="宋体"/>
                <w:b/>
                <w:szCs w:val="21"/>
              </w:rPr>
            </w:pPr>
            <w:r>
              <w:rPr>
                <w:rFonts w:hint="eastAsia" w:ascii="宋体" w:hAnsi="宋体" w:cs="宋体"/>
                <w:b/>
                <w:szCs w:val="21"/>
              </w:rPr>
              <w:t>药物信息查询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ascii="宋体" w:hAnsi="宋体" w:cs="Arial"/>
                <w:sz w:val="24"/>
                <w:szCs w:val="28"/>
              </w:rPr>
              <w:t>▲</w:t>
            </w:r>
            <w:r>
              <w:rPr>
                <w:rFonts w:hint="eastAsia" w:ascii="宋体" w:hAnsi="宋体" w:cs="宋体"/>
                <w:bCs/>
                <w:szCs w:val="21"/>
              </w:rPr>
              <w:t>药物信息参考</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1"/>
              </w:numPr>
              <w:tabs>
                <w:tab w:val="left" w:pos="0"/>
              </w:tabs>
              <w:spacing w:line="360" w:lineRule="auto"/>
              <w:rPr>
                <w:rFonts w:ascii="宋体" w:hAnsi="宋体" w:cs="宋体"/>
                <w:bCs/>
                <w:szCs w:val="21"/>
              </w:rPr>
            </w:pPr>
            <w:r>
              <w:rPr>
                <w:rFonts w:hint="eastAsia" w:ascii="宋体" w:hAnsi="宋体" w:cs="宋体"/>
                <w:bCs/>
                <w:szCs w:val="21"/>
              </w:rPr>
              <w:t>、“系统”应提供国内外上市药品的详细临床用药信息，内容包括药物的各种名称、临床应用、用法与用量、注意事项、不良反应、药物相互作用、给药说明、药理、制剂与规格等信息。</w:t>
            </w:r>
          </w:p>
          <w:p>
            <w:pPr>
              <w:numPr>
                <w:ilvl w:val="0"/>
                <w:numId w:val="21"/>
              </w:numPr>
              <w:tabs>
                <w:tab w:val="left" w:pos="709"/>
              </w:tabs>
              <w:spacing w:line="360" w:lineRule="auto"/>
              <w:rPr>
                <w:rFonts w:ascii="宋体" w:hAnsi="宋体" w:cs="宋体"/>
                <w:bCs/>
                <w:szCs w:val="21"/>
              </w:rPr>
            </w:pPr>
            <w:r>
              <w:rPr>
                <w:rFonts w:hint="eastAsia" w:ascii="宋体" w:hAnsi="宋体" w:cs="宋体"/>
                <w:bCs/>
                <w:szCs w:val="21"/>
              </w:rPr>
              <w:t>、应可查看特殊人群（老人、儿童、妊娠期妇女、哺乳期妇女）及特殊疾病状态（如肝功能不全、肾功能不全、心力衰竭等）患者用药的注意事项。</w:t>
            </w:r>
          </w:p>
          <w:p>
            <w:pPr>
              <w:numPr>
                <w:ilvl w:val="0"/>
                <w:numId w:val="21"/>
              </w:numPr>
              <w:tabs>
                <w:tab w:val="left" w:pos="709"/>
              </w:tabs>
              <w:spacing w:line="360" w:lineRule="auto"/>
              <w:rPr>
                <w:rFonts w:ascii="宋体" w:hAnsi="宋体" w:cs="宋体"/>
                <w:bCs/>
                <w:szCs w:val="21"/>
              </w:rPr>
            </w:pPr>
            <w:r>
              <w:rPr>
                <w:rFonts w:hint="eastAsia" w:ascii="宋体" w:hAnsi="宋体" w:cs="宋体"/>
                <w:bCs/>
                <w:szCs w:val="21"/>
              </w:rPr>
              <w:t xml:space="preserve">、应提供与药物临床应用密切相关的信息如不良反应处理方法、药物对检验值或诊断的影响等。 </w:t>
            </w:r>
          </w:p>
          <w:p>
            <w:pPr>
              <w:numPr>
                <w:ilvl w:val="0"/>
                <w:numId w:val="21"/>
              </w:numPr>
              <w:tabs>
                <w:tab w:val="left" w:pos="709"/>
              </w:tabs>
              <w:spacing w:line="360" w:lineRule="auto"/>
              <w:rPr>
                <w:rFonts w:ascii="宋体" w:hAnsi="宋体" w:cs="宋体"/>
                <w:bCs/>
                <w:szCs w:val="21"/>
              </w:rPr>
            </w:pPr>
            <w:r>
              <w:rPr>
                <w:rFonts w:hint="eastAsia" w:ascii="宋体" w:hAnsi="宋体" w:cs="宋体"/>
                <w:bCs/>
                <w:szCs w:val="21"/>
              </w:rPr>
              <w:t>、应提供高警讯药物、比尔斯标准、国外专科信息供临床参考。</w:t>
            </w:r>
          </w:p>
          <w:p>
            <w:pPr>
              <w:numPr>
                <w:ilvl w:val="0"/>
                <w:numId w:val="21"/>
              </w:numPr>
              <w:adjustRightInd w:val="0"/>
              <w:snapToGrid w:val="0"/>
              <w:spacing w:line="360" w:lineRule="auto"/>
              <w:rPr>
                <w:rFonts w:ascii="宋体" w:hAnsi="宋体" w:cs="宋体"/>
                <w:bCs/>
                <w:szCs w:val="21"/>
              </w:rPr>
            </w:pPr>
            <w:r>
              <w:rPr>
                <w:rFonts w:hint="eastAsia" w:ascii="宋体" w:hAnsi="宋体" w:cs="宋体"/>
                <w:bCs/>
                <w:szCs w:val="21"/>
              </w:rPr>
              <w:t>所有信息均应提供参考文献。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药品说明书</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“系统”应提供国家药品监督管理局（NMPA）批准的厂家药品说明书，应可查看NMPA发布的说明书修订通知。还应提供高级检索的功能。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▲妊娠哺乳</w:t>
            </w:r>
          </w:p>
          <w:p>
            <w:pPr>
              <w:adjustRightInd w:val="0"/>
              <w:snapToGrid w:val="0"/>
              <w:spacing w:line="360" w:lineRule="auto"/>
              <w:jc w:val="center"/>
              <w:rPr>
                <w:rFonts w:ascii="宋体" w:hAnsi="宋体" w:cs="宋体"/>
                <w:bCs/>
                <w:szCs w:val="21"/>
              </w:rPr>
            </w:pPr>
            <w:r>
              <w:rPr>
                <w:rFonts w:hint="eastAsia" w:ascii="宋体" w:hAnsi="宋体" w:cs="宋体"/>
                <w:bCs/>
                <w:szCs w:val="21"/>
              </w:rPr>
              <w:t>用药</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基于循证医学原则评价国内外药品说明书、专业数据库、专著、研究文献，对妊娠期和哺乳期药物暴露风险进行评估，提出用药建议。提供药代动力学、文献报道等供临床参考。所有信息均应提供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用药教育</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09"/>
              </w:tabs>
              <w:spacing w:line="360" w:lineRule="auto"/>
              <w:rPr>
                <w:rFonts w:ascii="宋体" w:hAnsi="宋体" w:cs="宋体"/>
                <w:bCs/>
                <w:szCs w:val="21"/>
              </w:rPr>
            </w:pPr>
            <w:r>
              <w:rPr>
                <w:rFonts w:hint="eastAsia" w:ascii="宋体" w:hAnsi="宋体" w:cs="宋体"/>
                <w:bCs/>
                <w:szCs w:val="21"/>
              </w:rPr>
              <w:t>“系统”应为专业人员提供便于辅导病人用药的信息，以通俗易懂的语言，借助图片等形式描述药品的用途、副作用、用药期间注意事项、特殊给药方式图示等信息。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w:t>
            </w:r>
            <w:r>
              <w:rPr>
                <w:rFonts w:ascii="宋体" w:hAnsi="宋体" w:cs="宋体"/>
                <w:bCs/>
                <w:szCs w:val="21"/>
              </w:rPr>
              <w:t>临床指南</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2"/>
              </w:numPr>
              <w:adjustRightInd w:val="0"/>
              <w:snapToGrid w:val="0"/>
              <w:spacing w:line="360" w:lineRule="auto"/>
              <w:rPr>
                <w:rFonts w:ascii="宋体" w:hAnsi="宋体" w:cs="宋体"/>
                <w:bCs/>
                <w:szCs w:val="21"/>
              </w:rPr>
            </w:pPr>
            <w:r>
              <w:rPr>
                <w:rFonts w:hint="eastAsia" w:ascii="宋体" w:hAnsi="宋体" w:cs="宋体"/>
                <w:bCs/>
                <w:szCs w:val="21"/>
              </w:rPr>
              <w:t xml:space="preserve"> “系统”应提供国内外的卫生监管机构发布的诊疗指南，应涵盖疾病诊断、治疗、预防、护理等方面的指南、规范、共识、解读等。</w:t>
            </w:r>
          </w:p>
          <w:p>
            <w:pPr>
              <w:numPr>
                <w:ilvl w:val="0"/>
                <w:numId w:val="22"/>
              </w:numPr>
              <w:adjustRightInd w:val="0"/>
              <w:snapToGrid w:val="0"/>
              <w:spacing w:line="360" w:lineRule="auto"/>
              <w:rPr>
                <w:rFonts w:ascii="宋体" w:hAnsi="宋体" w:cs="宋体"/>
                <w:bCs/>
                <w:szCs w:val="21"/>
              </w:rPr>
            </w:pPr>
            <w:r>
              <w:rPr>
                <w:rFonts w:hint="eastAsia" w:ascii="宋体" w:hAnsi="宋体" w:cs="宋体"/>
                <w:bCs/>
                <w:szCs w:val="21"/>
              </w:rPr>
              <w:t>英文指南应提供中文翻译。</w:t>
            </w:r>
          </w:p>
          <w:p>
            <w:pPr>
              <w:numPr>
                <w:ilvl w:val="0"/>
                <w:numId w:val="22"/>
              </w:numPr>
              <w:adjustRightInd w:val="0"/>
              <w:snapToGrid w:val="0"/>
              <w:spacing w:line="360" w:lineRule="auto"/>
              <w:rPr>
                <w:rFonts w:ascii="宋体" w:hAnsi="宋体" w:cs="宋体"/>
                <w:bCs/>
                <w:szCs w:val="21"/>
              </w:rPr>
            </w:pPr>
            <w:r>
              <w:rPr>
                <w:rFonts w:hint="eastAsia" w:ascii="宋体" w:hAnsi="宋体" w:cs="宋体"/>
                <w:bCs/>
                <w:szCs w:val="21"/>
              </w:rPr>
              <w:t>应提供如《抗菌药物临床应用指导原则》、《中成药临床应用指导原则》等用药指导原则。</w:t>
            </w:r>
          </w:p>
          <w:p>
            <w:pPr>
              <w:numPr>
                <w:ilvl w:val="0"/>
                <w:numId w:val="22"/>
              </w:numPr>
              <w:adjustRightInd w:val="0"/>
              <w:snapToGrid w:val="0"/>
              <w:spacing w:line="360" w:lineRule="auto"/>
              <w:rPr>
                <w:rFonts w:ascii="宋体" w:hAnsi="宋体" w:cs="宋体"/>
                <w:bCs/>
                <w:szCs w:val="21"/>
              </w:rPr>
            </w:pPr>
            <w:r>
              <w:rPr>
                <w:rFonts w:hint="eastAsia" w:ascii="宋体" w:hAnsi="宋体" w:cs="宋体"/>
                <w:bCs/>
                <w:szCs w:val="21"/>
              </w:rPr>
              <w:t>应具有筛选中英文指南和发布时间的功能。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ascii="宋体" w:hAnsi="宋体" w:cs="宋体"/>
                <w:bCs/>
                <w:szCs w:val="21"/>
              </w:rPr>
              <w:t>ICD</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“系统”应提供ICD10、ICD-9-CM-3、肿瘤形态学编码、ICD-11和国家医疗保障DRG分组的查询功能。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DDD值</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“系统”应提供国内外权威机构发布的药物DDD值，应可查看药物对应的上市药品信息。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检验值</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“系统”应提供常用检验项目信息，应包含检验项目正常参考值范围、结果及临床意义、药物对检验结果的影响等内容。可按检验类别查询，也可按检验名称查询检验值信息。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药品基本信息</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提供国家药品监督管理局（NMPA）批准上市药品的信息，包括药品的通用名、商品名、剂型、规格、批准文号/药品编码、生产厂家，并标注基本药物、社保品种、OTC药物、兴奋药品、精神类药品、麻醉类药品。可查询药品生产企业获批生产的药品信息，并可查看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临床路径</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“系统”应提供国家卫健委发布的临床路径及临床路径释义原文，应覆盖临床常见疾病品种。可按临床科室分类浏览，也可按疾病关键词检索临床路径。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医药公式</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“系统”应提供常用医药公式、评分、分级标准量表等，内容涵盖了内科、外科、妇产科、儿科、神经科等，公式应提供计算功能。可按临床科室分类浏览，也可按公式名称检索。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医药时讯</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“系统”应提供国内外政府网站和医药学专业数据库、核心期刊发布的最新药物研究成果、药物警戒信息、新药研发和上市资讯等内容。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医药法规</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收录国家药品监督管理局、国家卫生健康委员会等权威机构发布的关于药品管理、传染病防治、医疗事故管理、医疗机构管理等方面的法律法规文件。应支持关键词检索，可通过发布部门、效力级别分类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国家基本药物</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“系统”应提供最新版《国家基本药物目录》中的信息，包括目录中的化学药品、生物制品以及中成药品种。▲应可查看国家基本药物目录对应的上市药品品种的信息（包括生产厂家、批准文号等）。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FDA妊娠用药安全性分级</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“系统”应提供美国食品药品监督管理局（FDA）根据药物对动物和妊娠期妇女致畸危险而作的妊娠期用药安全性分级，可通过药理分类或药名检索的方式实现，查询范围为临床各科室常用药物。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▲中医药</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3"/>
              </w:numPr>
              <w:adjustRightInd w:val="0"/>
              <w:snapToGrid w:val="0"/>
              <w:spacing w:line="360" w:lineRule="auto"/>
              <w:ind w:hanging="245"/>
              <w:rPr>
                <w:rFonts w:ascii="宋体" w:hAnsi="宋体" w:cs="宋体"/>
                <w:bCs/>
                <w:szCs w:val="21"/>
              </w:rPr>
            </w:pPr>
            <w:r>
              <w:rPr>
                <w:rFonts w:hint="eastAsia" w:ascii="宋体" w:hAnsi="宋体" w:cs="宋体"/>
                <w:bCs/>
                <w:szCs w:val="21"/>
              </w:rPr>
              <w:t>“系统”应提供中药材、中医方剂、中医诊疗方案、中医临床路径、中医标准术语、中医病证分类与代码等中医药信息内容。</w:t>
            </w:r>
          </w:p>
          <w:p>
            <w:pPr>
              <w:numPr>
                <w:ilvl w:val="0"/>
                <w:numId w:val="23"/>
              </w:numPr>
              <w:adjustRightInd w:val="0"/>
              <w:snapToGrid w:val="0"/>
              <w:spacing w:line="360" w:lineRule="auto"/>
              <w:ind w:hanging="245"/>
              <w:rPr>
                <w:rFonts w:ascii="宋体" w:hAnsi="宋体" w:cs="宋体"/>
                <w:bCs/>
                <w:szCs w:val="21"/>
              </w:rPr>
            </w:pPr>
            <w:r>
              <w:rPr>
                <w:rFonts w:hint="eastAsia" w:ascii="宋体" w:hAnsi="宋体" w:cs="宋体"/>
                <w:bCs/>
                <w:szCs w:val="21"/>
              </w:rPr>
              <w:t>中药材：应包含《中华人民共和国药典》、《药典临床用药须知》、《中华本草》等专著中的品种信息，内容应侧重于中药材的基本属性和临床应用指导，应可查看中药材图片，应可便捷的查看毒性药材和妊娠期禁慎用药材。</w:t>
            </w:r>
          </w:p>
          <w:p>
            <w:pPr>
              <w:numPr>
                <w:ilvl w:val="0"/>
                <w:numId w:val="23"/>
              </w:numPr>
              <w:adjustRightInd w:val="0"/>
              <w:snapToGrid w:val="0"/>
              <w:spacing w:line="360" w:lineRule="auto"/>
              <w:ind w:hanging="245"/>
              <w:rPr>
                <w:rFonts w:ascii="宋体" w:hAnsi="宋体" w:cs="宋体"/>
                <w:bCs/>
                <w:szCs w:val="21"/>
              </w:rPr>
            </w:pPr>
            <w:r>
              <w:rPr>
                <w:rFonts w:hint="eastAsia" w:ascii="宋体" w:hAnsi="宋体" w:cs="宋体"/>
                <w:bCs/>
                <w:szCs w:val="21"/>
              </w:rPr>
              <w:t>中医方剂：应包括临床常用方、中医经典方等方剂，应可查看方剂相关的附方及中成药信息。</w:t>
            </w:r>
          </w:p>
          <w:p>
            <w:pPr>
              <w:numPr>
                <w:ilvl w:val="0"/>
                <w:numId w:val="23"/>
              </w:numPr>
              <w:adjustRightInd w:val="0"/>
              <w:snapToGrid w:val="0"/>
              <w:spacing w:line="360" w:lineRule="auto"/>
              <w:ind w:hanging="245"/>
              <w:rPr>
                <w:rFonts w:ascii="宋体" w:hAnsi="宋体" w:cs="宋体"/>
                <w:bCs/>
                <w:szCs w:val="21"/>
              </w:rPr>
            </w:pPr>
            <w:r>
              <w:rPr>
                <w:rFonts w:hint="eastAsia" w:ascii="宋体" w:hAnsi="宋体" w:cs="宋体"/>
                <w:bCs/>
                <w:szCs w:val="21"/>
              </w:rPr>
              <w:t>中医诊疗方案：应收录国家中医药管理局发布的《24个专业105个病种中医诊疗方案（合订本）》、《22个专业95个病种中医诊疗方案（合订本）》、《24个专业104个病种中医诊疗方案（合订本）》中的诊疗方案。</w:t>
            </w:r>
          </w:p>
          <w:p>
            <w:pPr>
              <w:numPr>
                <w:ilvl w:val="0"/>
                <w:numId w:val="23"/>
              </w:numPr>
              <w:adjustRightInd w:val="0"/>
              <w:snapToGrid w:val="0"/>
              <w:spacing w:line="360" w:lineRule="auto"/>
              <w:ind w:hanging="245"/>
              <w:rPr>
                <w:rFonts w:ascii="宋体" w:hAnsi="宋体" w:cs="宋体"/>
                <w:bCs/>
                <w:szCs w:val="21"/>
              </w:rPr>
            </w:pPr>
            <w:r>
              <w:rPr>
                <w:rFonts w:hint="eastAsia" w:ascii="宋体" w:hAnsi="宋体" w:cs="宋体"/>
                <w:bCs/>
                <w:szCs w:val="21"/>
              </w:rPr>
              <w:t>中医临床路径：应收录国家中医药管理局发布的《24个专业105个病种中医临床路径（合订本）》、《22个专业95个病种中医临床路径（合订本）》、《24个专业104个病种中医临床路径（合订本）》中的临床路径。</w:t>
            </w:r>
          </w:p>
          <w:p>
            <w:pPr>
              <w:numPr>
                <w:ilvl w:val="0"/>
                <w:numId w:val="23"/>
              </w:numPr>
              <w:adjustRightInd w:val="0"/>
              <w:snapToGrid w:val="0"/>
              <w:spacing w:line="360" w:lineRule="auto"/>
              <w:ind w:hanging="245"/>
              <w:rPr>
                <w:rFonts w:ascii="宋体" w:hAnsi="宋体" w:cs="宋体"/>
                <w:bCs/>
                <w:szCs w:val="21"/>
              </w:rPr>
            </w:pPr>
            <w:r>
              <w:rPr>
                <w:rFonts w:hint="eastAsia" w:ascii="宋体" w:hAnsi="宋体" w:cs="宋体"/>
                <w:bCs/>
                <w:szCs w:val="21"/>
              </w:rPr>
              <w:t>中医标准术语：应收录国家中医药管理局发布的《中华人民共和国医药行业标准——中医病证诊断疗效标准》、《中华人民共和国国家标准——中医基础理论术语》、《中华人民共和国国家标准——中医临床诊疗术语疾病部分》、《中华人民共和国国家标准——中医临床诊疗术语症候部分》、《中华人民共和国国家标准——中医临床诊疗术语治法部分》、《中华人民共和国国家标准——中医基础理论术语》。</w:t>
            </w:r>
          </w:p>
          <w:p>
            <w:pPr>
              <w:numPr>
                <w:ilvl w:val="0"/>
                <w:numId w:val="23"/>
              </w:numPr>
              <w:adjustRightInd w:val="0"/>
              <w:snapToGrid w:val="0"/>
              <w:spacing w:line="360" w:lineRule="auto"/>
              <w:ind w:hanging="245"/>
              <w:rPr>
                <w:rFonts w:ascii="宋体" w:hAnsi="宋体" w:cs="宋体"/>
                <w:bCs/>
                <w:szCs w:val="21"/>
              </w:rPr>
            </w:pPr>
            <w:r>
              <w:rPr>
                <w:rFonts w:hint="eastAsia" w:ascii="宋体" w:hAnsi="宋体" w:cs="宋体"/>
                <w:bCs/>
                <w:szCs w:val="21"/>
              </w:rPr>
              <w:t>中医病症分类与代码：应收录国家中医药管理局发布《中华人民共和国国家标准——中医病证分类与代码》。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▲FDA药品说明书</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 xml:space="preserve"> “系统”应提供美国食品药品监督管理局(FDA)发布的英文原文药品说明书，英文说明书应提供中文翻译，并可便捷的查看对应的中文药品说明书。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药物相互作用审查</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4"/>
              </w:numPr>
              <w:adjustRightInd w:val="0"/>
              <w:snapToGrid w:val="0"/>
              <w:spacing w:line="360" w:lineRule="auto"/>
              <w:rPr>
                <w:rFonts w:ascii="宋体" w:hAnsi="宋体" w:cs="宋体"/>
                <w:bCs/>
                <w:szCs w:val="21"/>
              </w:rPr>
            </w:pPr>
            <w:r>
              <w:rPr>
                <w:rFonts w:hint="eastAsia" w:ascii="宋体" w:hAnsi="宋体" w:cs="宋体"/>
                <w:bCs/>
                <w:szCs w:val="21"/>
              </w:rPr>
              <w:t>“系统”应提供药物-药物、药物-食物、▲药物-咖啡因、药物-酒精、药物-保健品、保健品-保健品之间的相互作用信息，应提供西药和西药、中药和中药、中药和西药的相互作用信息。</w:t>
            </w:r>
          </w:p>
          <w:p>
            <w:pPr>
              <w:numPr>
                <w:ilvl w:val="0"/>
                <w:numId w:val="24"/>
              </w:numPr>
              <w:adjustRightInd w:val="0"/>
              <w:snapToGrid w:val="0"/>
              <w:spacing w:line="360" w:lineRule="auto"/>
              <w:rPr>
                <w:rFonts w:ascii="宋体" w:hAnsi="宋体" w:cs="宋体"/>
                <w:bCs/>
                <w:szCs w:val="21"/>
              </w:rPr>
            </w:pPr>
            <w:r>
              <w:rPr>
                <w:rFonts w:hint="eastAsia" w:ascii="宋体" w:hAnsi="宋体" w:cs="宋体"/>
                <w:bCs/>
                <w:szCs w:val="21"/>
              </w:rPr>
              <w:t>▲内容应包括药物相互作用的结果、机制、临床处理、严重级别、案例评价及讨论等内容。</w:t>
            </w:r>
          </w:p>
          <w:p>
            <w:pPr>
              <w:numPr>
                <w:ilvl w:val="0"/>
                <w:numId w:val="24"/>
              </w:numPr>
              <w:adjustRightInd w:val="0"/>
              <w:snapToGrid w:val="0"/>
              <w:spacing w:line="360" w:lineRule="auto"/>
              <w:rPr>
                <w:rFonts w:ascii="宋体" w:hAnsi="宋体" w:cs="宋体"/>
                <w:bCs/>
                <w:szCs w:val="21"/>
              </w:rPr>
            </w:pPr>
            <w:r>
              <w:rPr>
                <w:rFonts w:hint="eastAsia" w:ascii="宋体" w:hAnsi="宋体" w:cs="宋体"/>
                <w:bCs/>
                <w:szCs w:val="21"/>
              </w:rPr>
              <w:t>▲应可实现单药相互作用分析及对药相互作用审查。</w:t>
            </w:r>
          </w:p>
          <w:p>
            <w:pPr>
              <w:numPr>
                <w:ilvl w:val="0"/>
                <w:numId w:val="24"/>
              </w:numPr>
              <w:adjustRightInd w:val="0"/>
              <w:snapToGrid w:val="0"/>
              <w:spacing w:line="360" w:lineRule="auto"/>
              <w:rPr>
                <w:rFonts w:ascii="宋体" w:hAnsi="宋体" w:cs="宋体"/>
                <w:bCs/>
                <w:szCs w:val="21"/>
              </w:rPr>
            </w:pPr>
            <w:r>
              <w:rPr>
                <w:rFonts w:hint="eastAsia" w:ascii="宋体" w:hAnsi="宋体" w:cs="宋体"/>
                <w:bCs/>
                <w:szCs w:val="21"/>
              </w:rPr>
              <w:t>▲参考文献应包含国内外的期刊文献、数据库等。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注射剂配伍审查</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“系统”应提供注射药物配伍的信息，内容包括了注射药物配伍的物理化学变化及药效学变化、支持配伍结论的实验数据等。▲应可实现单药注射剂配伍分析及多药注射配伍进行审查。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0"/>
              </w:numPr>
              <w:adjustRightInd w:val="0"/>
              <w:snapToGrid w:val="0"/>
              <w:spacing w:line="360" w:lineRule="auto"/>
              <w:jc w:val="center"/>
              <w:rPr>
                <w:rFonts w:ascii="宋体" w:hAnsi="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其他功能</w:t>
            </w:r>
          </w:p>
        </w:tc>
        <w:tc>
          <w:tcPr>
            <w:tcW w:w="6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5"/>
              </w:numPr>
              <w:adjustRightInd w:val="0"/>
              <w:snapToGrid w:val="0"/>
              <w:spacing w:line="360" w:lineRule="auto"/>
              <w:rPr>
                <w:rFonts w:ascii="宋体" w:hAnsi="宋体" w:cs="宋体"/>
                <w:bCs/>
                <w:szCs w:val="21"/>
              </w:rPr>
            </w:pPr>
            <w:r>
              <w:rPr>
                <w:rFonts w:hint="eastAsia" w:ascii="宋体" w:hAnsi="宋体" w:cs="宋体"/>
                <w:bCs/>
                <w:szCs w:val="21"/>
              </w:rPr>
              <w:t>系统应支持分类浏览、关键词检索，可通过适应症、禁忌症、不良反应、全文检索等方式检索，支持名称及拼音简码检索，支持单数据库检索及多数据库检索。</w:t>
            </w:r>
          </w:p>
          <w:p>
            <w:pPr>
              <w:numPr>
                <w:ilvl w:val="0"/>
                <w:numId w:val="25"/>
              </w:numPr>
              <w:adjustRightInd w:val="0"/>
              <w:snapToGrid w:val="0"/>
              <w:spacing w:line="360" w:lineRule="auto"/>
              <w:rPr>
                <w:rFonts w:ascii="宋体" w:hAnsi="宋体" w:cs="宋体"/>
                <w:bCs/>
                <w:szCs w:val="21"/>
              </w:rPr>
            </w:pPr>
            <w:r>
              <w:rPr>
                <w:rFonts w:hint="eastAsia" w:ascii="宋体" w:hAnsi="宋体" w:cs="宋体"/>
                <w:bCs/>
                <w:szCs w:val="21"/>
              </w:rPr>
              <w:t>系统应支持对药物信息进行比较。</w:t>
            </w:r>
          </w:p>
          <w:p>
            <w:pPr>
              <w:numPr>
                <w:ilvl w:val="0"/>
                <w:numId w:val="25"/>
              </w:numPr>
              <w:adjustRightInd w:val="0"/>
              <w:snapToGrid w:val="0"/>
              <w:spacing w:line="360" w:lineRule="auto"/>
              <w:rPr>
                <w:rFonts w:ascii="宋体" w:hAnsi="宋体" w:cs="宋体"/>
                <w:bCs/>
                <w:szCs w:val="21"/>
              </w:rPr>
            </w:pPr>
            <w:r>
              <w:rPr>
                <w:rFonts w:hint="eastAsia" w:ascii="宋体" w:hAnsi="宋体" w:cs="宋体"/>
                <w:bCs/>
                <w:szCs w:val="21"/>
              </w:rPr>
              <w:t>系统应支持数据库之间相互关联和快速跳转。</w:t>
            </w:r>
          </w:p>
          <w:p>
            <w:pPr>
              <w:numPr>
                <w:ilvl w:val="0"/>
                <w:numId w:val="25"/>
              </w:numPr>
              <w:adjustRightInd w:val="0"/>
              <w:snapToGrid w:val="0"/>
              <w:spacing w:line="360" w:lineRule="auto"/>
              <w:rPr>
                <w:rFonts w:ascii="宋体" w:hAnsi="宋体" w:cs="宋体"/>
                <w:bCs/>
                <w:szCs w:val="21"/>
              </w:rPr>
            </w:pPr>
            <w:r>
              <w:rPr>
                <w:rFonts w:hint="eastAsia" w:ascii="宋体" w:hAnsi="宋体" w:cs="宋体"/>
                <w:bCs/>
                <w:szCs w:val="21"/>
              </w:rPr>
              <w:t>▲支持手机APP在线访问。</w:t>
            </w:r>
          </w:p>
          <w:p>
            <w:pPr>
              <w:numPr>
                <w:ilvl w:val="0"/>
                <w:numId w:val="25"/>
              </w:numPr>
              <w:adjustRightInd w:val="0"/>
              <w:snapToGrid w:val="0"/>
              <w:spacing w:line="360" w:lineRule="auto"/>
              <w:rPr>
                <w:rFonts w:ascii="宋体" w:hAnsi="宋体" w:cs="宋体"/>
                <w:bCs/>
                <w:szCs w:val="21"/>
              </w:rPr>
            </w:pPr>
            <w:r>
              <w:rPr>
                <w:rFonts w:hint="eastAsia" w:ascii="宋体" w:hAnsi="宋体" w:cs="宋体"/>
                <w:bCs/>
                <w:szCs w:val="21"/>
              </w:rPr>
              <w:t>▲定期更新，更新频率应不少于10次/年。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84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
                <w:szCs w:val="21"/>
              </w:rPr>
            </w:pPr>
            <w:r>
              <w:rPr>
                <w:rFonts w:hint="eastAsia" w:ascii="宋体" w:hAnsi="宋体" w:cs="宋体"/>
                <w:b/>
                <w:szCs w:val="21"/>
              </w:rPr>
              <w:t>患者用药指导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6"/>
              </w:numPr>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用药教育</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1.1系统应支持患者查看用药指导信息。</w:t>
            </w:r>
          </w:p>
          <w:p>
            <w:pPr>
              <w:adjustRightInd w:val="0"/>
              <w:snapToGrid w:val="0"/>
              <w:spacing w:line="360" w:lineRule="auto"/>
              <w:rPr>
                <w:rFonts w:ascii="宋体" w:hAnsi="宋体" w:cs="宋体"/>
                <w:bCs/>
                <w:szCs w:val="21"/>
              </w:rPr>
            </w:pPr>
            <w:r>
              <w:rPr>
                <w:rFonts w:hint="eastAsia" w:ascii="宋体" w:hAnsi="宋体" w:cs="宋体"/>
                <w:bCs/>
                <w:szCs w:val="21"/>
              </w:rPr>
              <w:t>1.2系统应可保存患者历史用药指导信息。▲应可查看用药信息、注意事项、药品说明书、错时用药、饮食禁忌等。</w:t>
            </w:r>
          </w:p>
          <w:p>
            <w:pPr>
              <w:adjustRightInd w:val="0"/>
              <w:snapToGrid w:val="0"/>
              <w:spacing w:line="360" w:lineRule="auto"/>
              <w:rPr>
                <w:rFonts w:ascii="宋体" w:hAnsi="宋体" w:cs="宋体"/>
                <w:bCs/>
                <w:szCs w:val="21"/>
              </w:rPr>
            </w:pPr>
            <w:r>
              <w:rPr>
                <w:rFonts w:hint="eastAsia" w:ascii="宋体" w:hAnsi="宋体" w:cs="宋体"/>
                <w:bCs/>
                <w:szCs w:val="21"/>
              </w:rPr>
              <w:t>1.3系统应支持患者设置用药时间和购药提醒。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6"/>
              </w:numPr>
              <w:adjustRightInd w:val="0"/>
              <w:snapToGrid w:val="0"/>
              <w:spacing w:line="360" w:lineRule="auto"/>
              <w:jc w:val="center"/>
              <w:rPr>
                <w:rFonts w:ascii="宋体" w:hAnsi="宋体" w:cs="宋体"/>
                <w:bCs/>
                <w:szCs w:val="21"/>
              </w:rPr>
            </w:pPr>
          </w:p>
          <w:p>
            <w:pPr>
              <w:widowControl/>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ascii="宋体" w:hAnsi="宋体" w:cs="宋体"/>
                <w:bCs/>
                <w:szCs w:val="21"/>
              </w:rPr>
              <w:t>用药记录</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2.1系统应支持按照日历的形式显示患者用药情况，并支持患者自定义补记用药记录。</w:t>
            </w:r>
          </w:p>
          <w:p>
            <w:pPr>
              <w:adjustRightInd w:val="0"/>
              <w:snapToGrid w:val="0"/>
              <w:spacing w:line="360" w:lineRule="auto"/>
              <w:rPr>
                <w:rFonts w:ascii="宋体" w:hAnsi="宋体" w:cs="宋体"/>
                <w:bCs/>
                <w:szCs w:val="21"/>
              </w:rPr>
            </w:pPr>
            <w:r>
              <w:rPr>
                <w:rFonts w:hint="eastAsia" w:ascii="宋体" w:hAnsi="宋体" w:cs="宋体"/>
                <w:bCs/>
                <w:szCs w:val="21"/>
              </w:rPr>
              <w:t>2.2应支持患者记录是否服药，并可生成用药依从性报告。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6"/>
              </w:numPr>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ascii="宋体" w:hAnsi="宋体" w:cs="宋体"/>
                <w:bCs/>
                <w:szCs w:val="21"/>
              </w:rPr>
              <w:t>科普专栏</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系统应支持患者查询用药安全教育知识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6"/>
              </w:numPr>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ascii="宋体" w:hAnsi="宋体" w:cs="宋体"/>
                <w:bCs/>
                <w:szCs w:val="21"/>
              </w:rPr>
              <w:t>健康记录</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▲系统应支持患者记录血压值、血糖值和INR值。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6"/>
              </w:numPr>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ascii="宋体" w:hAnsi="宋体" w:cs="宋体"/>
                <w:bCs/>
                <w:szCs w:val="21"/>
              </w:rPr>
              <w:t>健康自评</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系统应收录多种健康评估工具供患者评估自身健康状态。如：预产期及孕周计算、成人体重评估、烟草依赖性评估等。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6"/>
              </w:numPr>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ascii="宋体" w:hAnsi="宋体" w:cs="宋体"/>
                <w:bCs/>
                <w:szCs w:val="21"/>
              </w:rPr>
              <w:t>个人档案</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7.1系统应支持维护个人档案。</w:t>
            </w:r>
          </w:p>
          <w:p>
            <w:pPr>
              <w:adjustRightInd w:val="0"/>
              <w:snapToGrid w:val="0"/>
              <w:spacing w:line="360" w:lineRule="auto"/>
              <w:rPr>
                <w:rFonts w:ascii="宋体" w:hAnsi="宋体" w:cs="宋体"/>
                <w:bCs/>
                <w:szCs w:val="21"/>
              </w:rPr>
            </w:pPr>
            <w:r>
              <w:rPr>
                <w:rFonts w:hint="eastAsia" w:ascii="宋体" w:hAnsi="宋体" w:cs="宋体"/>
                <w:bCs/>
                <w:szCs w:val="21"/>
              </w:rPr>
              <w:t>7.2系统应支持显示用药时间轴。</w:t>
            </w:r>
          </w:p>
          <w:p>
            <w:pPr>
              <w:adjustRightInd w:val="0"/>
              <w:snapToGrid w:val="0"/>
              <w:spacing w:line="360" w:lineRule="auto"/>
              <w:rPr>
                <w:rFonts w:ascii="宋体" w:hAnsi="宋体" w:cs="宋体"/>
                <w:bCs/>
                <w:szCs w:val="21"/>
              </w:rPr>
            </w:pPr>
            <w:r>
              <w:rPr>
                <w:rFonts w:hint="eastAsia" w:ascii="宋体" w:hAnsi="宋体" w:cs="宋体"/>
                <w:bCs/>
                <w:szCs w:val="21"/>
              </w:rPr>
              <w:t>7.3系统应支持添加亲友信息。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84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ascii="宋体" w:hAnsi="宋体"/>
                <w:b/>
                <w:szCs w:val="21"/>
              </w:rPr>
              <w:t>临床药师工作站功能要求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7"/>
              </w:numPr>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患者档案</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numPr>
                <w:ilvl w:val="1"/>
                <w:numId w:val="0"/>
              </w:numPr>
              <w:spacing w:line="360" w:lineRule="auto"/>
              <w:ind w:left="-1"/>
              <w:jc w:val="left"/>
              <w:outlineLvl w:val="3"/>
              <w:rPr>
                <w:rFonts w:ascii="宋体" w:hAnsi="宋体"/>
                <w:bCs/>
                <w:szCs w:val="21"/>
              </w:rPr>
            </w:pPr>
            <w:r>
              <w:rPr>
                <w:rFonts w:ascii="宋体" w:hAnsi="宋体"/>
                <w:bCs/>
                <w:szCs w:val="21"/>
              </w:rPr>
              <w:t>系统应能提供患者个人档案，方便药师查看患者历次就诊记录、药学服务记录。</w:t>
            </w:r>
          </w:p>
          <w:p>
            <w:pPr>
              <w:adjustRightInd w:val="0"/>
              <w:snapToGrid w:val="0"/>
              <w:spacing w:line="360" w:lineRule="auto"/>
              <w:rPr>
                <w:rFonts w:ascii="宋体" w:hAnsi="宋体" w:cs="宋体"/>
                <w:bCs/>
                <w:szCs w:val="21"/>
              </w:rPr>
            </w:pPr>
            <w:r>
              <w:rPr>
                <w:rFonts w:ascii="宋体" w:hAnsi="宋体"/>
                <w:bCs/>
                <w:szCs w:val="21"/>
              </w:rPr>
              <w:t>患者档案</w:t>
            </w:r>
            <w:r>
              <w:rPr>
                <w:rFonts w:hint="eastAsia" w:ascii="宋体" w:hAnsi="宋体"/>
                <w:bCs/>
                <w:szCs w:val="21"/>
              </w:rPr>
              <w:t>应包括</w:t>
            </w:r>
            <w:r>
              <w:rPr>
                <w:rFonts w:ascii="宋体" w:hAnsi="宋体"/>
                <w:bCs/>
                <w:szCs w:val="21"/>
              </w:rPr>
              <w:t>个人信息、过敏史、药品不良反应史、基因检测、既往手术史、既往病史</w:t>
            </w:r>
            <w:r>
              <w:rPr>
                <w:rFonts w:hint="eastAsia" w:ascii="宋体" w:hAnsi="宋体"/>
                <w:bCs/>
                <w:szCs w:val="21"/>
              </w:rPr>
              <w:t>、</w:t>
            </w:r>
            <w:r>
              <w:rPr>
                <w:rFonts w:ascii="宋体" w:hAnsi="宋体"/>
                <w:bCs/>
                <w:szCs w:val="21"/>
              </w:rPr>
              <w:t>诊疗记录等，</w:t>
            </w:r>
            <w:r>
              <w:rPr>
                <w:rFonts w:hint="eastAsia" w:ascii="宋体" w:hAnsi="宋体"/>
                <w:bCs/>
                <w:szCs w:val="21"/>
              </w:rPr>
              <w:t>药师</w:t>
            </w:r>
            <w:r>
              <w:rPr>
                <w:rFonts w:ascii="宋体" w:hAnsi="宋体"/>
                <w:bCs/>
                <w:szCs w:val="21"/>
              </w:rPr>
              <w:t>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7"/>
              </w:numPr>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ascii="宋体" w:hAnsi="宋体"/>
                <w:szCs w:val="21"/>
              </w:rPr>
              <w:t>药物咨询管理</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line="360" w:lineRule="auto"/>
              <w:ind w:left="-1"/>
              <w:jc w:val="left"/>
              <w:outlineLvl w:val="3"/>
              <w:rPr>
                <w:rFonts w:ascii="宋体" w:hAnsi="宋体"/>
                <w:bCs/>
                <w:szCs w:val="21"/>
              </w:rPr>
            </w:pPr>
            <w:r>
              <w:rPr>
                <w:rFonts w:ascii="宋体" w:hAnsi="宋体"/>
                <w:bCs/>
                <w:szCs w:val="21"/>
              </w:rPr>
              <w:t>系统应提供标准的MTM管理模式，包括信息收集、用药评估、疾病评估、问题与治疗、用药指导、SOAP药历。</w:t>
            </w:r>
          </w:p>
          <w:p>
            <w:pPr>
              <w:keepNext/>
              <w:keepLines/>
              <w:numPr>
                <w:ilvl w:val="1"/>
                <w:numId w:val="0"/>
              </w:numPr>
              <w:spacing w:line="360" w:lineRule="auto"/>
              <w:ind w:left="-1"/>
              <w:jc w:val="left"/>
              <w:outlineLvl w:val="3"/>
              <w:rPr>
                <w:rFonts w:ascii="宋体" w:hAnsi="宋体"/>
                <w:bCs/>
                <w:szCs w:val="21"/>
              </w:rPr>
            </w:pPr>
            <w:r>
              <w:rPr>
                <w:rFonts w:ascii="宋体" w:hAnsi="宋体"/>
                <w:bCs/>
                <w:szCs w:val="21"/>
              </w:rPr>
              <w:t>▲系统应支持自定义管理模块，自定义要素包含身高体重、饮食情况、睡眠情况、日常起居、MTM原因、现有疾病、现病史、用药分析与建议、依从性评估、吸入技巧评估、疫苗接种情况、推荐周剂量、检验信息、检查信息、风险评估、肝肾评估、INR、COPD病情评估、COPD高风险因素、家庭氧疗、吸烟情况、抗凝饮食情况、焦虑/抑郁评估、血压、血糖、治疗问题列表、药物治疗计划、复诊日期、SOAP药历、治疗时序图</w:t>
            </w:r>
            <w:r>
              <w:rPr>
                <w:rFonts w:hint="eastAsia" w:ascii="宋体" w:hAnsi="宋体"/>
                <w:bCs/>
                <w:szCs w:val="21"/>
              </w:rPr>
              <w:t>及</w:t>
            </w:r>
            <w:r>
              <w:rPr>
                <w:rFonts w:ascii="宋体" w:hAnsi="宋体"/>
                <w:bCs/>
                <w:szCs w:val="21"/>
              </w:rPr>
              <w:t>其他。</w:t>
            </w:r>
          </w:p>
          <w:p>
            <w:pPr>
              <w:keepNext/>
              <w:keepLines/>
              <w:numPr>
                <w:ilvl w:val="1"/>
                <w:numId w:val="0"/>
              </w:numPr>
              <w:spacing w:line="360" w:lineRule="auto"/>
              <w:ind w:left="-1"/>
              <w:jc w:val="left"/>
              <w:outlineLvl w:val="3"/>
              <w:rPr>
                <w:rFonts w:ascii="宋体" w:hAnsi="宋体"/>
                <w:bCs/>
                <w:szCs w:val="21"/>
              </w:rPr>
            </w:pPr>
            <w:r>
              <w:rPr>
                <w:rFonts w:ascii="宋体" w:hAnsi="宋体"/>
                <w:bCs/>
                <w:szCs w:val="21"/>
              </w:rPr>
              <w:t>▲</w:t>
            </w:r>
            <w:r>
              <w:rPr>
                <w:rFonts w:hint="eastAsia" w:ascii="宋体" w:hAnsi="宋体"/>
                <w:bCs/>
                <w:szCs w:val="21"/>
              </w:rPr>
              <w:t>管理模块中检验信息、检查信息应支持设置默认显示项目，同时支持添加患者其他检验、检查项目。</w:t>
            </w:r>
          </w:p>
          <w:p>
            <w:pPr>
              <w:keepNext/>
              <w:keepLines/>
              <w:numPr>
                <w:ilvl w:val="1"/>
                <w:numId w:val="0"/>
              </w:numPr>
              <w:spacing w:line="360" w:lineRule="auto"/>
              <w:ind w:left="-1"/>
              <w:jc w:val="left"/>
              <w:outlineLvl w:val="3"/>
              <w:rPr>
                <w:rFonts w:ascii="宋体" w:hAnsi="宋体"/>
                <w:bCs/>
                <w:szCs w:val="21"/>
              </w:rPr>
            </w:pPr>
            <w:r>
              <w:rPr>
                <w:rFonts w:ascii="宋体" w:hAnsi="宋体"/>
                <w:bCs/>
                <w:szCs w:val="21"/>
              </w:rPr>
              <w:t>系统应提供合理用药审查结果，包括药品与药品、▲药品与保健品间的不合理用药问题。</w:t>
            </w:r>
          </w:p>
          <w:p>
            <w:pPr>
              <w:keepNext/>
              <w:keepLines/>
              <w:numPr>
                <w:ilvl w:val="1"/>
                <w:numId w:val="0"/>
              </w:numPr>
              <w:spacing w:line="360" w:lineRule="auto"/>
              <w:ind w:left="-1"/>
              <w:jc w:val="left"/>
              <w:outlineLvl w:val="3"/>
              <w:rPr>
                <w:rFonts w:ascii="宋体" w:hAnsi="宋体"/>
                <w:bCs/>
                <w:szCs w:val="21"/>
              </w:rPr>
            </w:pPr>
            <w:r>
              <w:rPr>
                <w:rFonts w:ascii="宋体" w:hAnsi="宋体"/>
                <w:bCs/>
                <w:szCs w:val="21"/>
              </w:rPr>
              <w:t>系统应能将药师发现的药物治疗问题发送至医生工作站。</w:t>
            </w:r>
          </w:p>
          <w:p>
            <w:pPr>
              <w:adjustRightInd w:val="0"/>
              <w:snapToGrid w:val="0"/>
              <w:spacing w:line="360" w:lineRule="auto"/>
              <w:rPr>
                <w:rFonts w:ascii="宋体" w:hAnsi="宋体" w:cs="宋体"/>
                <w:bCs/>
                <w:szCs w:val="21"/>
              </w:rPr>
            </w:pPr>
            <w:r>
              <w:rPr>
                <w:rFonts w:ascii="宋体" w:hAnsi="宋体"/>
                <w:bCs/>
                <w:szCs w:val="21"/>
              </w:rPr>
              <w:t>系统应能将治疗计划打印给患者。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7"/>
              </w:numPr>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hint="eastAsia" w:ascii="宋体" w:hAnsi="宋体" w:cs="宋体"/>
                <w:bCs/>
                <w:szCs w:val="21"/>
              </w:rPr>
              <w:t>抗凝管理</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numPr>
                <w:ilvl w:val="1"/>
                <w:numId w:val="28"/>
              </w:numPr>
              <w:spacing w:line="360" w:lineRule="auto"/>
              <w:jc w:val="left"/>
              <w:outlineLvl w:val="3"/>
              <w:rPr>
                <w:rFonts w:ascii="宋体" w:hAnsi="宋体"/>
                <w:bCs/>
                <w:szCs w:val="21"/>
              </w:rPr>
            </w:pPr>
            <w:r>
              <w:rPr>
                <w:rFonts w:ascii="宋体" w:hAnsi="宋体"/>
                <w:bCs/>
                <w:szCs w:val="21"/>
              </w:rPr>
              <w:t>系统应内置抗凝管理模板，方便药师管理抗凝患者的用药。</w:t>
            </w:r>
          </w:p>
          <w:p>
            <w:pPr>
              <w:keepNext/>
              <w:keepLines/>
              <w:numPr>
                <w:ilvl w:val="1"/>
                <w:numId w:val="28"/>
              </w:numPr>
              <w:spacing w:line="360" w:lineRule="auto"/>
              <w:jc w:val="left"/>
              <w:outlineLvl w:val="3"/>
              <w:rPr>
                <w:rFonts w:ascii="宋体" w:hAnsi="宋体"/>
                <w:bCs/>
                <w:szCs w:val="21"/>
              </w:rPr>
            </w:pPr>
            <w:r>
              <w:rPr>
                <w:rFonts w:ascii="宋体" w:hAnsi="宋体"/>
                <w:bCs/>
                <w:szCs w:val="21"/>
              </w:rPr>
              <w:t>▲抗凝模板应包括内科住院患者静脉血栓栓塞症风险Padua评分表、下肢深静脉血栓形成(DVT)诊断的临床特征评分、肺栓塞严重指数</w:t>
            </w:r>
            <w:r>
              <w:rPr>
                <w:rFonts w:hint="eastAsia" w:ascii="宋体" w:hAnsi="宋体"/>
                <w:bCs/>
                <w:szCs w:val="21"/>
              </w:rPr>
              <w:t>（</w:t>
            </w:r>
            <w:r>
              <w:rPr>
                <w:rFonts w:ascii="宋体" w:hAnsi="宋体"/>
                <w:bCs/>
                <w:szCs w:val="21"/>
              </w:rPr>
              <w:t>PESI</w:t>
            </w:r>
            <w:r>
              <w:rPr>
                <w:rFonts w:hint="eastAsia" w:ascii="宋体" w:hAnsi="宋体"/>
                <w:bCs/>
                <w:szCs w:val="21"/>
              </w:rPr>
              <w:t>）等</w:t>
            </w:r>
            <w:r>
              <w:rPr>
                <w:rFonts w:ascii="宋体" w:hAnsi="宋体"/>
                <w:bCs/>
                <w:szCs w:val="21"/>
              </w:rPr>
              <w:t>出血和栓塞相关的风险评估量表。</w:t>
            </w:r>
          </w:p>
          <w:p>
            <w:pPr>
              <w:keepNext/>
              <w:keepLines/>
              <w:numPr>
                <w:ilvl w:val="1"/>
                <w:numId w:val="28"/>
              </w:numPr>
              <w:spacing w:line="360" w:lineRule="auto"/>
              <w:jc w:val="left"/>
              <w:outlineLvl w:val="3"/>
              <w:rPr>
                <w:rFonts w:ascii="宋体" w:hAnsi="宋体"/>
                <w:bCs/>
                <w:szCs w:val="21"/>
              </w:rPr>
            </w:pPr>
            <w:r>
              <w:rPr>
                <w:rFonts w:ascii="宋体" w:hAnsi="宋体"/>
                <w:bCs/>
                <w:szCs w:val="21"/>
              </w:rPr>
              <w:t>▲抗凝模板应包括肝功能Child-Pugh分级评估、肾功能内生肌酐清除率</w:t>
            </w:r>
            <w:r>
              <w:rPr>
                <w:rFonts w:hint="eastAsia" w:ascii="宋体" w:hAnsi="宋体"/>
                <w:bCs/>
                <w:szCs w:val="21"/>
              </w:rPr>
              <w:t>（</w:t>
            </w:r>
            <w:r>
              <w:rPr>
                <w:rFonts w:ascii="宋体" w:hAnsi="宋体"/>
                <w:bCs/>
                <w:szCs w:val="21"/>
              </w:rPr>
              <w:t>Cockcroft-Gault）、肾小球滤过率</w:t>
            </w:r>
            <w:r>
              <w:rPr>
                <w:rFonts w:hint="eastAsia" w:ascii="宋体" w:hAnsi="宋体"/>
                <w:bCs/>
                <w:szCs w:val="21"/>
              </w:rPr>
              <w:t>（</w:t>
            </w:r>
            <w:r>
              <w:rPr>
                <w:rFonts w:ascii="宋体" w:hAnsi="宋体"/>
                <w:bCs/>
                <w:szCs w:val="21"/>
              </w:rPr>
              <w:t>CKD-EPI）</w:t>
            </w:r>
            <w:r>
              <w:rPr>
                <w:rFonts w:hint="eastAsia" w:ascii="宋体" w:hAnsi="宋体"/>
                <w:bCs/>
                <w:szCs w:val="21"/>
              </w:rPr>
              <w:t>计算</w:t>
            </w:r>
            <w:r>
              <w:rPr>
                <w:rFonts w:ascii="宋体" w:hAnsi="宋体"/>
                <w:bCs/>
                <w:szCs w:val="21"/>
              </w:rPr>
              <w:t>。</w:t>
            </w:r>
          </w:p>
          <w:p>
            <w:pPr>
              <w:adjustRightInd w:val="0"/>
              <w:snapToGrid w:val="0"/>
              <w:spacing w:line="360" w:lineRule="auto"/>
              <w:rPr>
                <w:rFonts w:ascii="宋体" w:hAnsi="宋体" w:cs="宋体"/>
                <w:bCs/>
                <w:szCs w:val="21"/>
              </w:rPr>
            </w:pPr>
            <w:r>
              <w:rPr>
                <w:rFonts w:ascii="宋体" w:hAnsi="宋体"/>
                <w:bCs/>
                <w:szCs w:val="21"/>
              </w:rPr>
              <w:t>▲抗凝模板应可快速查看、编辑患者华法林处方、INR趋势、TTR情况、抗凝饮食情况。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7"/>
              </w:numPr>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ascii="宋体" w:hAnsi="宋体"/>
                <w:szCs w:val="21"/>
              </w:rPr>
              <w:t>COPD管理</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numPr>
                <w:ilvl w:val="1"/>
                <w:numId w:val="29"/>
              </w:numPr>
              <w:rPr>
                <w:rFonts w:ascii="宋体" w:hAnsi="宋体"/>
                <w:szCs w:val="21"/>
              </w:rPr>
            </w:pPr>
            <w:r>
              <w:rPr>
                <w:rFonts w:ascii="宋体" w:hAnsi="宋体"/>
                <w:szCs w:val="21"/>
              </w:rPr>
              <w:t>系统应内置COPD管理模板，方便药师管理慢阻肺患者的用药。</w:t>
            </w:r>
          </w:p>
          <w:p>
            <w:pPr>
              <w:keepNext/>
              <w:keepLines/>
              <w:numPr>
                <w:ilvl w:val="1"/>
                <w:numId w:val="28"/>
              </w:numPr>
              <w:spacing w:line="360" w:lineRule="auto"/>
              <w:jc w:val="left"/>
              <w:outlineLvl w:val="3"/>
              <w:rPr>
                <w:rFonts w:ascii="宋体" w:hAnsi="宋体"/>
                <w:bCs/>
                <w:szCs w:val="21"/>
              </w:rPr>
            </w:pPr>
            <w:r>
              <w:rPr>
                <w:rFonts w:ascii="宋体" w:hAnsi="宋体"/>
                <w:bCs/>
                <w:szCs w:val="21"/>
              </w:rPr>
              <w:t>▲COPD模板应包括沙丁胺醇气雾剂、噻托溴铵粉吸入剂、沙美特罗替卡松气雾剂等药品的吸入技巧评估。</w:t>
            </w:r>
          </w:p>
          <w:p>
            <w:pPr>
              <w:keepNext/>
              <w:keepLines/>
              <w:numPr>
                <w:ilvl w:val="1"/>
                <w:numId w:val="28"/>
              </w:numPr>
              <w:spacing w:line="360" w:lineRule="auto"/>
              <w:jc w:val="left"/>
              <w:outlineLvl w:val="3"/>
              <w:rPr>
                <w:rFonts w:ascii="宋体" w:hAnsi="宋体"/>
                <w:bCs/>
                <w:szCs w:val="21"/>
              </w:rPr>
            </w:pPr>
            <w:r>
              <w:rPr>
                <w:rFonts w:ascii="宋体" w:hAnsi="宋体"/>
                <w:bCs/>
                <w:szCs w:val="21"/>
              </w:rPr>
              <w:t>▲COPD模板应包括肺功能评估、症状评估、急性加重风险、焦虑和抑郁评估。</w:t>
            </w:r>
          </w:p>
          <w:p>
            <w:pPr>
              <w:adjustRightInd w:val="0"/>
              <w:snapToGrid w:val="0"/>
              <w:spacing w:line="360" w:lineRule="auto"/>
              <w:rPr>
                <w:rFonts w:ascii="宋体" w:hAnsi="宋体" w:cs="宋体"/>
                <w:bCs/>
                <w:szCs w:val="21"/>
              </w:rPr>
            </w:pPr>
            <w:r>
              <w:rPr>
                <w:rFonts w:ascii="宋体" w:hAnsi="宋体"/>
                <w:bCs/>
                <w:szCs w:val="21"/>
              </w:rPr>
              <w:t>COPD模板应可快速记录患者家庭氧疗情况、吸烟情况。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7"/>
              </w:numPr>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ascii="宋体" w:hAnsi="宋体"/>
                <w:szCs w:val="21"/>
              </w:rPr>
              <w:t>妊娠哺乳管理</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line="360" w:lineRule="auto"/>
              <w:ind w:left="-1"/>
              <w:jc w:val="left"/>
              <w:outlineLvl w:val="3"/>
              <w:rPr>
                <w:rFonts w:ascii="宋体" w:hAnsi="宋体"/>
                <w:bCs/>
                <w:szCs w:val="21"/>
              </w:rPr>
            </w:pPr>
            <w:r>
              <w:rPr>
                <w:rFonts w:hint="eastAsia" w:ascii="宋体" w:hAnsi="宋体"/>
                <w:bCs/>
                <w:szCs w:val="21"/>
              </w:rPr>
              <w:t>1.1</w:t>
            </w:r>
            <w:r>
              <w:rPr>
                <w:rFonts w:ascii="宋体" w:hAnsi="宋体"/>
                <w:bCs/>
                <w:szCs w:val="21"/>
              </w:rPr>
              <w:t>系统应内置妊娠哺乳管理模块，方便药师管理妊娠哺乳患者的用药。</w:t>
            </w:r>
          </w:p>
          <w:p>
            <w:pPr>
              <w:adjustRightInd w:val="0"/>
              <w:snapToGrid w:val="0"/>
              <w:spacing w:line="360" w:lineRule="auto"/>
              <w:rPr>
                <w:rFonts w:ascii="宋体" w:hAnsi="宋体" w:cs="宋体"/>
                <w:bCs/>
                <w:szCs w:val="21"/>
              </w:rPr>
            </w:pPr>
            <w:r>
              <w:rPr>
                <w:rFonts w:hint="eastAsia" w:ascii="宋体" w:hAnsi="宋体"/>
                <w:bCs/>
                <w:szCs w:val="21"/>
              </w:rPr>
              <w:t>1.2</w:t>
            </w:r>
            <w:r>
              <w:rPr>
                <w:rFonts w:ascii="宋体" w:hAnsi="宋体"/>
                <w:bCs/>
                <w:szCs w:val="21"/>
              </w:rPr>
              <w:t>▲妊娠哺乳模块应可快速查看、编辑患者妊娠信息、妊娠期疾病、产检记录、检验信息、检查信息、孕期用药记录、配偶用药记录、风险记录、哺乳期疾病、哺乳时长、哺乳期用药记录。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7"/>
              </w:numPr>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ascii="宋体" w:hAnsi="宋体"/>
                <w:bCs/>
                <w:szCs w:val="21"/>
              </w:rPr>
              <w:t>用药咨询</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line="360" w:lineRule="auto"/>
              <w:ind w:left="-1"/>
              <w:jc w:val="left"/>
              <w:outlineLvl w:val="3"/>
              <w:rPr>
                <w:rFonts w:ascii="宋体" w:hAnsi="宋体"/>
                <w:bCs/>
                <w:szCs w:val="21"/>
              </w:rPr>
            </w:pPr>
            <w:r>
              <w:rPr>
                <w:rFonts w:hint="eastAsia" w:ascii="宋体" w:hAnsi="宋体"/>
                <w:bCs/>
                <w:szCs w:val="21"/>
              </w:rPr>
              <w:t>1.1</w:t>
            </w:r>
            <w:r>
              <w:rPr>
                <w:rFonts w:ascii="宋体" w:hAnsi="宋体"/>
                <w:bCs/>
                <w:szCs w:val="21"/>
              </w:rPr>
              <w:t>线下咨询</w:t>
            </w:r>
          </w:p>
          <w:p>
            <w:pPr>
              <w:keepNext/>
              <w:keepLines/>
              <w:spacing w:line="360" w:lineRule="auto"/>
              <w:jc w:val="left"/>
              <w:outlineLvl w:val="3"/>
              <w:rPr>
                <w:rFonts w:ascii="宋体" w:hAnsi="宋体"/>
                <w:bCs/>
                <w:szCs w:val="21"/>
              </w:rPr>
            </w:pPr>
            <w:r>
              <w:rPr>
                <w:rFonts w:ascii="宋体" w:hAnsi="宋体"/>
                <w:bCs/>
                <w:szCs w:val="21"/>
              </w:rPr>
              <w:t>系统应支持药师记录门诊患者、住院患者</w:t>
            </w:r>
            <w:r>
              <w:rPr>
                <w:rFonts w:hint="eastAsia" w:ascii="宋体" w:hAnsi="宋体"/>
                <w:bCs/>
                <w:szCs w:val="21"/>
              </w:rPr>
              <w:t>、</w:t>
            </w:r>
            <w:r>
              <w:rPr>
                <w:rFonts w:ascii="宋体" w:hAnsi="宋体"/>
                <w:bCs/>
                <w:szCs w:val="21"/>
              </w:rPr>
              <w:t>患者亲友、医生、护士发起的线下用药咨询及药师解答，▲应支持延答复操作，方便药师查找暂未答复的问题。</w:t>
            </w:r>
          </w:p>
          <w:p>
            <w:pPr>
              <w:keepNext/>
              <w:keepLines/>
              <w:numPr>
                <w:ilvl w:val="1"/>
                <w:numId w:val="0"/>
              </w:numPr>
              <w:spacing w:line="360" w:lineRule="auto"/>
              <w:ind w:left="-1"/>
              <w:jc w:val="left"/>
              <w:outlineLvl w:val="3"/>
              <w:rPr>
                <w:rFonts w:ascii="宋体" w:hAnsi="宋体"/>
                <w:bCs/>
                <w:szCs w:val="21"/>
              </w:rPr>
            </w:pPr>
            <w:r>
              <w:rPr>
                <w:rFonts w:hint="eastAsia" w:ascii="宋体" w:hAnsi="宋体"/>
                <w:bCs/>
                <w:szCs w:val="21"/>
              </w:rPr>
              <w:t>1.2</w:t>
            </w:r>
            <w:r>
              <w:rPr>
                <w:rFonts w:ascii="宋体" w:hAnsi="宋体"/>
                <w:bCs/>
                <w:szCs w:val="21"/>
              </w:rPr>
              <w:t>医生咨询</w:t>
            </w:r>
          </w:p>
          <w:p>
            <w:pPr>
              <w:adjustRightInd w:val="0"/>
              <w:snapToGrid w:val="0"/>
              <w:spacing w:line="360" w:lineRule="auto"/>
              <w:rPr>
                <w:rFonts w:ascii="宋体" w:hAnsi="宋体" w:cs="宋体"/>
                <w:bCs/>
                <w:szCs w:val="21"/>
              </w:rPr>
            </w:pPr>
            <w:r>
              <w:rPr>
                <w:rFonts w:ascii="宋体" w:hAnsi="宋体"/>
                <w:szCs w:val="21"/>
              </w:rPr>
              <w:t>系统应支持医生在工作站向药师发起用药咨询。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7"/>
              </w:numPr>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cs="宋体"/>
                <w:bCs/>
                <w:szCs w:val="21"/>
              </w:rPr>
            </w:pPr>
            <w:r>
              <w:rPr>
                <w:rFonts w:ascii="宋体" w:hAnsi="宋体"/>
                <w:bCs/>
                <w:szCs w:val="21"/>
              </w:rPr>
              <w:t>用药指导</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line="360" w:lineRule="auto"/>
              <w:ind w:left="-1"/>
              <w:jc w:val="left"/>
              <w:outlineLvl w:val="3"/>
              <w:rPr>
                <w:rFonts w:ascii="宋体" w:hAnsi="宋体"/>
                <w:bCs/>
                <w:szCs w:val="21"/>
              </w:rPr>
            </w:pPr>
            <w:r>
              <w:rPr>
                <w:rFonts w:hint="eastAsia" w:ascii="宋体" w:hAnsi="宋体"/>
                <w:bCs/>
                <w:szCs w:val="21"/>
              </w:rPr>
              <w:t>1.1</w:t>
            </w:r>
            <w:r>
              <w:rPr>
                <w:rFonts w:ascii="宋体" w:hAnsi="宋体"/>
                <w:bCs/>
                <w:szCs w:val="21"/>
              </w:rPr>
              <w:t>系统应支持自动生成用药指导单，▲包括用药清单</w:t>
            </w:r>
            <w:r>
              <w:rPr>
                <w:rFonts w:hint="eastAsia" w:ascii="宋体" w:hAnsi="宋体"/>
                <w:bCs/>
                <w:szCs w:val="21"/>
              </w:rPr>
              <w:t>（药品名称</w:t>
            </w:r>
            <w:r>
              <w:rPr>
                <w:rFonts w:ascii="宋体" w:hAnsi="宋体"/>
                <w:bCs/>
                <w:szCs w:val="21"/>
              </w:rPr>
              <w:t>/规格/厂家/发药数量</w:t>
            </w:r>
            <w:r>
              <w:rPr>
                <w:rFonts w:hint="eastAsia" w:ascii="宋体" w:hAnsi="宋体"/>
                <w:bCs/>
                <w:szCs w:val="21"/>
              </w:rPr>
              <w:t>/</w:t>
            </w:r>
            <w:r>
              <w:rPr>
                <w:rFonts w:ascii="宋体" w:hAnsi="宋体"/>
                <w:bCs/>
                <w:szCs w:val="21"/>
              </w:rPr>
              <w:t>用法用量/等</w:t>
            </w:r>
            <w:r>
              <w:rPr>
                <w:rFonts w:hint="eastAsia" w:ascii="宋体" w:hAnsi="宋体"/>
                <w:bCs/>
                <w:szCs w:val="21"/>
              </w:rPr>
              <w:t>）、</w:t>
            </w:r>
            <w:r>
              <w:rPr>
                <w:rFonts w:ascii="宋体" w:hAnsi="宋体"/>
                <w:bCs/>
                <w:szCs w:val="21"/>
              </w:rPr>
              <w:t>药品注意事项、服药时间表、错时给药</w:t>
            </w:r>
            <w:r>
              <w:rPr>
                <w:rFonts w:hint="eastAsia" w:ascii="宋体" w:hAnsi="宋体"/>
                <w:bCs/>
                <w:szCs w:val="21"/>
              </w:rPr>
              <w:t>、食物宜忌讳事项、其他注意事项。</w:t>
            </w:r>
            <w:r>
              <w:rPr>
                <w:rFonts w:ascii="宋体" w:hAnsi="宋体"/>
                <w:bCs/>
                <w:szCs w:val="21"/>
              </w:rPr>
              <w:t>应</w:t>
            </w:r>
            <w:r>
              <w:rPr>
                <w:rFonts w:hint="eastAsia" w:ascii="宋体" w:hAnsi="宋体"/>
                <w:bCs/>
                <w:szCs w:val="21"/>
              </w:rPr>
              <w:t>支持</w:t>
            </w:r>
            <w:r>
              <w:rPr>
                <w:rFonts w:ascii="宋体" w:hAnsi="宋体"/>
                <w:bCs/>
                <w:szCs w:val="21"/>
              </w:rPr>
              <w:t>药师设置特殊周剂量</w:t>
            </w:r>
            <w:r>
              <w:rPr>
                <w:rFonts w:hint="eastAsia" w:ascii="宋体" w:hAnsi="宋体"/>
                <w:bCs/>
                <w:szCs w:val="21"/>
              </w:rPr>
              <w:t>、</w:t>
            </w:r>
            <w:r>
              <w:rPr>
                <w:rFonts w:ascii="宋体" w:hAnsi="宋体"/>
                <w:bCs/>
                <w:szCs w:val="21"/>
              </w:rPr>
              <w:t>月剂量给药方案</w:t>
            </w:r>
            <w:r>
              <w:rPr>
                <w:rFonts w:hint="eastAsia" w:ascii="宋体" w:hAnsi="宋体"/>
                <w:bCs/>
                <w:szCs w:val="21"/>
              </w:rPr>
              <w:t>。</w:t>
            </w:r>
          </w:p>
          <w:p>
            <w:pPr>
              <w:adjustRightInd w:val="0"/>
              <w:snapToGrid w:val="0"/>
              <w:spacing w:line="360" w:lineRule="auto"/>
              <w:rPr>
                <w:rFonts w:ascii="宋体" w:hAnsi="宋体" w:cs="宋体"/>
                <w:bCs/>
                <w:szCs w:val="21"/>
              </w:rPr>
            </w:pPr>
            <w:r>
              <w:rPr>
                <w:rFonts w:hint="eastAsia" w:ascii="宋体" w:hAnsi="宋体"/>
                <w:bCs/>
                <w:szCs w:val="21"/>
              </w:rPr>
              <w:t>1.2</w:t>
            </w:r>
            <w:r>
              <w:rPr>
                <w:rFonts w:ascii="宋体" w:hAnsi="宋体"/>
                <w:bCs/>
                <w:szCs w:val="21"/>
              </w:rPr>
              <w:t>系统应支持将用药指导单打印给患者。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7"/>
              </w:numPr>
              <w:adjustRightInd w:val="0"/>
              <w:snapToGrid w:val="0"/>
              <w:spacing w:line="360" w:lineRule="auto"/>
              <w:jc w:val="center"/>
              <w:rPr>
                <w:rFonts w:ascii="宋体" w:hAnsi="宋体" w:cs="宋体"/>
                <w:bCs/>
                <w:szCs w:val="21"/>
              </w:rPr>
            </w:pPr>
          </w:p>
        </w:tc>
        <w:tc>
          <w:tcPr>
            <w:tcW w:w="13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bCs/>
                <w:szCs w:val="21"/>
              </w:rPr>
            </w:pPr>
            <w:r>
              <w:rPr>
                <w:rFonts w:ascii="宋体" w:hAnsi="宋体"/>
                <w:bCs/>
                <w:szCs w:val="21"/>
              </w:rPr>
              <w:t>统计分析</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line="360" w:lineRule="auto"/>
              <w:jc w:val="left"/>
              <w:outlineLvl w:val="3"/>
              <w:rPr>
                <w:rFonts w:ascii="宋体" w:hAnsi="宋体"/>
                <w:bCs/>
                <w:szCs w:val="21"/>
              </w:rPr>
            </w:pPr>
            <w:r>
              <w:rPr>
                <w:rFonts w:ascii="宋体" w:hAnsi="宋体"/>
                <w:bCs/>
                <w:szCs w:val="21"/>
              </w:rPr>
              <w:t>系统应能根据药师工作内容生成以下报表：</w:t>
            </w:r>
          </w:p>
          <w:p>
            <w:pPr>
              <w:keepNext/>
              <w:keepLines/>
              <w:spacing w:line="360" w:lineRule="auto"/>
              <w:ind w:left="-1"/>
              <w:jc w:val="left"/>
              <w:outlineLvl w:val="3"/>
              <w:rPr>
                <w:rFonts w:ascii="宋体" w:hAnsi="宋体"/>
                <w:bCs/>
                <w:szCs w:val="21"/>
              </w:rPr>
            </w:pPr>
            <w:r>
              <w:rPr>
                <w:rFonts w:hint="eastAsia" w:ascii="宋体" w:hAnsi="宋体"/>
                <w:bCs/>
                <w:szCs w:val="21"/>
              </w:rPr>
              <w:t>1.1</w:t>
            </w:r>
            <w:r>
              <w:rPr>
                <w:rFonts w:ascii="宋体" w:hAnsi="宋体"/>
                <w:bCs/>
                <w:szCs w:val="21"/>
              </w:rPr>
              <w:t>药物咨询管理</w:t>
            </w:r>
          </w:p>
          <w:p>
            <w:pPr>
              <w:keepNext/>
              <w:keepLines/>
              <w:numPr>
                <w:ilvl w:val="0"/>
                <w:numId w:val="30"/>
              </w:numPr>
              <w:spacing w:line="360" w:lineRule="auto"/>
              <w:jc w:val="left"/>
              <w:outlineLvl w:val="3"/>
              <w:rPr>
                <w:rFonts w:ascii="宋体" w:hAnsi="宋体"/>
                <w:bCs/>
                <w:szCs w:val="21"/>
              </w:rPr>
            </w:pPr>
            <w:r>
              <w:rPr>
                <w:rFonts w:ascii="宋体" w:hAnsi="宋体"/>
                <w:bCs/>
                <w:szCs w:val="21"/>
              </w:rPr>
              <w:t>管理记录汇总</w:t>
            </w:r>
          </w:p>
          <w:p>
            <w:pPr>
              <w:keepNext/>
              <w:keepLines/>
              <w:numPr>
                <w:ilvl w:val="0"/>
                <w:numId w:val="30"/>
              </w:numPr>
              <w:spacing w:line="360" w:lineRule="auto"/>
              <w:jc w:val="left"/>
              <w:outlineLvl w:val="3"/>
              <w:rPr>
                <w:rFonts w:ascii="宋体" w:hAnsi="宋体"/>
                <w:bCs/>
                <w:szCs w:val="21"/>
              </w:rPr>
            </w:pPr>
            <w:r>
              <w:rPr>
                <w:rFonts w:ascii="宋体" w:hAnsi="宋体"/>
                <w:bCs/>
                <w:szCs w:val="21"/>
              </w:rPr>
              <w:t>管理记录趋势</w:t>
            </w:r>
          </w:p>
          <w:p>
            <w:pPr>
              <w:keepNext/>
              <w:keepLines/>
              <w:numPr>
                <w:ilvl w:val="1"/>
                <w:numId w:val="0"/>
              </w:numPr>
              <w:spacing w:line="360" w:lineRule="auto"/>
              <w:ind w:left="-1"/>
              <w:jc w:val="left"/>
              <w:outlineLvl w:val="3"/>
              <w:rPr>
                <w:rFonts w:ascii="宋体" w:hAnsi="宋体"/>
                <w:bCs/>
                <w:szCs w:val="21"/>
              </w:rPr>
            </w:pPr>
            <w:r>
              <w:rPr>
                <w:rFonts w:hint="eastAsia" w:ascii="宋体" w:hAnsi="宋体"/>
                <w:bCs/>
                <w:szCs w:val="21"/>
              </w:rPr>
              <w:t>1.2</w:t>
            </w:r>
            <w:r>
              <w:rPr>
                <w:rFonts w:ascii="宋体" w:hAnsi="宋体"/>
                <w:bCs/>
                <w:szCs w:val="21"/>
              </w:rPr>
              <w:t>用药咨询</w:t>
            </w:r>
          </w:p>
          <w:p>
            <w:pPr>
              <w:keepNext/>
              <w:keepLines/>
              <w:numPr>
                <w:ilvl w:val="0"/>
                <w:numId w:val="31"/>
              </w:numPr>
              <w:spacing w:line="360" w:lineRule="auto"/>
              <w:jc w:val="left"/>
              <w:outlineLvl w:val="3"/>
              <w:rPr>
                <w:rFonts w:ascii="宋体" w:hAnsi="宋体"/>
                <w:bCs/>
                <w:szCs w:val="21"/>
              </w:rPr>
            </w:pPr>
            <w:r>
              <w:rPr>
                <w:rFonts w:ascii="宋体" w:hAnsi="宋体"/>
                <w:bCs/>
                <w:szCs w:val="21"/>
              </w:rPr>
              <w:t>个人工作量统计</w:t>
            </w:r>
          </w:p>
          <w:p>
            <w:pPr>
              <w:keepNext/>
              <w:keepLines/>
              <w:numPr>
                <w:ilvl w:val="0"/>
                <w:numId w:val="31"/>
              </w:numPr>
              <w:spacing w:line="360" w:lineRule="auto"/>
              <w:jc w:val="left"/>
              <w:outlineLvl w:val="3"/>
              <w:rPr>
                <w:rFonts w:ascii="宋体" w:hAnsi="宋体"/>
                <w:bCs/>
                <w:szCs w:val="21"/>
              </w:rPr>
            </w:pPr>
            <w:r>
              <w:rPr>
                <w:rFonts w:ascii="宋体" w:hAnsi="宋体"/>
                <w:bCs/>
                <w:szCs w:val="21"/>
              </w:rPr>
              <w:t>问题类型统计</w:t>
            </w:r>
          </w:p>
          <w:p>
            <w:pPr>
              <w:keepNext/>
              <w:keepLines/>
              <w:numPr>
                <w:ilvl w:val="0"/>
                <w:numId w:val="31"/>
              </w:numPr>
              <w:spacing w:line="360" w:lineRule="auto"/>
              <w:jc w:val="left"/>
              <w:outlineLvl w:val="3"/>
              <w:rPr>
                <w:rFonts w:ascii="宋体" w:hAnsi="宋体"/>
                <w:bCs/>
                <w:szCs w:val="21"/>
              </w:rPr>
            </w:pPr>
            <w:r>
              <w:rPr>
                <w:rFonts w:ascii="宋体" w:hAnsi="宋体"/>
                <w:bCs/>
                <w:szCs w:val="21"/>
              </w:rPr>
              <w:t>药理类别统计</w:t>
            </w:r>
          </w:p>
          <w:p>
            <w:pPr>
              <w:keepNext/>
              <w:keepLines/>
              <w:numPr>
                <w:ilvl w:val="1"/>
                <w:numId w:val="0"/>
              </w:numPr>
              <w:spacing w:line="360" w:lineRule="auto"/>
              <w:ind w:left="-1"/>
              <w:jc w:val="left"/>
              <w:outlineLvl w:val="3"/>
              <w:rPr>
                <w:rFonts w:ascii="宋体" w:hAnsi="宋体"/>
                <w:bCs/>
                <w:szCs w:val="21"/>
              </w:rPr>
            </w:pPr>
            <w:r>
              <w:rPr>
                <w:rFonts w:hint="eastAsia" w:ascii="宋体" w:hAnsi="宋体"/>
                <w:bCs/>
                <w:szCs w:val="21"/>
              </w:rPr>
              <w:t>1.3</w:t>
            </w:r>
            <w:r>
              <w:rPr>
                <w:rFonts w:ascii="宋体" w:hAnsi="宋体"/>
                <w:bCs/>
                <w:szCs w:val="21"/>
              </w:rPr>
              <w:t>用药指导</w:t>
            </w:r>
          </w:p>
          <w:p>
            <w:pPr>
              <w:keepNext/>
              <w:keepLines/>
              <w:numPr>
                <w:ilvl w:val="0"/>
                <w:numId w:val="32"/>
              </w:numPr>
              <w:spacing w:line="360" w:lineRule="auto"/>
              <w:jc w:val="left"/>
              <w:outlineLvl w:val="3"/>
              <w:rPr>
                <w:rFonts w:ascii="宋体" w:hAnsi="宋体"/>
                <w:bCs/>
                <w:szCs w:val="21"/>
              </w:rPr>
            </w:pPr>
            <w:r>
              <w:rPr>
                <w:rFonts w:ascii="宋体" w:hAnsi="宋体"/>
                <w:bCs/>
                <w:szCs w:val="21"/>
              </w:rPr>
              <w:t>指导原因统计</w:t>
            </w:r>
          </w:p>
          <w:p>
            <w:pPr>
              <w:keepNext/>
              <w:keepLines/>
              <w:numPr>
                <w:ilvl w:val="0"/>
                <w:numId w:val="32"/>
              </w:numPr>
              <w:spacing w:line="360" w:lineRule="auto"/>
              <w:jc w:val="left"/>
              <w:outlineLvl w:val="3"/>
              <w:rPr>
                <w:rFonts w:ascii="宋体" w:hAnsi="宋体"/>
                <w:bCs/>
                <w:szCs w:val="21"/>
              </w:rPr>
            </w:pPr>
            <w:r>
              <w:rPr>
                <w:rFonts w:ascii="宋体" w:hAnsi="宋体"/>
                <w:bCs/>
                <w:szCs w:val="21"/>
              </w:rPr>
              <w:t>药品统计</w:t>
            </w:r>
          </w:p>
          <w:p>
            <w:pPr>
              <w:keepNext/>
              <w:keepLines/>
              <w:numPr>
                <w:ilvl w:val="0"/>
                <w:numId w:val="32"/>
              </w:numPr>
              <w:spacing w:line="360" w:lineRule="auto"/>
              <w:jc w:val="left"/>
              <w:outlineLvl w:val="3"/>
              <w:rPr>
                <w:rFonts w:ascii="宋体" w:hAnsi="宋体"/>
                <w:bCs/>
                <w:szCs w:val="21"/>
              </w:rPr>
            </w:pPr>
            <w:r>
              <w:rPr>
                <w:rFonts w:ascii="宋体" w:hAnsi="宋体"/>
                <w:bCs/>
                <w:szCs w:val="21"/>
              </w:rPr>
              <w:t>药理类别统计</w:t>
            </w:r>
          </w:p>
        </w:tc>
      </w:tr>
    </w:tbl>
    <w:p>
      <w:pPr>
        <w:spacing w:line="360" w:lineRule="auto"/>
        <w:rPr>
          <w:rFonts w:ascii="宋体" w:hAnsi="宋体" w:cstheme="minorBidi"/>
          <w:b/>
          <w:szCs w:val="21"/>
        </w:rPr>
      </w:pPr>
    </w:p>
    <w:p>
      <w:pPr>
        <w:widowControl/>
        <w:jc w:val="left"/>
      </w:pPr>
      <w:r>
        <w:br w:type="page"/>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rPr>
          <w:rFonts w:ascii="宋体" w:hAnsi="宋体"/>
          <w:b/>
          <w:sz w:val="24"/>
          <w:szCs w:val="24"/>
        </w:rPr>
      </w:pPr>
    </w:p>
    <w:p>
      <w:pPr>
        <w:jc w:val="cente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w:t>
      </w:r>
      <w:r>
        <w:rPr>
          <w:rFonts w:hint="eastAsia" w:ascii="宋体" w:hAnsi="宋体"/>
          <w:b/>
          <w:sz w:val="24"/>
          <w:szCs w:val="24"/>
          <w:u w:val="single"/>
        </w:rPr>
        <w:t xml:space="preserve">                          </w:t>
      </w:r>
    </w:p>
    <w:p>
      <w:pPr>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rPr>
          <w:rFonts w:ascii="宋体" w:hAnsi="宋体"/>
          <w:sz w:val="24"/>
          <w:szCs w:val="24"/>
        </w:rPr>
        <w:sectPr>
          <w:footerReference r:id="rId6" w:type="default"/>
          <w:headerReference r:id="rId5" w:type="even"/>
          <w:pgSz w:w="11906" w:h="16838"/>
          <w:pgMar w:top="1701" w:right="1588" w:bottom="1304" w:left="1588" w:header="1247" w:footer="737" w:gutter="0"/>
          <w:cols w:space="720" w:num="1"/>
          <w:docGrid w:linePitch="380" w:charSpace="-4301"/>
        </w:sectPr>
      </w:pPr>
    </w:p>
    <w:p>
      <w:pPr>
        <w:rPr>
          <w:rFonts w:ascii="宋体" w:hAnsi="宋体"/>
          <w:szCs w:val="21"/>
        </w:rPr>
      </w:pPr>
      <w:bookmarkStart w:id="4" w:name="_Toc211243316"/>
      <w:bookmarkStart w:id="5" w:name="_Toc311468376"/>
      <w:r>
        <w:rPr>
          <w:rFonts w:ascii="宋体" w:hAnsi="宋体"/>
          <w:szCs w:val="21"/>
        </w:rPr>
        <w:t>格式2.</w:t>
      </w:r>
      <w:bookmarkEnd w:id="4"/>
      <w:r>
        <w:rPr>
          <w:rFonts w:ascii="宋体" w:hAnsi="宋体"/>
          <w:szCs w:val="21"/>
        </w:rPr>
        <w:t xml:space="preserve"> 开标一览表格式</w:t>
      </w:r>
      <w:bookmarkEnd w:id="5"/>
    </w:p>
    <w:p>
      <w:pPr>
        <w:spacing w:before="120" w:after="240"/>
        <w:jc w:val="center"/>
        <w:rPr>
          <w:rFonts w:eastAsia="黑体"/>
          <w:sz w:val="30"/>
          <w:szCs w:val="30"/>
        </w:rPr>
      </w:pPr>
      <w:r>
        <w:rPr>
          <w:rFonts w:eastAsia="黑体"/>
          <w:sz w:val="30"/>
          <w:szCs w:val="30"/>
        </w:rPr>
        <w:t>开标一览表</w:t>
      </w:r>
    </w:p>
    <w:p>
      <w:pPr>
        <w:rPr>
          <w:szCs w:val="21"/>
          <w:u w:val="single"/>
        </w:rPr>
      </w:pPr>
      <w:r>
        <w:rPr>
          <w:szCs w:val="21"/>
        </w:rPr>
        <w:t>投标人名称</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招标编号</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包号</w:t>
      </w:r>
      <w:r>
        <w:rPr>
          <w:rFonts w:hint="eastAsia"/>
          <w:szCs w:val="21"/>
        </w:rPr>
        <w:t xml:space="preserve">： </w:t>
      </w:r>
      <w:r>
        <w:rPr>
          <w:szCs w:val="21"/>
          <w:u w:val="single"/>
        </w:rPr>
        <w:t xml:space="preserve">         </w:t>
      </w:r>
    </w:p>
    <w:p>
      <w:pPr>
        <w:rPr>
          <w:szCs w:val="21"/>
        </w:rPr>
      </w:pPr>
    </w:p>
    <w:tbl>
      <w:tblPr>
        <w:tblStyle w:val="1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bCs/>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r>
              <w:rPr>
                <w:rFonts w:hint="eastAsia" w:ascii="宋体" w:hAnsi="宋体"/>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bl>
    <w:p>
      <w:pPr>
        <w:tabs>
          <w:tab w:val="left" w:pos="654"/>
          <w:tab w:val="left" w:pos="1734"/>
          <w:tab w:val="left" w:pos="2814"/>
          <w:tab w:val="left" w:pos="3894"/>
          <w:tab w:val="left" w:pos="5334"/>
          <w:tab w:val="left" w:pos="6414"/>
          <w:tab w:val="left" w:pos="7254"/>
          <w:tab w:val="left" w:pos="8574"/>
          <w:tab w:val="left" w:pos="9654"/>
        </w:tabs>
        <w:rPr>
          <w:szCs w:val="21"/>
        </w:rPr>
      </w:pPr>
    </w:p>
    <w:p>
      <w:pPr>
        <w:tabs>
          <w:tab w:val="left" w:pos="654"/>
          <w:tab w:val="left" w:pos="1734"/>
          <w:tab w:val="left" w:pos="2814"/>
          <w:tab w:val="left" w:pos="3894"/>
          <w:tab w:val="left" w:pos="5334"/>
          <w:tab w:val="left" w:pos="6414"/>
          <w:tab w:val="left" w:pos="7254"/>
          <w:tab w:val="left" w:pos="8574"/>
          <w:tab w:val="left" w:pos="9654"/>
        </w:tabs>
        <w:rPr>
          <w:szCs w:val="21"/>
          <w:u w:val="single"/>
        </w:rPr>
      </w:pPr>
      <w:r>
        <w:rPr>
          <w:szCs w:val="21"/>
        </w:rPr>
        <w:t>法人代表或被授权人签字</w:t>
      </w:r>
      <w:r>
        <w:rPr>
          <w:rFonts w:hint="eastAsia"/>
          <w:szCs w:val="21"/>
        </w:rPr>
        <w:t>：</w:t>
      </w:r>
      <w:r>
        <w:rPr>
          <w:szCs w:val="21"/>
          <w:u w:val="single"/>
        </w:rPr>
        <w:t xml:space="preserve">                          </w:t>
      </w:r>
      <w:r>
        <w:rPr>
          <w:szCs w:val="21"/>
        </w:rPr>
        <w:t xml:space="preserve">                                                     单位盖章：</w:t>
      </w:r>
      <w:r>
        <w:rPr>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rPr>
          <w:szCs w:val="21"/>
          <w:u w:val="single"/>
        </w:rPr>
      </w:pPr>
    </w:p>
    <w:p>
      <w:pPr>
        <w:rPr>
          <w:rFonts w:ascii="宋体" w:hAnsi="宋体"/>
          <w:bCs/>
          <w:sz w:val="24"/>
          <w:szCs w:val="24"/>
        </w:rPr>
      </w:pPr>
      <w:r>
        <w:rPr>
          <w:rFonts w:ascii="宋体" w:hAnsi="宋体"/>
          <w:szCs w:val="21"/>
        </w:rPr>
        <w:br w:type="page"/>
      </w:r>
    </w:p>
    <w:p>
      <w:pPr>
        <w:rPr>
          <w:rFonts w:ascii="宋体" w:hAnsi="宋体"/>
          <w:szCs w:val="21"/>
        </w:rPr>
      </w:pPr>
      <w:r>
        <w:rPr>
          <w:rFonts w:ascii="宋体" w:hAnsi="宋体"/>
          <w:szCs w:val="21"/>
        </w:rPr>
        <w:t>格式3. 投标分项报价表格式</w:t>
      </w:r>
    </w:p>
    <w:p>
      <w:pPr>
        <w:spacing w:before="120" w:after="240"/>
        <w:jc w:val="center"/>
        <w:rPr>
          <w:rFonts w:eastAsia="黑体"/>
          <w:sz w:val="30"/>
          <w:szCs w:val="30"/>
        </w:rPr>
      </w:pPr>
      <w:bookmarkStart w:id="6" w:name="_Toc211248414"/>
      <w:r>
        <w:rPr>
          <w:rFonts w:eastAsia="黑体"/>
          <w:sz w:val="30"/>
          <w:szCs w:val="30"/>
        </w:rPr>
        <w:t>投标分项报价表</w:t>
      </w:r>
      <w:bookmarkEnd w:id="6"/>
    </w:p>
    <w:p>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pPr>
        <w:spacing w:after="80"/>
        <w:rPr>
          <w:szCs w:val="21"/>
          <w:u w:val="single"/>
        </w:rPr>
      </w:pPr>
      <w:r>
        <w:rPr>
          <w:szCs w:val="21"/>
        </w:rPr>
        <w:t>投标人名称：</w:t>
      </w:r>
      <w:r>
        <w:rPr>
          <w:szCs w:val="21"/>
          <w:u w:val="single"/>
        </w:rPr>
        <w:t xml:space="preserve">                        </w:t>
      </w:r>
      <w:r>
        <w:rPr>
          <w:szCs w:val="21"/>
        </w:rPr>
        <w:t xml:space="preserve">                                                        招标编号：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tbl>
      <w:tblPr>
        <w:tblStyle w:val="1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jc w:val="center"/>
              <w:rPr>
                <w:szCs w:val="21"/>
              </w:rPr>
            </w:pPr>
            <w:r>
              <w:rPr>
                <w:rFonts w:hint="eastAsia" w:ascii="宋体" w:hAnsi="宋体"/>
                <w:szCs w:val="21"/>
              </w:rPr>
              <w:t>投标人招标文件内容自行制作</w:t>
            </w:r>
            <w:r>
              <w:rPr>
                <w:rFonts w:ascii="宋体" w:hAnsi="宋体"/>
                <w:szCs w:val="21"/>
              </w:rPr>
              <w:t>投标分项报价表</w:t>
            </w:r>
          </w:p>
        </w:tc>
      </w:tr>
    </w:tbl>
    <w:p>
      <w:pPr>
        <w:rPr>
          <w:szCs w:val="21"/>
          <w:u w:val="single"/>
        </w:rPr>
      </w:pPr>
    </w:p>
    <w:p>
      <w:pPr>
        <w:rPr>
          <w:szCs w:val="21"/>
          <w:u w:val="single"/>
        </w:rPr>
      </w:pPr>
    </w:p>
    <w:p>
      <w:pPr>
        <w:rPr>
          <w:szCs w:val="21"/>
          <w:u w:val="single"/>
        </w:rPr>
      </w:pPr>
      <w:r>
        <w:rPr>
          <w:szCs w:val="21"/>
        </w:rPr>
        <w:t>法人代表或被授权人签字</w:t>
      </w:r>
      <w:r>
        <w:rPr>
          <w:rFonts w:hint="eastAsia"/>
          <w:szCs w:val="21"/>
        </w:rPr>
        <w:t>：</w:t>
      </w:r>
      <w:r>
        <w:rPr>
          <w:szCs w:val="21"/>
          <w:u w:val="single"/>
        </w:rPr>
        <w:t xml:space="preserve">                          </w:t>
      </w:r>
      <w:r>
        <w:rPr>
          <w:szCs w:val="21"/>
        </w:rPr>
        <w:t xml:space="preserve">                                                  单位盖章：</w:t>
      </w:r>
      <w:r>
        <w:rPr>
          <w:szCs w:val="21"/>
          <w:u w:val="single"/>
        </w:rPr>
        <w:t xml:space="preserve">                       </w:t>
      </w:r>
    </w:p>
    <w:p>
      <w:pPr>
        <w:rPr>
          <w:rFonts w:ascii="宋体" w:hAnsi="宋体"/>
          <w:szCs w:val="21"/>
        </w:rPr>
      </w:pPr>
      <w:r>
        <w:rPr>
          <w:rFonts w:ascii="宋体" w:hAnsi="宋体"/>
          <w:szCs w:val="21"/>
        </w:rPr>
        <w:t>注：1、如果分项报价与总价不一致，以总价为准。</w:t>
      </w:r>
    </w:p>
    <w:p>
      <w:pPr>
        <w:rPr>
          <w:rFonts w:ascii="宋体" w:hAnsi="宋体"/>
          <w:szCs w:val="21"/>
        </w:rPr>
      </w:pPr>
      <w:r>
        <w:rPr>
          <w:rFonts w:ascii="宋体" w:hAnsi="宋体"/>
          <w:szCs w:val="21"/>
        </w:rPr>
        <w:t xml:space="preserve">    2、如果不提供详细分项报价将视为没有实质性相应招标文件。</w:t>
      </w:r>
    </w:p>
    <w:p>
      <w:pPr>
        <w:rPr>
          <w:rFonts w:ascii="宋体" w:hAnsi="宋体"/>
          <w:szCs w:val="21"/>
        </w:rPr>
        <w:sectPr>
          <w:headerReference r:id="rId7" w:type="default"/>
          <w:footerReference r:id="rId8" w:type="default"/>
          <w:footerReference r:id="rId9" w:type="even"/>
          <w:pgSz w:w="16840" w:h="11907" w:orient="landscape"/>
          <w:pgMar w:top="1440" w:right="1797" w:bottom="1440" w:left="1797" w:header="851" w:footer="992" w:gutter="0"/>
          <w:cols w:space="720" w:num="1"/>
          <w:docGrid w:linePitch="462" w:charSpace="0"/>
        </w:sectPr>
      </w:pPr>
      <w:r>
        <w:rPr>
          <w:rFonts w:ascii="宋体" w:hAnsi="宋体"/>
          <w:szCs w:val="21"/>
        </w:rPr>
        <w:t xml:space="preserve">    3、总计价应等于“开标一览表”中的投标总价</w:t>
      </w:r>
    </w:p>
    <w:p>
      <w:pPr>
        <w:rPr>
          <w:rFonts w:ascii="宋体" w:hAnsi="宋体"/>
          <w:szCs w:val="21"/>
        </w:rPr>
      </w:pPr>
      <w:bookmarkStart w:id="7" w:name="_Toc211243319"/>
      <w:bookmarkStart w:id="8" w:name="_Toc311468378"/>
      <w:r>
        <w:rPr>
          <w:rFonts w:ascii="宋体" w:hAnsi="宋体"/>
          <w:szCs w:val="21"/>
        </w:rPr>
        <w:t>格式</w:t>
      </w:r>
      <w:r>
        <w:rPr>
          <w:rFonts w:hint="eastAsia" w:ascii="宋体" w:hAnsi="宋体"/>
          <w:szCs w:val="21"/>
        </w:rPr>
        <w:t>4</w:t>
      </w:r>
      <w:r>
        <w:rPr>
          <w:rFonts w:ascii="宋体" w:hAnsi="宋体"/>
          <w:szCs w:val="21"/>
        </w:rPr>
        <w:t>.</w:t>
      </w:r>
      <w:bookmarkEnd w:id="7"/>
      <w:r>
        <w:rPr>
          <w:rFonts w:ascii="宋体" w:hAnsi="宋体"/>
          <w:szCs w:val="21"/>
        </w:rPr>
        <w:t xml:space="preserve"> 技术</w:t>
      </w:r>
      <w:r>
        <w:rPr>
          <w:rFonts w:hint="eastAsia" w:ascii="宋体" w:hAnsi="宋体"/>
          <w:szCs w:val="21"/>
        </w:rPr>
        <w:t>需求</w:t>
      </w:r>
      <w:r>
        <w:rPr>
          <w:rFonts w:ascii="宋体" w:hAnsi="宋体"/>
          <w:szCs w:val="21"/>
        </w:rPr>
        <w:t>响应/偏离表</w:t>
      </w:r>
      <w:bookmarkEnd w:id="8"/>
    </w:p>
    <w:p>
      <w:pPr>
        <w:spacing w:before="240" w:after="240"/>
        <w:jc w:val="center"/>
        <w:rPr>
          <w:rFonts w:eastAsia="黑体"/>
          <w:sz w:val="30"/>
          <w:szCs w:val="30"/>
        </w:rPr>
      </w:pPr>
      <w:r>
        <w:rPr>
          <w:rFonts w:eastAsia="黑体"/>
          <w:sz w:val="30"/>
          <w:szCs w:val="30"/>
        </w:rPr>
        <w:t>技术</w:t>
      </w:r>
      <w:r>
        <w:rPr>
          <w:rFonts w:hint="eastAsia" w:eastAsia="黑体"/>
          <w:sz w:val="30"/>
          <w:szCs w:val="30"/>
        </w:rPr>
        <w:t>需求</w:t>
      </w:r>
      <w:r>
        <w:rPr>
          <w:rFonts w:eastAsia="黑体"/>
          <w:sz w:val="30"/>
          <w:szCs w:val="30"/>
        </w:rPr>
        <w:t>响应/偏离表</w:t>
      </w:r>
    </w:p>
    <w:p>
      <w:pPr>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sz w:val="24"/>
                <w:szCs w:val="24"/>
              </w:rPr>
            </w:pPr>
            <w:r>
              <w:rPr>
                <w:rFonts w:hint="eastAsia"/>
                <w:szCs w:val="24"/>
              </w:rPr>
              <w:t>项目</w:t>
            </w:r>
            <w:r>
              <w:rPr>
                <w:szCs w:val="24"/>
              </w:rPr>
              <w:t>名称</w:t>
            </w:r>
          </w:p>
        </w:tc>
        <w:tc>
          <w:tcPr>
            <w:tcW w:w="1980" w:type="dxa"/>
            <w:vAlign w:val="center"/>
          </w:tcPr>
          <w:p>
            <w:pPr>
              <w:jc w:val="center"/>
              <w:rPr>
                <w:szCs w:val="24"/>
              </w:rPr>
            </w:pPr>
            <w:r>
              <w:rPr>
                <w:szCs w:val="24"/>
              </w:rPr>
              <w:t>招标文件技术需求</w:t>
            </w:r>
          </w:p>
        </w:tc>
        <w:tc>
          <w:tcPr>
            <w:tcW w:w="1832" w:type="dxa"/>
            <w:vAlign w:val="center"/>
          </w:tcPr>
          <w:p>
            <w:pPr>
              <w:jc w:val="center"/>
              <w:rPr>
                <w:sz w:val="24"/>
                <w:szCs w:val="24"/>
              </w:rPr>
            </w:pPr>
            <w:r>
              <w:rPr>
                <w:szCs w:val="24"/>
              </w:rPr>
              <w:t>投标人响应情况</w:t>
            </w:r>
          </w:p>
        </w:tc>
        <w:tc>
          <w:tcPr>
            <w:tcW w:w="1675" w:type="dxa"/>
            <w:vAlign w:val="center"/>
          </w:tcPr>
          <w:p>
            <w:pPr>
              <w:jc w:val="center"/>
              <w:rPr>
                <w:szCs w:val="24"/>
              </w:rPr>
            </w:pPr>
            <w:r>
              <w:rPr>
                <w:szCs w:val="24"/>
              </w:rPr>
              <w:t>是否有偏离</w:t>
            </w:r>
          </w:p>
          <w:p>
            <w:pPr>
              <w:jc w:val="center"/>
              <w:rPr>
                <w:sz w:val="24"/>
                <w:szCs w:val="24"/>
              </w:rPr>
            </w:pPr>
            <w:r>
              <w:rPr>
                <w:szCs w:val="24"/>
              </w:rPr>
              <w:t>（填写有/无）</w:t>
            </w:r>
          </w:p>
        </w:tc>
        <w:tc>
          <w:tcPr>
            <w:tcW w:w="1673" w:type="dxa"/>
            <w:vAlign w:val="center"/>
          </w:tcPr>
          <w:p>
            <w:pPr>
              <w:jc w:val="center"/>
              <w:rPr>
                <w:sz w:val="24"/>
                <w:szCs w:val="24"/>
              </w:rPr>
            </w:pPr>
            <w:r>
              <w:rPr>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rFonts w:ascii="宋体" w:hAnsi="宋体"/>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bl>
    <w:p>
      <w:pPr>
        <w:rPr>
          <w:rFonts w:ascii="宋体" w:hAnsi="宋体"/>
          <w:szCs w:val="21"/>
          <w:u w:val="single"/>
        </w:rPr>
      </w:pPr>
    </w:p>
    <w:p>
      <w:pPr>
        <w:rPr>
          <w:rFonts w:ascii="宋体" w:hAnsi="宋体"/>
          <w:sz w:val="18"/>
          <w:szCs w:val="24"/>
        </w:rPr>
      </w:pPr>
      <w:r>
        <w:rPr>
          <w:rFonts w:ascii="宋体" w:hAnsi="宋体"/>
          <w:sz w:val="18"/>
          <w:szCs w:val="24"/>
        </w:rPr>
        <w:t>填报说明：</w:t>
      </w:r>
    </w:p>
    <w:p>
      <w:pPr>
        <w:rPr>
          <w:rFonts w:ascii="宋体" w:hAnsi="宋体"/>
          <w:sz w:val="18"/>
          <w:szCs w:val="24"/>
        </w:rPr>
      </w:pPr>
      <w:r>
        <w:rPr>
          <w:rFonts w:ascii="宋体" w:hAnsi="宋体"/>
          <w:sz w:val="18"/>
          <w:szCs w:val="24"/>
        </w:rPr>
        <w:t>1</w:t>
      </w:r>
      <w:r>
        <w:rPr>
          <w:rFonts w:hint="eastAsia" w:ascii="宋体" w:hAnsi="宋体"/>
          <w:sz w:val="18"/>
          <w:szCs w:val="24"/>
        </w:rPr>
        <w:t>、</w:t>
      </w:r>
      <w:r>
        <w:rPr>
          <w:rFonts w:ascii="宋体" w:hAnsi="宋体"/>
          <w:sz w:val="18"/>
          <w:szCs w:val="24"/>
        </w:rPr>
        <w:t>本表中的《招标文件技术需求》来自招标文件第二章“</w:t>
      </w:r>
      <w:r>
        <w:rPr>
          <w:rFonts w:ascii="宋体" w:hAnsi="宋体"/>
          <w:bCs/>
          <w:kern w:val="0"/>
          <w:sz w:val="18"/>
          <w:szCs w:val="18"/>
          <w:lang w:val="zh-CN"/>
        </w:rPr>
        <w:t>技术</w:t>
      </w:r>
      <w:r>
        <w:rPr>
          <w:rFonts w:ascii="宋体" w:hAnsi="宋体"/>
          <w:sz w:val="18"/>
          <w:szCs w:val="18"/>
        </w:rPr>
        <w:t>需求明细”</w:t>
      </w:r>
      <w:r>
        <w:rPr>
          <w:rFonts w:ascii="宋体" w:hAnsi="宋体"/>
          <w:sz w:val="18"/>
          <w:szCs w:val="24"/>
        </w:rPr>
        <w:t>，投标人须逐条填写在本表中，并</w:t>
      </w:r>
      <w:r>
        <w:rPr>
          <w:rFonts w:hint="eastAsia" w:ascii="宋体" w:hAnsi="宋体"/>
          <w:sz w:val="18"/>
          <w:szCs w:val="24"/>
        </w:rPr>
        <w:t>做出</w:t>
      </w:r>
      <w:r>
        <w:rPr>
          <w:rFonts w:ascii="宋体" w:hAnsi="宋体"/>
          <w:sz w:val="18"/>
          <w:szCs w:val="24"/>
        </w:rPr>
        <w:t>响应。</w:t>
      </w:r>
    </w:p>
    <w:p>
      <w:pPr>
        <w:rPr>
          <w:rFonts w:ascii="宋体" w:hAnsi="宋体"/>
          <w:sz w:val="18"/>
          <w:szCs w:val="24"/>
        </w:rPr>
      </w:pPr>
      <w:r>
        <w:rPr>
          <w:rFonts w:ascii="宋体" w:hAnsi="宋体"/>
          <w:sz w:val="18"/>
          <w:szCs w:val="24"/>
        </w:rPr>
        <w:t>2</w:t>
      </w:r>
      <w:r>
        <w:rPr>
          <w:rFonts w:hint="eastAsia" w:ascii="宋体" w:hAnsi="宋体"/>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rPr>
          <w:rFonts w:ascii="宋体" w:hAnsi="宋体"/>
          <w:sz w:val="18"/>
          <w:szCs w:val="24"/>
        </w:rPr>
      </w:pPr>
      <w:r>
        <w:rPr>
          <w:rFonts w:ascii="宋体" w:hAnsi="宋体"/>
          <w:sz w:val="18"/>
          <w:szCs w:val="24"/>
        </w:rPr>
        <w:t>3</w:t>
      </w:r>
      <w:r>
        <w:rPr>
          <w:rFonts w:hint="eastAsia" w:ascii="宋体" w:hAnsi="宋体"/>
          <w:sz w:val="18"/>
          <w:szCs w:val="24"/>
        </w:rPr>
        <w:t>、</w:t>
      </w:r>
      <w:r>
        <w:rPr>
          <w:rFonts w:ascii="宋体" w:hAnsi="宋体"/>
          <w:sz w:val="18"/>
          <w:szCs w:val="24"/>
        </w:rPr>
        <w:t>《有/无偏离》栏只需填“有”或“无”，填“有”的可以在其后《</w:t>
      </w:r>
      <w:r>
        <w:rPr>
          <w:rFonts w:hint="eastAsia" w:ascii="宋体" w:hAnsi="宋体"/>
          <w:sz w:val="18"/>
          <w:szCs w:val="24"/>
        </w:rPr>
        <w:t>偏离</w:t>
      </w:r>
      <w:r>
        <w:rPr>
          <w:rFonts w:ascii="宋体" w:hAnsi="宋体"/>
          <w:sz w:val="18"/>
          <w:szCs w:val="24"/>
        </w:rPr>
        <w:t>说明》栏中作出说明。</w:t>
      </w:r>
    </w:p>
    <w:p>
      <w:pPr>
        <w:rPr>
          <w:rFonts w:ascii="宋体" w:hAnsi="宋体"/>
          <w:szCs w:val="21"/>
        </w:rPr>
      </w:pPr>
    </w:p>
    <w:p>
      <w:pPr>
        <w:rPr>
          <w:rFonts w:ascii="宋体" w:hAnsi="宋体"/>
          <w:bCs/>
          <w:sz w:val="24"/>
          <w:szCs w:val="24"/>
        </w:rPr>
      </w:pPr>
      <w:r>
        <w:rPr>
          <w:rFonts w:ascii="宋体" w:hAnsi="宋体"/>
          <w:szCs w:val="21"/>
        </w:rPr>
        <w:t>法人代表或被授权人签字</w:t>
      </w:r>
      <w:r>
        <w:rPr>
          <w:rFonts w:hint="eastAsia" w:ascii="宋体" w:hAnsi="宋体"/>
          <w:szCs w:val="21"/>
        </w:rPr>
        <w:t>：</w:t>
      </w:r>
      <w:r>
        <w:rPr>
          <w:rFonts w:ascii="宋体" w:hAnsi="宋体"/>
          <w:szCs w:val="21"/>
          <w:u w:val="single"/>
        </w:rPr>
        <w:t xml:space="preserve">                        </w:t>
      </w:r>
      <w:r>
        <w:rPr>
          <w:rFonts w:ascii="宋体" w:hAnsi="宋体"/>
          <w:szCs w:val="21"/>
        </w:rPr>
        <w:t xml:space="preserve">           </w:t>
      </w:r>
    </w:p>
    <w:p>
      <w:pPr>
        <w:rPr>
          <w:rFonts w:ascii="宋体" w:hAnsi="宋体"/>
          <w:bCs/>
          <w:sz w:val="24"/>
          <w:szCs w:val="24"/>
        </w:rPr>
      </w:pPr>
    </w:p>
    <w:p>
      <w:pPr>
        <w:rPr>
          <w:rFonts w:ascii="宋体" w:hAnsi="宋体"/>
          <w:bCs/>
          <w:sz w:val="24"/>
          <w:szCs w:val="24"/>
        </w:rPr>
      </w:pPr>
    </w:p>
    <w:p>
      <w:pPr>
        <w:rPr>
          <w:rFonts w:ascii="宋体" w:hAnsi="宋体"/>
          <w:bCs/>
          <w:sz w:val="24"/>
          <w:szCs w:val="24"/>
        </w:rPr>
      </w:pPr>
    </w:p>
    <w:p>
      <w:pPr>
        <w:rPr>
          <w:rFonts w:ascii="宋体" w:hAnsi="宋体"/>
          <w:bCs/>
          <w:sz w:val="24"/>
          <w:szCs w:val="24"/>
        </w:rPr>
      </w:pPr>
    </w:p>
    <w:p>
      <w:pPr>
        <w:rPr>
          <w:rFonts w:ascii="宋体" w:hAnsi="宋体"/>
          <w:bCs/>
          <w:sz w:val="24"/>
          <w:szCs w:val="24"/>
        </w:rPr>
      </w:pPr>
    </w:p>
    <w:p>
      <w:pPr>
        <w:rPr>
          <w:rFonts w:ascii="宋体" w:hAnsi="宋体"/>
          <w:szCs w:val="21"/>
        </w:rPr>
      </w:pPr>
      <w:r>
        <w:rPr>
          <w:rFonts w:ascii="宋体" w:hAnsi="宋体"/>
          <w:szCs w:val="21"/>
        </w:rPr>
        <w:t>格式</w:t>
      </w:r>
      <w:r>
        <w:rPr>
          <w:rFonts w:hint="eastAsia" w:ascii="宋体" w:hAnsi="宋体"/>
          <w:szCs w:val="21"/>
        </w:rPr>
        <w:t>5.</w:t>
      </w:r>
      <w:r>
        <w:rPr>
          <w:rFonts w:ascii="宋体" w:hAnsi="宋体"/>
          <w:szCs w:val="21"/>
        </w:rPr>
        <w:t xml:space="preserve"> 商务条款响应/偏离表格式</w:t>
      </w:r>
    </w:p>
    <w:p>
      <w:pPr>
        <w:spacing w:before="240" w:after="240"/>
        <w:jc w:val="center"/>
        <w:rPr>
          <w:rFonts w:eastAsia="黑体"/>
          <w:sz w:val="30"/>
          <w:szCs w:val="30"/>
        </w:rPr>
      </w:pPr>
      <w:bookmarkStart w:id="9" w:name="_Toc211248420"/>
      <w:r>
        <w:rPr>
          <w:rFonts w:eastAsia="黑体"/>
          <w:sz w:val="30"/>
          <w:szCs w:val="30"/>
        </w:rPr>
        <w:t>商务条款响应/偏离表</w:t>
      </w:r>
      <w:bookmarkEnd w:id="9"/>
    </w:p>
    <w:p>
      <w:pPr>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sz w:val="24"/>
                <w:szCs w:val="24"/>
              </w:rPr>
            </w:pPr>
            <w:r>
              <w:rPr>
                <w:szCs w:val="24"/>
              </w:rPr>
              <w:t>需求名称</w:t>
            </w:r>
          </w:p>
        </w:tc>
        <w:tc>
          <w:tcPr>
            <w:tcW w:w="1980" w:type="dxa"/>
            <w:vAlign w:val="center"/>
          </w:tcPr>
          <w:p>
            <w:pPr>
              <w:jc w:val="center"/>
              <w:rPr>
                <w:sz w:val="24"/>
                <w:szCs w:val="24"/>
              </w:rPr>
            </w:pPr>
            <w:r>
              <w:rPr>
                <w:szCs w:val="24"/>
              </w:rPr>
              <w:t>招标文件商务需求</w:t>
            </w:r>
          </w:p>
        </w:tc>
        <w:tc>
          <w:tcPr>
            <w:tcW w:w="1832" w:type="dxa"/>
            <w:vAlign w:val="center"/>
          </w:tcPr>
          <w:p>
            <w:pPr>
              <w:jc w:val="center"/>
              <w:rPr>
                <w:sz w:val="24"/>
                <w:szCs w:val="24"/>
              </w:rPr>
            </w:pPr>
            <w:r>
              <w:rPr>
                <w:szCs w:val="24"/>
              </w:rPr>
              <w:t>投标人响应情况</w:t>
            </w:r>
          </w:p>
        </w:tc>
        <w:tc>
          <w:tcPr>
            <w:tcW w:w="1675" w:type="dxa"/>
            <w:vAlign w:val="center"/>
          </w:tcPr>
          <w:p>
            <w:pPr>
              <w:jc w:val="center"/>
              <w:rPr>
                <w:szCs w:val="24"/>
              </w:rPr>
            </w:pPr>
            <w:r>
              <w:rPr>
                <w:szCs w:val="24"/>
              </w:rPr>
              <w:t>是否有偏离</w:t>
            </w:r>
          </w:p>
          <w:p>
            <w:pPr>
              <w:jc w:val="center"/>
              <w:rPr>
                <w:sz w:val="24"/>
                <w:szCs w:val="24"/>
              </w:rPr>
            </w:pPr>
            <w:r>
              <w:rPr>
                <w:szCs w:val="24"/>
              </w:rPr>
              <w:t>（填写有/无）</w:t>
            </w:r>
          </w:p>
        </w:tc>
        <w:tc>
          <w:tcPr>
            <w:tcW w:w="1673" w:type="dxa"/>
            <w:vAlign w:val="center"/>
          </w:tcPr>
          <w:p>
            <w:pPr>
              <w:jc w:val="center"/>
              <w:rPr>
                <w:sz w:val="24"/>
                <w:szCs w:val="24"/>
              </w:rPr>
            </w:pPr>
            <w:r>
              <w:rPr>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rFonts w:ascii="宋体" w:hAnsi="宋体"/>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bl>
    <w:p>
      <w:pPr>
        <w:rPr>
          <w:szCs w:val="21"/>
          <w:u w:val="single"/>
        </w:rPr>
      </w:pPr>
    </w:p>
    <w:p>
      <w:pPr>
        <w:rPr>
          <w:rFonts w:ascii="宋体" w:hAnsi="宋体"/>
          <w:sz w:val="18"/>
          <w:szCs w:val="24"/>
        </w:rPr>
      </w:pPr>
      <w:r>
        <w:rPr>
          <w:rFonts w:ascii="宋体" w:hAnsi="宋体"/>
          <w:sz w:val="18"/>
          <w:szCs w:val="24"/>
        </w:rPr>
        <w:t>填报说明：</w:t>
      </w:r>
    </w:p>
    <w:p>
      <w:pPr>
        <w:rPr>
          <w:rFonts w:ascii="宋体" w:hAnsi="宋体"/>
          <w:sz w:val="18"/>
          <w:szCs w:val="24"/>
        </w:rPr>
      </w:pPr>
      <w:r>
        <w:rPr>
          <w:rFonts w:ascii="宋体" w:hAnsi="宋体"/>
          <w:sz w:val="18"/>
          <w:szCs w:val="24"/>
        </w:rPr>
        <w:t>1</w:t>
      </w:r>
      <w:r>
        <w:rPr>
          <w:rFonts w:hint="eastAsia" w:ascii="宋体" w:hAnsi="宋体"/>
          <w:sz w:val="18"/>
          <w:szCs w:val="24"/>
        </w:rPr>
        <w:t>、</w:t>
      </w:r>
      <w:r>
        <w:rPr>
          <w:rFonts w:ascii="宋体" w:hAnsi="宋体"/>
          <w:sz w:val="18"/>
          <w:szCs w:val="24"/>
        </w:rPr>
        <w:t>本表中的《招标文件商务需求》来自招标文件 “商务需求明细”，投标人须逐条填写在本表中，并</w:t>
      </w:r>
      <w:r>
        <w:rPr>
          <w:rFonts w:hint="eastAsia" w:ascii="宋体" w:hAnsi="宋体"/>
          <w:sz w:val="18"/>
          <w:szCs w:val="24"/>
        </w:rPr>
        <w:t>做出</w:t>
      </w:r>
      <w:r>
        <w:rPr>
          <w:rFonts w:ascii="宋体" w:hAnsi="宋体"/>
          <w:sz w:val="18"/>
          <w:szCs w:val="24"/>
        </w:rPr>
        <w:t>响应。</w:t>
      </w:r>
    </w:p>
    <w:p>
      <w:pPr>
        <w:rPr>
          <w:rFonts w:ascii="宋体" w:hAnsi="宋体"/>
          <w:sz w:val="18"/>
          <w:szCs w:val="24"/>
        </w:rPr>
      </w:pPr>
      <w:r>
        <w:rPr>
          <w:rFonts w:ascii="宋体" w:hAnsi="宋体"/>
          <w:sz w:val="18"/>
          <w:szCs w:val="24"/>
        </w:rPr>
        <w:t>2</w:t>
      </w:r>
      <w:r>
        <w:rPr>
          <w:rFonts w:hint="eastAsia" w:ascii="宋体" w:hAnsi="宋体"/>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rPr>
          <w:rFonts w:ascii="宋体" w:hAnsi="宋体"/>
          <w:sz w:val="18"/>
          <w:szCs w:val="21"/>
        </w:rPr>
      </w:pPr>
      <w:r>
        <w:rPr>
          <w:rFonts w:ascii="宋体" w:hAnsi="宋体"/>
          <w:sz w:val="18"/>
          <w:szCs w:val="24"/>
        </w:rPr>
        <w:t>3</w:t>
      </w:r>
      <w:r>
        <w:rPr>
          <w:rFonts w:hint="eastAsia" w:ascii="宋体" w:hAnsi="宋体"/>
          <w:sz w:val="18"/>
          <w:szCs w:val="24"/>
        </w:rPr>
        <w:t>、</w:t>
      </w:r>
      <w:r>
        <w:rPr>
          <w:rFonts w:ascii="宋体" w:hAnsi="宋体"/>
          <w:sz w:val="18"/>
          <w:szCs w:val="24"/>
        </w:rPr>
        <w:t>《有/无偏离》栏只需填“有”或“无”，填“有”的可以在其后《偏离说明》栏中作出说明。</w:t>
      </w:r>
    </w:p>
    <w:p>
      <w:pPr>
        <w:rPr>
          <w:rFonts w:ascii="宋体" w:hAnsi="宋体"/>
          <w:szCs w:val="21"/>
        </w:rPr>
      </w:pPr>
    </w:p>
    <w:p>
      <w:pPr>
        <w:rPr>
          <w:rFonts w:ascii="宋体" w:hAnsi="宋体"/>
          <w:szCs w:val="21"/>
          <w:u w:val="single"/>
        </w:rPr>
      </w:pPr>
      <w:r>
        <w:rPr>
          <w:rFonts w:ascii="宋体" w:hAnsi="宋体"/>
          <w:szCs w:val="21"/>
        </w:rPr>
        <w:t>法人代表或被授权人签字</w:t>
      </w:r>
      <w:r>
        <w:rPr>
          <w:rFonts w:hint="eastAsia" w:ascii="宋体" w:hAnsi="宋体"/>
          <w:szCs w:val="21"/>
        </w:rPr>
        <w:t>：</w:t>
      </w:r>
      <w:r>
        <w:rPr>
          <w:rFonts w:ascii="宋体" w:hAnsi="宋体"/>
          <w:szCs w:val="21"/>
          <w:u w:val="single"/>
        </w:rPr>
        <w:t xml:space="preserve">                        </w:t>
      </w:r>
    </w:p>
    <w:p>
      <w:pPr>
        <w:rPr>
          <w:rFonts w:ascii="宋体" w:hAnsi="宋体"/>
          <w:szCs w:val="21"/>
        </w:rPr>
      </w:pPr>
    </w:p>
    <w:p>
      <w:pPr>
        <w:rPr>
          <w:rFonts w:ascii="宋体" w:hAnsi="宋体"/>
          <w:szCs w:val="21"/>
          <w:u w:val="single"/>
        </w:rPr>
      </w:pPr>
      <w:r>
        <w:rPr>
          <w:rFonts w:ascii="宋体" w:hAnsi="宋体"/>
          <w:szCs w:val="21"/>
        </w:rPr>
        <w:t>单位盖章：</w:t>
      </w:r>
      <w:r>
        <w:rPr>
          <w:rFonts w:ascii="宋体" w:hAnsi="宋体"/>
          <w:szCs w:val="21"/>
          <w:u w:val="single"/>
        </w:rPr>
        <w:t xml:space="preserve">                             </w:t>
      </w:r>
    </w:p>
    <w:p>
      <w:pPr>
        <w:rPr>
          <w:rFonts w:ascii="宋体" w:hAnsi="宋体"/>
          <w:bCs/>
          <w:sz w:val="24"/>
          <w:szCs w:val="24"/>
        </w:rPr>
      </w:pPr>
      <w:r>
        <w:rPr>
          <w:rFonts w:ascii="宋体" w:hAnsi="宋体"/>
          <w:szCs w:val="21"/>
        </w:rPr>
        <w:br w:type="page"/>
      </w:r>
    </w:p>
    <w:p>
      <w:pPr>
        <w:rPr>
          <w:rFonts w:ascii="宋体" w:hAnsi="宋体"/>
          <w:szCs w:val="21"/>
        </w:rPr>
      </w:pPr>
      <w:bookmarkStart w:id="10" w:name="_Toc201743116"/>
      <w:bookmarkStart w:id="11" w:name="_Toc201719118"/>
      <w:bookmarkStart w:id="12" w:name="_Toc201401658"/>
      <w:bookmarkStart w:id="13" w:name="_Toc201742861"/>
      <w:bookmarkStart w:id="14" w:name="_Toc201997946"/>
    </w:p>
    <w:p>
      <w:pPr>
        <w:rPr>
          <w:rFonts w:ascii="宋体" w:hAnsi="宋体"/>
          <w:szCs w:val="21"/>
        </w:rPr>
      </w:pPr>
      <w:r>
        <w:rPr>
          <w:rFonts w:hint="eastAsia" w:ascii="宋体" w:hAnsi="宋体"/>
          <w:szCs w:val="21"/>
        </w:rPr>
        <w:t>格式6：法人授权书</w:t>
      </w:r>
    </w:p>
    <w:p>
      <w:pPr>
        <w:ind w:firstLine="2891" w:firstLineChars="1200"/>
        <w:rPr>
          <w:rFonts w:ascii="宋体" w:hAnsi="宋体"/>
          <w:bCs/>
          <w:sz w:val="24"/>
          <w:szCs w:val="24"/>
        </w:rPr>
      </w:pPr>
      <w:r>
        <w:rPr>
          <w:rFonts w:hint="eastAsia" w:ascii="宋体" w:hAnsi="宋体"/>
          <w:b/>
          <w:sz w:val="24"/>
          <w:szCs w:val="24"/>
        </w:rPr>
        <w:t>法定代表人授权委托书</w:t>
      </w:r>
    </w:p>
    <w:p>
      <w:pPr>
        <w:jc w:val="left"/>
        <w:rPr>
          <w:rFonts w:ascii="宋体" w:hAnsi="宋体" w:cs="Courier New"/>
          <w:b/>
          <w:sz w:val="24"/>
          <w:szCs w:val="24"/>
        </w:rPr>
      </w:pPr>
      <w:r>
        <w:rPr>
          <w:rFonts w:hint="eastAsia" w:ascii="宋体" w:hAnsi="宋体" w:cs="Courier New"/>
          <w:b/>
          <w:sz w:val="24"/>
          <w:szCs w:val="24"/>
        </w:rPr>
        <w:t>本授权书声明：</w:t>
      </w:r>
    </w:p>
    <w:p>
      <w:pPr>
        <w:ind w:firstLine="480" w:firstLineChars="200"/>
        <w:jc w:val="left"/>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采购活动中相关谈判采购事务。</w:t>
      </w:r>
    </w:p>
    <w:p>
      <w:pPr>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ind w:firstLine="480" w:firstLineChars="200"/>
        <w:jc w:val="left"/>
        <w:rPr>
          <w:rFonts w:ascii="宋体" w:hAnsi="宋体"/>
          <w:bCs/>
          <w:sz w:val="24"/>
          <w:szCs w:val="24"/>
        </w:rPr>
      </w:pPr>
    </w:p>
    <w:p>
      <w:pPr>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p>
    <w:p>
      <w:pPr>
        <w:ind w:firstLine="555"/>
        <w:jc w:val="left"/>
        <w:rPr>
          <w:rFonts w:ascii="宋体" w:hAnsi="宋体"/>
          <w:bCs/>
          <w:sz w:val="24"/>
          <w:szCs w:val="24"/>
          <w:u w:val="single"/>
        </w:rPr>
      </w:pPr>
    </w:p>
    <w:p>
      <w:pPr>
        <w:ind w:firstLine="555"/>
        <w:jc w:val="left"/>
        <w:rPr>
          <w:rFonts w:ascii="宋体" w:hAnsi="宋体"/>
          <w:bCs/>
          <w:sz w:val="24"/>
          <w:szCs w:val="24"/>
          <w:u w:val="single"/>
        </w:rPr>
      </w:pPr>
    </w:p>
    <w:p>
      <w:pPr>
        <w:ind w:firstLine="555"/>
        <w:jc w:val="left"/>
        <w:rPr>
          <w:rFonts w:ascii="宋体" w:hAnsi="宋体"/>
          <w:bCs/>
          <w:sz w:val="24"/>
          <w:szCs w:val="24"/>
          <w:u w:val="single"/>
        </w:rPr>
      </w:pPr>
    </w:p>
    <w:p>
      <w:pPr>
        <w:tabs>
          <w:tab w:val="left" w:pos="0"/>
        </w:tabs>
        <w:jc w:val="left"/>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Cs/>
          <w:sz w:val="24"/>
          <w:szCs w:val="24"/>
        </w:rPr>
        <w:sectPr>
          <w:pgSz w:w="11906" w:h="16838"/>
          <w:pgMar w:top="1701" w:right="1588" w:bottom="1304" w:left="1588" w:header="1247" w:footer="737" w:gutter="0"/>
          <w:cols w:space="720" w:num="1"/>
          <w:docGrid w:linePitch="380" w:charSpace="-4301"/>
        </w:sectPr>
      </w:pPr>
    </w:p>
    <w:bookmarkEnd w:id="10"/>
    <w:bookmarkEnd w:id="11"/>
    <w:bookmarkEnd w:id="12"/>
    <w:bookmarkEnd w:id="13"/>
    <w:bookmarkEnd w:id="14"/>
    <w:p>
      <w:pPr>
        <w:rPr>
          <w:rFonts w:ascii="宋体" w:hAnsi="宋体"/>
          <w:bCs/>
          <w:sz w:val="24"/>
          <w:szCs w:val="24"/>
        </w:rPr>
      </w:pPr>
      <w:r>
        <w:rPr>
          <w:rFonts w:hint="eastAsia" w:ascii="宋体" w:hAnsi="宋体"/>
          <w:bCs/>
          <w:sz w:val="24"/>
          <w:szCs w:val="24"/>
        </w:rPr>
        <w:t>格式7：诚信承诺函</w:t>
      </w:r>
    </w:p>
    <w:p>
      <w:pPr>
        <w:jc w:val="center"/>
        <w:rPr>
          <w:rFonts w:ascii="宋体" w:hAnsi="宋体"/>
          <w:b/>
          <w:sz w:val="24"/>
          <w:szCs w:val="24"/>
        </w:rPr>
      </w:pPr>
      <w:r>
        <w:rPr>
          <w:rFonts w:hint="eastAsia" w:ascii="宋体" w:hAnsi="宋体"/>
          <w:b/>
          <w:bCs/>
          <w:sz w:val="24"/>
          <w:szCs w:val="24"/>
        </w:rPr>
        <w:t>诚信情况承诺函</w:t>
      </w:r>
    </w:p>
    <w:p>
      <w:pPr>
        <w:rPr>
          <w:rFonts w:ascii="宋体" w:hAnsi="宋体"/>
          <w:sz w:val="24"/>
          <w:szCs w:val="24"/>
        </w:rPr>
      </w:pPr>
    </w:p>
    <w:p>
      <w:pPr>
        <w:rPr>
          <w:rFonts w:ascii="宋体" w:hAnsi="宋体"/>
          <w:i/>
          <w:iCs/>
          <w:sz w:val="24"/>
          <w:szCs w:val="24"/>
        </w:rPr>
      </w:pPr>
      <w:r>
        <w:rPr>
          <w:rFonts w:hint="eastAsia" w:ascii="宋体" w:hAnsi="宋体"/>
          <w:sz w:val="24"/>
          <w:szCs w:val="24"/>
        </w:rPr>
        <w:t>致：深圳市儿童医院</w:t>
      </w:r>
    </w:p>
    <w:p>
      <w:pPr>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33"/>
        </w:numPr>
        <w:rPr>
          <w:rFonts w:ascii="宋体" w:hAnsi="宋体"/>
          <w:sz w:val="24"/>
          <w:szCs w:val="24"/>
        </w:rPr>
      </w:pPr>
      <w:r>
        <w:rPr>
          <w:rFonts w:hint="eastAsia" w:ascii="宋体" w:hAnsi="宋体"/>
          <w:sz w:val="24"/>
          <w:szCs w:val="24"/>
        </w:rPr>
        <w:t>被纪检监察部门立案调查，违法违规事实成立的；</w:t>
      </w:r>
    </w:p>
    <w:p>
      <w:pPr>
        <w:numPr>
          <w:ilvl w:val="1"/>
          <w:numId w:val="33"/>
        </w:numPr>
        <w:rPr>
          <w:rFonts w:ascii="宋体" w:hAnsi="宋体"/>
          <w:sz w:val="24"/>
          <w:szCs w:val="24"/>
        </w:rPr>
      </w:pPr>
      <w:r>
        <w:rPr>
          <w:rFonts w:hint="eastAsia" w:ascii="宋体" w:hAnsi="宋体"/>
          <w:sz w:val="24"/>
          <w:szCs w:val="24"/>
        </w:rPr>
        <w:t>未按规定签订、履行采购合同，造成严重后果的；</w:t>
      </w:r>
    </w:p>
    <w:p>
      <w:pPr>
        <w:numPr>
          <w:ilvl w:val="1"/>
          <w:numId w:val="33"/>
        </w:numPr>
        <w:rPr>
          <w:rFonts w:ascii="宋体" w:hAnsi="宋体"/>
          <w:sz w:val="24"/>
          <w:szCs w:val="24"/>
        </w:rPr>
      </w:pPr>
      <w:r>
        <w:rPr>
          <w:rFonts w:hint="eastAsia" w:ascii="宋体" w:hAnsi="宋体"/>
          <w:sz w:val="24"/>
          <w:szCs w:val="24"/>
        </w:rPr>
        <w:t>隐瞒真实情况，提供虚假资料的；</w:t>
      </w:r>
    </w:p>
    <w:p>
      <w:pPr>
        <w:numPr>
          <w:ilvl w:val="1"/>
          <w:numId w:val="33"/>
        </w:numPr>
        <w:rPr>
          <w:rFonts w:ascii="宋体" w:hAnsi="宋体"/>
          <w:sz w:val="24"/>
          <w:szCs w:val="24"/>
        </w:rPr>
      </w:pPr>
      <w:r>
        <w:rPr>
          <w:rFonts w:hint="eastAsia" w:ascii="宋体" w:hAnsi="宋体"/>
          <w:sz w:val="24"/>
          <w:szCs w:val="24"/>
        </w:rPr>
        <w:t>以非法手段排斥其他供应商参与竞争的；</w:t>
      </w:r>
    </w:p>
    <w:p>
      <w:pPr>
        <w:numPr>
          <w:ilvl w:val="1"/>
          <w:numId w:val="33"/>
        </w:numPr>
        <w:rPr>
          <w:rFonts w:ascii="宋体" w:hAnsi="宋体"/>
          <w:sz w:val="24"/>
          <w:szCs w:val="24"/>
        </w:rPr>
      </w:pPr>
      <w:r>
        <w:rPr>
          <w:rFonts w:hint="eastAsia" w:ascii="宋体" w:hAnsi="宋体"/>
          <w:sz w:val="24"/>
          <w:szCs w:val="24"/>
        </w:rPr>
        <w:t>与其他采购参加人串通投标的；</w:t>
      </w:r>
    </w:p>
    <w:p>
      <w:pPr>
        <w:numPr>
          <w:ilvl w:val="1"/>
          <w:numId w:val="33"/>
        </w:numPr>
        <w:rPr>
          <w:rFonts w:ascii="宋体" w:hAnsi="宋体"/>
          <w:sz w:val="24"/>
          <w:szCs w:val="24"/>
        </w:rPr>
      </w:pPr>
      <w:r>
        <w:rPr>
          <w:rFonts w:hint="eastAsia" w:ascii="宋体" w:hAnsi="宋体"/>
          <w:sz w:val="24"/>
          <w:szCs w:val="24"/>
        </w:rPr>
        <w:t>在采购活动中应当回避而未回避的；</w:t>
      </w:r>
    </w:p>
    <w:p>
      <w:pPr>
        <w:numPr>
          <w:ilvl w:val="1"/>
          <w:numId w:val="33"/>
        </w:numPr>
        <w:rPr>
          <w:rFonts w:ascii="宋体" w:hAnsi="宋体"/>
          <w:sz w:val="24"/>
          <w:szCs w:val="24"/>
        </w:rPr>
      </w:pPr>
      <w:r>
        <w:rPr>
          <w:rFonts w:hint="eastAsia" w:ascii="宋体" w:hAnsi="宋体"/>
          <w:sz w:val="24"/>
          <w:szCs w:val="24"/>
        </w:rPr>
        <w:t>恶意投诉的；</w:t>
      </w:r>
    </w:p>
    <w:p>
      <w:pPr>
        <w:numPr>
          <w:ilvl w:val="1"/>
          <w:numId w:val="33"/>
        </w:numPr>
        <w:rPr>
          <w:rFonts w:ascii="宋体" w:hAnsi="宋体"/>
          <w:sz w:val="24"/>
          <w:szCs w:val="24"/>
        </w:rPr>
      </w:pPr>
      <w:r>
        <w:rPr>
          <w:rFonts w:hint="eastAsia" w:ascii="宋体" w:hAnsi="宋体"/>
          <w:sz w:val="24"/>
          <w:szCs w:val="24"/>
        </w:rPr>
        <w:t>向采购项目相关人员行贿或者提供其他不当利益的；</w:t>
      </w:r>
    </w:p>
    <w:p>
      <w:pPr>
        <w:numPr>
          <w:ilvl w:val="1"/>
          <w:numId w:val="33"/>
        </w:numPr>
        <w:rPr>
          <w:rFonts w:ascii="宋体" w:hAnsi="宋体"/>
          <w:sz w:val="24"/>
          <w:szCs w:val="24"/>
        </w:rPr>
      </w:pPr>
      <w:r>
        <w:rPr>
          <w:rFonts w:hint="eastAsia" w:ascii="宋体" w:hAnsi="宋体"/>
          <w:sz w:val="24"/>
          <w:szCs w:val="24"/>
        </w:rPr>
        <w:t>阻碍、抗拒主管部门监督检查的；</w:t>
      </w:r>
    </w:p>
    <w:p>
      <w:pPr>
        <w:numPr>
          <w:ilvl w:val="1"/>
          <w:numId w:val="33"/>
        </w:numPr>
        <w:rPr>
          <w:rFonts w:ascii="宋体" w:hAnsi="宋体"/>
          <w:sz w:val="24"/>
          <w:szCs w:val="24"/>
        </w:rPr>
      </w:pPr>
      <w:r>
        <w:rPr>
          <w:rFonts w:hint="eastAsia" w:ascii="宋体" w:hAnsi="宋体"/>
          <w:sz w:val="24"/>
          <w:szCs w:val="24"/>
        </w:rPr>
        <w:t>在政府采购主管部门履约检查中不及格或评价为差的；</w:t>
      </w:r>
    </w:p>
    <w:p>
      <w:pPr>
        <w:ind w:left="420"/>
        <w:rPr>
          <w:rFonts w:ascii="宋体" w:hAnsi="宋体"/>
          <w:sz w:val="24"/>
          <w:szCs w:val="24"/>
        </w:rPr>
      </w:pPr>
      <w:r>
        <w:rPr>
          <w:rFonts w:hint="eastAsia" w:ascii="宋体" w:hAnsi="宋体"/>
          <w:sz w:val="24"/>
          <w:szCs w:val="24"/>
        </w:rPr>
        <w:t>（十一）主管部门认定的其他情形。</w:t>
      </w:r>
    </w:p>
    <w:p>
      <w:pPr>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ind w:firstLine="525"/>
        <w:rPr>
          <w:rFonts w:ascii="宋体" w:hAnsi="宋体"/>
          <w:sz w:val="24"/>
          <w:szCs w:val="24"/>
        </w:rPr>
      </w:pPr>
    </w:p>
    <w:p>
      <w:pPr>
        <w:ind w:firstLine="525"/>
        <w:rPr>
          <w:rFonts w:ascii="宋体" w:hAnsi="宋体"/>
          <w:sz w:val="24"/>
          <w:szCs w:val="24"/>
        </w:rPr>
      </w:pPr>
    </w:p>
    <w:p>
      <w:pPr>
        <w:ind w:firstLine="525"/>
        <w:rPr>
          <w:rFonts w:ascii="宋体" w:hAnsi="宋体"/>
          <w:sz w:val="24"/>
          <w:szCs w:val="24"/>
        </w:rPr>
      </w:pPr>
    </w:p>
    <w:p>
      <w:pPr>
        <w:ind w:firstLine="525"/>
        <w:rPr>
          <w:rFonts w:ascii="宋体" w:hAnsi="宋体"/>
          <w:sz w:val="24"/>
          <w:szCs w:val="24"/>
        </w:rPr>
      </w:pPr>
    </w:p>
    <w:p>
      <w:pPr>
        <w:ind w:firstLine="525"/>
        <w:rPr>
          <w:rFonts w:ascii="宋体" w:hAnsi="宋体"/>
          <w:sz w:val="24"/>
          <w:szCs w:val="24"/>
        </w:rPr>
      </w:pPr>
    </w:p>
    <w:p>
      <w:pPr>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ind w:firstLine="360" w:firstLineChars="150"/>
      </w:pPr>
      <w:r>
        <w:rPr>
          <w:rFonts w:hint="eastAsia" w:ascii="宋体" w:hAnsi="宋体" w:cs="宋体"/>
          <w:sz w:val="24"/>
          <w:szCs w:val="24"/>
        </w:rPr>
        <w:t>日        期：</w:t>
      </w:r>
      <w:r>
        <w:rPr>
          <w:rFonts w:hint="eastAsia" w:ascii="宋体" w:hAnsi="宋体" w:cs="宋体"/>
          <w:kern w:val="0"/>
          <w:sz w:val="24"/>
          <w:szCs w:val="24"/>
          <w:u w:val="single"/>
        </w:rPr>
        <w:t xml:space="preserve">                                 </w:t>
      </w:r>
    </w:p>
    <w:sectPr>
      <w:footerReference r:id="rId10" w:type="default"/>
      <w:pgSz w:w="11906" w:h="16838"/>
      <w:pgMar w:top="1701" w:right="1588" w:bottom="1304" w:left="1588" w:header="1247" w:footer="737" w:gutter="0"/>
      <w:cols w:space="425" w:num="1"/>
      <w:docGrid w:linePitch="380" w:charSpace="-430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mengsi" w:date="2022-10-26T13:17:00Z" w:initials="l">
    <w:p w14:paraId="138556E2">
      <w:pPr>
        <w:pStyle w:val="6"/>
      </w:pPr>
      <w:r>
        <w:t>请医院填写</w:t>
      </w:r>
    </w:p>
  </w:comment>
  <w:comment w:id="1" w:author="limengsi" w:date="2022-10-26T14:02:00Z" w:initials="l">
    <w:p w14:paraId="7F00219D">
      <w:pPr>
        <w:pStyle w:val="6"/>
      </w:pPr>
      <w:r>
        <w:t>格式无法调整，无法放入这栏，故放在下列。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8556E2" w15:done="0"/>
  <w15:commentEx w15:paraId="7F00219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15</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8278" w:y="-31"/>
      <w:rPr>
        <w:rStyle w:val="19"/>
      </w:rPr>
    </w:pPr>
    <w:r>
      <w:fldChar w:fldCharType="begin"/>
    </w:r>
    <w:r>
      <w:rPr>
        <w:rStyle w:val="19"/>
      </w:rPr>
      <w:instrText xml:space="preserve">PAGE  </w:instrText>
    </w:r>
    <w:r>
      <w:fldChar w:fldCharType="separate"/>
    </w:r>
    <w:r>
      <w:rPr>
        <w:rStyle w:val="19"/>
      </w:rPr>
      <w:t>23</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D238B"/>
    <w:multiLevelType w:val="multilevel"/>
    <w:tmpl w:val="01DD238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4A2A9B"/>
    <w:multiLevelType w:val="multilevel"/>
    <w:tmpl w:val="044A2A9B"/>
    <w:lvl w:ilvl="0" w:tentative="0">
      <w:start w:val="1"/>
      <w:numFmt w:val="decimal"/>
      <w:lvlText w:val="6.%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7409FA"/>
    <w:multiLevelType w:val="multilevel"/>
    <w:tmpl w:val="047409FA"/>
    <w:lvl w:ilvl="0" w:tentative="0">
      <w:start w:val="1"/>
      <w:numFmt w:val="decimal"/>
      <w:lvlText w:val="%1"/>
      <w:lvlJc w:val="left"/>
      <w:pPr>
        <w:ind w:left="360" w:hanging="360"/>
      </w:pPr>
      <w:rPr>
        <w:rFonts w:hint="default"/>
      </w:rPr>
    </w:lvl>
    <w:lvl w:ilvl="1" w:tentative="0">
      <w:start w:val="1"/>
      <w:numFmt w:val="decimal"/>
      <w:lvlText w:val="1.%2"/>
      <w:lvlJc w:val="left"/>
      <w:rPr>
        <w:rFonts w:hint="eastAsia"/>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0CDD34D2"/>
    <w:multiLevelType w:val="multilevel"/>
    <w:tmpl w:val="0CDD34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7F625E"/>
    <w:multiLevelType w:val="multilevel"/>
    <w:tmpl w:val="157F625E"/>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81748D"/>
    <w:multiLevelType w:val="multilevel"/>
    <w:tmpl w:val="1781748D"/>
    <w:lvl w:ilvl="0" w:tentative="0">
      <w:start w:val="1"/>
      <w:numFmt w:val="decimal"/>
      <w:lvlText w:val="6.%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6C5C49"/>
    <w:multiLevelType w:val="multilevel"/>
    <w:tmpl w:val="216C5C49"/>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8028C8"/>
    <w:multiLevelType w:val="multilevel"/>
    <w:tmpl w:val="238028C8"/>
    <w:lvl w:ilvl="0" w:tentative="0">
      <w:start w:val="1"/>
      <w:numFmt w:val="decimal"/>
      <w:lvlText w:val="（%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7AF10EB"/>
    <w:multiLevelType w:val="multilevel"/>
    <w:tmpl w:val="27AF10E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9F43FC6"/>
    <w:multiLevelType w:val="multilevel"/>
    <w:tmpl w:val="29F43FC6"/>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BE119CB"/>
    <w:multiLevelType w:val="multilevel"/>
    <w:tmpl w:val="2BE119CB"/>
    <w:lvl w:ilvl="0" w:tentative="0">
      <w:start w:val="1"/>
      <w:numFmt w:val="decimal"/>
      <w:lvlText w:val="（%1）"/>
      <w:lvlJc w:val="left"/>
      <w:pPr>
        <w:ind w:left="720" w:hanging="720"/>
      </w:pPr>
      <w:rPr>
        <w:rFonts w:hint="default"/>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25D595F"/>
    <w:multiLevelType w:val="multilevel"/>
    <w:tmpl w:val="325D595F"/>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2FB72B2"/>
    <w:multiLevelType w:val="multilevel"/>
    <w:tmpl w:val="32FB72B2"/>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5D437A8"/>
    <w:multiLevelType w:val="multilevel"/>
    <w:tmpl w:val="35D437A8"/>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5FD61ED"/>
    <w:multiLevelType w:val="multilevel"/>
    <w:tmpl w:val="35FD61ED"/>
    <w:lvl w:ilvl="0" w:tentative="0">
      <w:start w:val="1"/>
      <w:numFmt w:val="decimal"/>
      <w:lvlText w:val="1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7F902D6"/>
    <w:multiLevelType w:val="multilevel"/>
    <w:tmpl w:val="37F902D6"/>
    <w:lvl w:ilvl="0" w:tentative="0">
      <w:start w:val="1"/>
      <w:numFmt w:val="decimal"/>
      <w:lvlText w:val="%1、"/>
      <w:lvlJc w:val="left"/>
      <w:pPr>
        <w:ind w:left="420" w:hanging="420"/>
      </w:pPr>
      <w:rPr>
        <w:rFonts w:hint="eastAsia"/>
        <w:b w:val="0"/>
        <w:bCs/>
        <w:sz w:val="28"/>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A906B61"/>
    <w:multiLevelType w:val="multilevel"/>
    <w:tmpl w:val="3A906B61"/>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D581246"/>
    <w:multiLevelType w:val="multilevel"/>
    <w:tmpl w:val="3D581246"/>
    <w:lvl w:ilvl="0" w:tentative="0">
      <w:start w:val="1"/>
      <w:numFmt w:val="decimal"/>
      <w:lvlText w:val="（%1）"/>
      <w:lvlJc w:val="left"/>
      <w:pPr>
        <w:ind w:left="720" w:hanging="720"/>
      </w:pPr>
      <w:rPr>
        <w:rFonts w:hint="default"/>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EBA2405"/>
    <w:multiLevelType w:val="multilevel"/>
    <w:tmpl w:val="3EBA2405"/>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1A75FD5"/>
    <w:multiLevelType w:val="multilevel"/>
    <w:tmpl w:val="41A75FD5"/>
    <w:lvl w:ilvl="0" w:tentative="0">
      <w:start w:val="1"/>
      <w:numFmt w:val="decimal"/>
      <w:lvlText w:val="8.%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2306C11"/>
    <w:multiLevelType w:val="multilevel"/>
    <w:tmpl w:val="42306C11"/>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2">
    <w:nsid w:val="5BBD2502"/>
    <w:multiLevelType w:val="multilevel"/>
    <w:tmpl w:val="5BBD2502"/>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3">
    <w:nsid w:val="652E5E59"/>
    <w:multiLevelType w:val="multilevel"/>
    <w:tmpl w:val="652E5E59"/>
    <w:lvl w:ilvl="0" w:tentative="0">
      <w:start w:val="1"/>
      <w:numFmt w:val="decimal"/>
      <w:lvlText w:val="2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7C965D1"/>
    <w:multiLevelType w:val="multilevel"/>
    <w:tmpl w:val="67C965D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84F7082"/>
    <w:multiLevelType w:val="multilevel"/>
    <w:tmpl w:val="684F7082"/>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C8156BB"/>
    <w:multiLevelType w:val="multilevel"/>
    <w:tmpl w:val="6C8156BB"/>
    <w:lvl w:ilvl="0" w:tentative="0">
      <w:start w:val="1"/>
      <w:numFmt w:val="decimal"/>
      <w:pStyle w:val="49"/>
      <w:suff w:val="nothing"/>
      <w:lvlText w:val="%1."/>
      <w:lvlJc w:val="left"/>
      <w:pPr>
        <w:ind w:left="284" w:hanging="284"/>
      </w:pPr>
      <w:rPr>
        <w:rFonts w:hint="default" w:ascii="宋体" w:hAnsi="宋体" w:eastAsia="宋体" w:cs="Times New Roman"/>
        <w:b w:val="0"/>
        <w:bCs w:val="0"/>
        <w:i w:val="0"/>
        <w:iCs w:val="0"/>
        <w:caps w:val="0"/>
        <w:smallCaps w:val="0"/>
        <w:strike w:val="0"/>
        <w:dstrike w:val="0"/>
        <w:outline w:val="0"/>
        <w:shadow w:val="0"/>
        <w:emboss w:val="0"/>
        <w:imprint w:val="0"/>
        <w:vanish w:val="0"/>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lvlRestart w:val="0"/>
      <w:pStyle w:val="50"/>
      <w:suff w:val="nothing"/>
      <w:lvlText w:val="%1.%2."/>
      <w:lvlJc w:val="left"/>
      <w:pPr>
        <w:ind w:left="-1" w:firstLine="0"/>
      </w:pPr>
      <w:rPr>
        <w:rFonts w:hint="default" w:ascii="宋体" w:hAnsi="宋体" w:eastAsia="宋体" w:cs="Times New Roman"/>
        <w:b w:val="0"/>
        <w:i w:val="0"/>
        <w:sz w:val="24"/>
        <w:szCs w:val="24"/>
      </w:rPr>
    </w:lvl>
    <w:lvl w:ilvl="2" w:tentative="0">
      <w:start w:val="1"/>
      <w:numFmt w:val="decimal"/>
      <w:lvlRestart w:val="0"/>
      <w:pStyle w:val="51"/>
      <w:suff w:val="nothing"/>
      <w:lvlText w:val="%1.%2.%3."/>
      <w:lvlJc w:val="left"/>
      <w:pPr>
        <w:ind w:left="-1" w:firstLine="0"/>
      </w:pPr>
      <w:rPr>
        <w:rFonts w:hint="eastAsia" w:ascii="宋体" w:hAnsi="宋体" w:eastAsia="宋体"/>
        <w:b/>
        <w:i w:val="0"/>
        <w:sz w:val="24"/>
      </w:rPr>
    </w:lvl>
    <w:lvl w:ilvl="3" w:tentative="0">
      <w:start w:val="1"/>
      <w:numFmt w:val="decimal"/>
      <w:pStyle w:val="52"/>
      <w:suff w:val="nothing"/>
      <w:lvlText w:val="%1.%2.%3.%4."/>
      <w:lvlJc w:val="left"/>
      <w:pPr>
        <w:ind w:left="-1" w:firstLine="0"/>
      </w:pPr>
      <w:rPr>
        <w:rFonts w:hint="eastAsia" w:ascii="宋体" w:hAnsi="宋体" w:eastAsia="宋体"/>
        <w:b/>
        <w:i w:val="0"/>
        <w:sz w:val="24"/>
      </w:rPr>
    </w:lvl>
    <w:lvl w:ilvl="4" w:tentative="0">
      <w:start w:val="1"/>
      <w:numFmt w:val="decimal"/>
      <w:pStyle w:val="53"/>
      <w:suff w:val="nothing"/>
      <w:lvlText w:val="%1.%2.%3.%4.%5."/>
      <w:lvlJc w:val="left"/>
      <w:pPr>
        <w:ind w:left="-1" w:firstLine="0"/>
      </w:pPr>
      <w:rPr>
        <w:rFonts w:hint="eastAsia" w:ascii="宋体" w:hAnsi="宋体" w:eastAsia="宋体"/>
      </w:rPr>
    </w:lvl>
    <w:lvl w:ilvl="5" w:tentative="0">
      <w:start w:val="1"/>
      <w:numFmt w:val="decimal"/>
      <w:pStyle w:val="54"/>
      <w:suff w:val="nothing"/>
      <w:lvlText w:val="%1.%2.%3.%4.%5.%6."/>
      <w:lvlJc w:val="left"/>
      <w:pPr>
        <w:ind w:left="-1" w:firstLine="0"/>
      </w:pPr>
      <w:rPr>
        <w:rFonts w:hint="eastAsia" w:ascii="宋体" w:hAnsi="宋体" w:eastAsia="宋体"/>
      </w:rPr>
    </w:lvl>
    <w:lvl w:ilvl="6" w:tentative="0">
      <w:start w:val="1"/>
      <w:numFmt w:val="decimal"/>
      <w:pStyle w:val="55"/>
      <w:lvlText w:val="%1.%2.%3.%4.%5.%6.%7."/>
      <w:lvlJc w:val="left"/>
      <w:pPr>
        <w:ind w:left="-1" w:firstLine="0"/>
      </w:pPr>
      <w:rPr>
        <w:rFonts w:hint="eastAsia" w:eastAsia="宋体"/>
      </w:rPr>
    </w:lvl>
    <w:lvl w:ilvl="7" w:tentative="0">
      <w:start w:val="1"/>
      <w:numFmt w:val="decimal"/>
      <w:lvlText w:val="%1.%2.%3.%4.%5.%6.%7.%8"/>
      <w:lvlJc w:val="left"/>
      <w:pPr>
        <w:ind w:left="4393" w:hanging="1418"/>
      </w:pPr>
      <w:rPr>
        <w:rFonts w:hint="eastAsia"/>
      </w:rPr>
    </w:lvl>
    <w:lvl w:ilvl="8" w:tentative="0">
      <w:start w:val="1"/>
      <w:numFmt w:val="decimal"/>
      <w:lvlText w:val="%1.%2.%3.%4.%5.%6.%7.%8.%9"/>
      <w:lvlJc w:val="left"/>
      <w:pPr>
        <w:ind w:left="5101" w:hanging="1700"/>
      </w:pPr>
      <w:rPr>
        <w:rFonts w:hint="eastAsia"/>
      </w:rPr>
    </w:lvl>
  </w:abstractNum>
  <w:abstractNum w:abstractNumId="27">
    <w:nsid w:val="6F3040E0"/>
    <w:multiLevelType w:val="multilevel"/>
    <w:tmpl w:val="6F3040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1E8155B"/>
    <w:multiLevelType w:val="multilevel"/>
    <w:tmpl w:val="71E8155B"/>
    <w:lvl w:ilvl="0" w:tentative="0">
      <w:start w:val="1"/>
      <w:numFmt w:val="decimal"/>
      <w:lvlText w:val="16.%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8CD15D7"/>
    <w:multiLevelType w:val="multilevel"/>
    <w:tmpl w:val="78CD15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B4D0224"/>
    <w:multiLevelType w:val="multilevel"/>
    <w:tmpl w:val="7B4D0224"/>
    <w:lvl w:ilvl="0" w:tentative="0">
      <w:start w:val="1"/>
      <w:numFmt w:val="decimal"/>
      <w:lvlText w:val="6.%1"/>
      <w:lvlJc w:val="left"/>
      <w:pPr>
        <w:ind w:left="284" w:hanging="28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6"/>
  </w:num>
  <w:num w:numId="2">
    <w:abstractNumId w:val="16"/>
  </w:num>
  <w:num w:numId="3">
    <w:abstractNumId w:val="3"/>
  </w:num>
  <w:num w:numId="4">
    <w:abstractNumId w:val="25"/>
  </w:num>
  <w:num w:numId="5">
    <w:abstractNumId w:val="2"/>
  </w:num>
  <w:num w:numId="6">
    <w:abstractNumId w:val="13"/>
  </w:num>
  <w:num w:numId="7">
    <w:abstractNumId w:val="6"/>
  </w:num>
  <w:num w:numId="8">
    <w:abstractNumId w:val="8"/>
  </w:num>
  <w:num w:numId="9">
    <w:abstractNumId w:val="5"/>
  </w:num>
  <w:num w:numId="10">
    <w:abstractNumId w:val="14"/>
  </w:num>
  <w:num w:numId="11">
    <w:abstractNumId w:val="9"/>
  </w:num>
  <w:num w:numId="12">
    <w:abstractNumId w:val="17"/>
  </w:num>
  <w:num w:numId="13">
    <w:abstractNumId w:val="1"/>
  </w:num>
  <w:num w:numId="14">
    <w:abstractNumId w:val="19"/>
  </w:num>
  <w:num w:numId="15">
    <w:abstractNumId w:val="7"/>
  </w:num>
  <w:num w:numId="16">
    <w:abstractNumId w:val="30"/>
  </w:num>
  <w:num w:numId="17">
    <w:abstractNumId w:val="22"/>
  </w:num>
  <w:num w:numId="18">
    <w:abstractNumId w:val="20"/>
  </w:num>
  <w:num w:numId="19">
    <w:abstractNumId w:val="21"/>
  </w:num>
  <w:num w:numId="20">
    <w:abstractNumId w:val="0"/>
  </w:num>
  <w:num w:numId="21">
    <w:abstractNumId w:val="12"/>
  </w:num>
  <w:num w:numId="22">
    <w:abstractNumId w:val="10"/>
  </w:num>
  <w:num w:numId="23">
    <w:abstractNumId w:val="28"/>
  </w:num>
  <w:num w:numId="24">
    <w:abstractNumId w:val="15"/>
  </w:num>
  <w:num w:numId="25">
    <w:abstractNumId w:val="23"/>
  </w:num>
  <w:num w:numId="26">
    <w:abstractNumId w:val="29"/>
  </w:num>
  <w:num w:numId="27">
    <w:abstractNumId w:val="2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8"/>
  </w:num>
  <w:num w:numId="32">
    <w:abstractNumId w:val="11"/>
  </w:num>
  <w:num w:numId="3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mengsi">
    <w15:presenceInfo w15:providerId="None" w15:userId="limeng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HorizontalSpacing w:val="189"/>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OWMxZWE5ZDFmMTZiZjlmNzk2YjZhZmJjN2MzNmIifQ=="/>
  </w:docVars>
  <w:rsids>
    <w:rsidRoot w:val="007A1EF5"/>
    <w:rsid w:val="00005298"/>
    <w:rsid w:val="00005F51"/>
    <w:rsid w:val="00010340"/>
    <w:rsid w:val="00011DA9"/>
    <w:rsid w:val="00013E83"/>
    <w:rsid w:val="00014CF4"/>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45B1"/>
    <w:rsid w:val="00075766"/>
    <w:rsid w:val="00075954"/>
    <w:rsid w:val="00080BD5"/>
    <w:rsid w:val="00083404"/>
    <w:rsid w:val="000836AF"/>
    <w:rsid w:val="00083A47"/>
    <w:rsid w:val="00084721"/>
    <w:rsid w:val="0008570C"/>
    <w:rsid w:val="0008669D"/>
    <w:rsid w:val="00090A52"/>
    <w:rsid w:val="0009222F"/>
    <w:rsid w:val="00092B42"/>
    <w:rsid w:val="00092C9B"/>
    <w:rsid w:val="0009552F"/>
    <w:rsid w:val="000A304E"/>
    <w:rsid w:val="000C41E5"/>
    <w:rsid w:val="000C5A43"/>
    <w:rsid w:val="000C7451"/>
    <w:rsid w:val="000C769E"/>
    <w:rsid w:val="000C78FD"/>
    <w:rsid w:val="000D11AB"/>
    <w:rsid w:val="000D1423"/>
    <w:rsid w:val="000D244E"/>
    <w:rsid w:val="000D6922"/>
    <w:rsid w:val="000E430F"/>
    <w:rsid w:val="000F32CF"/>
    <w:rsid w:val="000F53CA"/>
    <w:rsid w:val="000F5ACA"/>
    <w:rsid w:val="001005F4"/>
    <w:rsid w:val="00102A73"/>
    <w:rsid w:val="00103120"/>
    <w:rsid w:val="00105E39"/>
    <w:rsid w:val="00107EFF"/>
    <w:rsid w:val="001126B0"/>
    <w:rsid w:val="00114BE0"/>
    <w:rsid w:val="00115603"/>
    <w:rsid w:val="00116BF0"/>
    <w:rsid w:val="0011722B"/>
    <w:rsid w:val="00122F80"/>
    <w:rsid w:val="0012533E"/>
    <w:rsid w:val="00132B97"/>
    <w:rsid w:val="00133B20"/>
    <w:rsid w:val="00134856"/>
    <w:rsid w:val="00135B1F"/>
    <w:rsid w:val="0013707B"/>
    <w:rsid w:val="001373A7"/>
    <w:rsid w:val="00137EC9"/>
    <w:rsid w:val="001411D4"/>
    <w:rsid w:val="00152900"/>
    <w:rsid w:val="00152E02"/>
    <w:rsid w:val="00153DA7"/>
    <w:rsid w:val="0015400F"/>
    <w:rsid w:val="00167261"/>
    <w:rsid w:val="00167A10"/>
    <w:rsid w:val="001725FE"/>
    <w:rsid w:val="001756F0"/>
    <w:rsid w:val="00175934"/>
    <w:rsid w:val="00182C85"/>
    <w:rsid w:val="00182CCD"/>
    <w:rsid w:val="001853C9"/>
    <w:rsid w:val="001932B1"/>
    <w:rsid w:val="0019659C"/>
    <w:rsid w:val="001A4B76"/>
    <w:rsid w:val="001A63D1"/>
    <w:rsid w:val="001A7724"/>
    <w:rsid w:val="001B25EE"/>
    <w:rsid w:val="001B66EC"/>
    <w:rsid w:val="001B6D87"/>
    <w:rsid w:val="001C1CE1"/>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7A10"/>
    <w:rsid w:val="002301AD"/>
    <w:rsid w:val="00232F90"/>
    <w:rsid w:val="0023314A"/>
    <w:rsid w:val="002405EC"/>
    <w:rsid w:val="00240788"/>
    <w:rsid w:val="00241013"/>
    <w:rsid w:val="00242CF0"/>
    <w:rsid w:val="0024491D"/>
    <w:rsid w:val="00251EE7"/>
    <w:rsid w:val="00252536"/>
    <w:rsid w:val="002544B2"/>
    <w:rsid w:val="00255F4F"/>
    <w:rsid w:val="00257804"/>
    <w:rsid w:val="00260329"/>
    <w:rsid w:val="0026104C"/>
    <w:rsid w:val="00261750"/>
    <w:rsid w:val="002617F0"/>
    <w:rsid w:val="0026330B"/>
    <w:rsid w:val="00265EEE"/>
    <w:rsid w:val="00270814"/>
    <w:rsid w:val="00271EF6"/>
    <w:rsid w:val="002729FA"/>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16CC"/>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7B7"/>
    <w:rsid w:val="00367D0A"/>
    <w:rsid w:val="00372C65"/>
    <w:rsid w:val="00373C64"/>
    <w:rsid w:val="00374B13"/>
    <w:rsid w:val="00381037"/>
    <w:rsid w:val="00385AD8"/>
    <w:rsid w:val="00391820"/>
    <w:rsid w:val="003923C5"/>
    <w:rsid w:val="0039384B"/>
    <w:rsid w:val="0039455D"/>
    <w:rsid w:val="00394A6B"/>
    <w:rsid w:val="003A0643"/>
    <w:rsid w:val="003A0833"/>
    <w:rsid w:val="003A1C95"/>
    <w:rsid w:val="003A3355"/>
    <w:rsid w:val="003A4B78"/>
    <w:rsid w:val="003A55B2"/>
    <w:rsid w:val="003B26D7"/>
    <w:rsid w:val="003C4CCE"/>
    <w:rsid w:val="003D0315"/>
    <w:rsid w:val="003D11FB"/>
    <w:rsid w:val="003D146A"/>
    <w:rsid w:val="003D2A0C"/>
    <w:rsid w:val="003E09DA"/>
    <w:rsid w:val="003E1AC0"/>
    <w:rsid w:val="003E2F87"/>
    <w:rsid w:val="003E4D6D"/>
    <w:rsid w:val="003F01CF"/>
    <w:rsid w:val="003F062F"/>
    <w:rsid w:val="003F2E5D"/>
    <w:rsid w:val="003F3596"/>
    <w:rsid w:val="003F49BC"/>
    <w:rsid w:val="003F7868"/>
    <w:rsid w:val="00402852"/>
    <w:rsid w:val="004049AA"/>
    <w:rsid w:val="004073CB"/>
    <w:rsid w:val="00411989"/>
    <w:rsid w:val="004134FE"/>
    <w:rsid w:val="00414004"/>
    <w:rsid w:val="00415226"/>
    <w:rsid w:val="00415DEB"/>
    <w:rsid w:val="00416626"/>
    <w:rsid w:val="0041747A"/>
    <w:rsid w:val="00420502"/>
    <w:rsid w:val="004220F1"/>
    <w:rsid w:val="00422E49"/>
    <w:rsid w:val="00423253"/>
    <w:rsid w:val="004242A3"/>
    <w:rsid w:val="00425F74"/>
    <w:rsid w:val="00427478"/>
    <w:rsid w:val="00431EEF"/>
    <w:rsid w:val="00432F4D"/>
    <w:rsid w:val="0043530C"/>
    <w:rsid w:val="00435EDC"/>
    <w:rsid w:val="00441CAD"/>
    <w:rsid w:val="0044353F"/>
    <w:rsid w:val="00447C5B"/>
    <w:rsid w:val="004549A4"/>
    <w:rsid w:val="0045698E"/>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E107C"/>
    <w:rsid w:val="004E36C4"/>
    <w:rsid w:val="004E59AE"/>
    <w:rsid w:val="004F0D8F"/>
    <w:rsid w:val="004F22BE"/>
    <w:rsid w:val="004F684D"/>
    <w:rsid w:val="004F6925"/>
    <w:rsid w:val="004F7894"/>
    <w:rsid w:val="004F789E"/>
    <w:rsid w:val="00500C1E"/>
    <w:rsid w:val="00501EE3"/>
    <w:rsid w:val="00502DC1"/>
    <w:rsid w:val="00503C29"/>
    <w:rsid w:val="0050688E"/>
    <w:rsid w:val="005070D0"/>
    <w:rsid w:val="00507304"/>
    <w:rsid w:val="005118B8"/>
    <w:rsid w:val="005134E4"/>
    <w:rsid w:val="00515C8D"/>
    <w:rsid w:val="00516561"/>
    <w:rsid w:val="0051787C"/>
    <w:rsid w:val="0052067B"/>
    <w:rsid w:val="00524087"/>
    <w:rsid w:val="00524C9C"/>
    <w:rsid w:val="005273B9"/>
    <w:rsid w:val="00530F5C"/>
    <w:rsid w:val="00532D9C"/>
    <w:rsid w:val="0053638E"/>
    <w:rsid w:val="00536B44"/>
    <w:rsid w:val="005428B4"/>
    <w:rsid w:val="005432CD"/>
    <w:rsid w:val="005437E4"/>
    <w:rsid w:val="00544B58"/>
    <w:rsid w:val="00544D22"/>
    <w:rsid w:val="005469E6"/>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433"/>
    <w:rsid w:val="005A5D6D"/>
    <w:rsid w:val="005B19E7"/>
    <w:rsid w:val="005B4CC8"/>
    <w:rsid w:val="005B5700"/>
    <w:rsid w:val="005B65C1"/>
    <w:rsid w:val="005B66E3"/>
    <w:rsid w:val="005C214B"/>
    <w:rsid w:val="005C6100"/>
    <w:rsid w:val="005C6E7D"/>
    <w:rsid w:val="005D1E07"/>
    <w:rsid w:val="005D7C0C"/>
    <w:rsid w:val="005E06FB"/>
    <w:rsid w:val="005E32A1"/>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01E"/>
    <w:rsid w:val="00641AE3"/>
    <w:rsid w:val="006424B5"/>
    <w:rsid w:val="00642EAB"/>
    <w:rsid w:val="006438DB"/>
    <w:rsid w:val="00650C19"/>
    <w:rsid w:val="006530A7"/>
    <w:rsid w:val="00653CEF"/>
    <w:rsid w:val="00655B2A"/>
    <w:rsid w:val="00655D1C"/>
    <w:rsid w:val="006562B7"/>
    <w:rsid w:val="00662189"/>
    <w:rsid w:val="00670897"/>
    <w:rsid w:val="00671FBA"/>
    <w:rsid w:val="00672AF2"/>
    <w:rsid w:val="00675F48"/>
    <w:rsid w:val="006763F0"/>
    <w:rsid w:val="00677A8B"/>
    <w:rsid w:val="00686086"/>
    <w:rsid w:val="006872B7"/>
    <w:rsid w:val="006914C2"/>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0387"/>
    <w:rsid w:val="006E18C6"/>
    <w:rsid w:val="006E2F82"/>
    <w:rsid w:val="006E387E"/>
    <w:rsid w:val="006E3DFE"/>
    <w:rsid w:val="006E4211"/>
    <w:rsid w:val="006E535F"/>
    <w:rsid w:val="006E6D75"/>
    <w:rsid w:val="006F486D"/>
    <w:rsid w:val="006F5830"/>
    <w:rsid w:val="00700CE0"/>
    <w:rsid w:val="007025D1"/>
    <w:rsid w:val="00705B2E"/>
    <w:rsid w:val="007070E5"/>
    <w:rsid w:val="007103F7"/>
    <w:rsid w:val="0071231F"/>
    <w:rsid w:val="00713BD6"/>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073"/>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09F9"/>
    <w:rsid w:val="0088373B"/>
    <w:rsid w:val="008838AE"/>
    <w:rsid w:val="00884C4D"/>
    <w:rsid w:val="00886A26"/>
    <w:rsid w:val="00891903"/>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2222"/>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49"/>
    <w:rsid w:val="009649C7"/>
    <w:rsid w:val="0096594A"/>
    <w:rsid w:val="00967AD6"/>
    <w:rsid w:val="00970E75"/>
    <w:rsid w:val="009713BB"/>
    <w:rsid w:val="00973E6A"/>
    <w:rsid w:val="009773B9"/>
    <w:rsid w:val="00980346"/>
    <w:rsid w:val="009811C4"/>
    <w:rsid w:val="00985677"/>
    <w:rsid w:val="0098580E"/>
    <w:rsid w:val="00985C87"/>
    <w:rsid w:val="00986BBE"/>
    <w:rsid w:val="0099143A"/>
    <w:rsid w:val="00996324"/>
    <w:rsid w:val="009A08ED"/>
    <w:rsid w:val="009A1551"/>
    <w:rsid w:val="009A5E46"/>
    <w:rsid w:val="009B1A2A"/>
    <w:rsid w:val="009B379D"/>
    <w:rsid w:val="009B5FC5"/>
    <w:rsid w:val="009B783F"/>
    <w:rsid w:val="009C2E28"/>
    <w:rsid w:val="009C6116"/>
    <w:rsid w:val="009E2E81"/>
    <w:rsid w:val="009E3AE1"/>
    <w:rsid w:val="009E6836"/>
    <w:rsid w:val="009F00D5"/>
    <w:rsid w:val="009F4F10"/>
    <w:rsid w:val="009F6B53"/>
    <w:rsid w:val="009F6E8E"/>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C0021"/>
    <w:rsid w:val="00AC16ED"/>
    <w:rsid w:val="00AD0864"/>
    <w:rsid w:val="00AD646C"/>
    <w:rsid w:val="00AE05E2"/>
    <w:rsid w:val="00AE0C6D"/>
    <w:rsid w:val="00AE2569"/>
    <w:rsid w:val="00AE3ADA"/>
    <w:rsid w:val="00AE442C"/>
    <w:rsid w:val="00AE541D"/>
    <w:rsid w:val="00AE6012"/>
    <w:rsid w:val="00AE6B42"/>
    <w:rsid w:val="00AF486B"/>
    <w:rsid w:val="00AF6D19"/>
    <w:rsid w:val="00AF7119"/>
    <w:rsid w:val="00B01BDB"/>
    <w:rsid w:val="00B02177"/>
    <w:rsid w:val="00B02215"/>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08B6"/>
    <w:rsid w:val="00B7595B"/>
    <w:rsid w:val="00B761AC"/>
    <w:rsid w:val="00B764E3"/>
    <w:rsid w:val="00B80E94"/>
    <w:rsid w:val="00B82192"/>
    <w:rsid w:val="00B86084"/>
    <w:rsid w:val="00B902D1"/>
    <w:rsid w:val="00B91022"/>
    <w:rsid w:val="00B916CB"/>
    <w:rsid w:val="00B943AE"/>
    <w:rsid w:val="00B960B8"/>
    <w:rsid w:val="00B96DC5"/>
    <w:rsid w:val="00BA0A29"/>
    <w:rsid w:val="00BA10A4"/>
    <w:rsid w:val="00BA1780"/>
    <w:rsid w:val="00BA4139"/>
    <w:rsid w:val="00BA49B5"/>
    <w:rsid w:val="00BA79B1"/>
    <w:rsid w:val="00BB3E82"/>
    <w:rsid w:val="00BB42D0"/>
    <w:rsid w:val="00BC3407"/>
    <w:rsid w:val="00BC545F"/>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22B1F"/>
    <w:rsid w:val="00C304E3"/>
    <w:rsid w:val="00C329FC"/>
    <w:rsid w:val="00C32A12"/>
    <w:rsid w:val="00C33BBE"/>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F1D"/>
    <w:rsid w:val="00CA465F"/>
    <w:rsid w:val="00CA59AB"/>
    <w:rsid w:val="00CA60E9"/>
    <w:rsid w:val="00CB0DD5"/>
    <w:rsid w:val="00CB152D"/>
    <w:rsid w:val="00CB5DBE"/>
    <w:rsid w:val="00CC185C"/>
    <w:rsid w:val="00CC5D70"/>
    <w:rsid w:val="00CC6978"/>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04642"/>
    <w:rsid w:val="00D104B8"/>
    <w:rsid w:val="00D13422"/>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777DF"/>
    <w:rsid w:val="00D85128"/>
    <w:rsid w:val="00D936E6"/>
    <w:rsid w:val="00DA106F"/>
    <w:rsid w:val="00DA21C9"/>
    <w:rsid w:val="00DA3E32"/>
    <w:rsid w:val="00DA679F"/>
    <w:rsid w:val="00DA7B9D"/>
    <w:rsid w:val="00DB08D3"/>
    <w:rsid w:val="00DB1909"/>
    <w:rsid w:val="00DB24BD"/>
    <w:rsid w:val="00DB4C0D"/>
    <w:rsid w:val="00DB6427"/>
    <w:rsid w:val="00DB6DCB"/>
    <w:rsid w:val="00DC33F2"/>
    <w:rsid w:val="00DD051D"/>
    <w:rsid w:val="00DD40E4"/>
    <w:rsid w:val="00DE13A8"/>
    <w:rsid w:val="00DE1495"/>
    <w:rsid w:val="00DE18E4"/>
    <w:rsid w:val="00DE2D4F"/>
    <w:rsid w:val="00DE3F21"/>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243"/>
    <w:rsid w:val="00E42A49"/>
    <w:rsid w:val="00E456CA"/>
    <w:rsid w:val="00E46E7D"/>
    <w:rsid w:val="00E5026B"/>
    <w:rsid w:val="00E51231"/>
    <w:rsid w:val="00E53985"/>
    <w:rsid w:val="00E55024"/>
    <w:rsid w:val="00E57310"/>
    <w:rsid w:val="00E57C49"/>
    <w:rsid w:val="00E57CE9"/>
    <w:rsid w:val="00E61358"/>
    <w:rsid w:val="00E6193B"/>
    <w:rsid w:val="00E61C13"/>
    <w:rsid w:val="00E721D8"/>
    <w:rsid w:val="00E7551A"/>
    <w:rsid w:val="00E758D6"/>
    <w:rsid w:val="00E75B8C"/>
    <w:rsid w:val="00E769AD"/>
    <w:rsid w:val="00E76D16"/>
    <w:rsid w:val="00E81A57"/>
    <w:rsid w:val="00E81A79"/>
    <w:rsid w:val="00E83B72"/>
    <w:rsid w:val="00E84559"/>
    <w:rsid w:val="00E85544"/>
    <w:rsid w:val="00E86F2B"/>
    <w:rsid w:val="00E90730"/>
    <w:rsid w:val="00E91E59"/>
    <w:rsid w:val="00E9439F"/>
    <w:rsid w:val="00E95EFA"/>
    <w:rsid w:val="00E97D65"/>
    <w:rsid w:val="00EA32C6"/>
    <w:rsid w:val="00EA3399"/>
    <w:rsid w:val="00EA52E8"/>
    <w:rsid w:val="00EB0BB3"/>
    <w:rsid w:val="00EB2E42"/>
    <w:rsid w:val="00EB4C9B"/>
    <w:rsid w:val="00EC0761"/>
    <w:rsid w:val="00EC29F8"/>
    <w:rsid w:val="00EC5597"/>
    <w:rsid w:val="00EC6CA4"/>
    <w:rsid w:val="00EC724C"/>
    <w:rsid w:val="00ED0B16"/>
    <w:rsid w:val="00ED148E"/>
    <w:rsid w:val="00ED192E"/>
    <w:rsid w:val="00EE0B95"/>
    <w:rsid w:val="00EE4F92"/>
    <w:rsid w:val="00EE7D26"/>
    <w:rsid w:val="00EF0484"/>
    <w:rsid w:val="00EF1F47"/>
    <w:rsid w:val="00EF57CE"/>
    <w:rsid w:val="00EF5CD3"/>
    <w:rsid w:val="00F004C8"/>
    <w:rsid w:val="00F03836"/>
    <w:rsid w:val="00F04B65"/>
    <w:rsid w:val="00F060D1"/>
    <w:rsid w:val="00F06F8B"/>
    <w:rsid w:val="00F12A8E"/>
    <w:rsid w:val="00F15E9D"/>
    <w:rsid w:val="00F21102"/>
    <w:rsid w:val="00F21ACC"/>
    <w:rsid w:val="00F24916"/>
    <w:rsid w:val="00F25A40"/>
    <w:rsid w:val="00F31037"/>
    <w:rsid w:val="00F31748"/>
    <w:rsid w:val="00F338E0"/>
    <w:rsid w:val="00F36866"/>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18F"/>
    <w:rsid w:val="00F732A7"/>
    <w:rsid w:val="00F752DB"/>
    <w:rsid w:val="00F7562F"/>
    <w:rsid w:val="00F8027F"/>
    <w:rsid w:val="00F80B5C"/>
    <w:rsid w:val="00F8108B"/>
    <w:rsid w:val="00F8175B"/>
    <w:rsid w:val="00F81C0D"/>
    <w:rsid w:val="00F90AB4"/>
    <w:rsid w:val="00F91CB0"/>
    <w:rsid w:val="00F94C32"/>
    <w:rsid w:val="00FA544A"/>
    <w:rsid w:val="00FA5508"/>
    <w:rsid w:val="00FA5876"/>
    <w:rsid w:val="00FB526A"/>
    <w:rsid w:val="00FB56FB"/>
    <w:rsid w:val="00FC152A"/>
    <w:rsid w:val="00FC22EC"/>
    <w:rsid w:val="00FC2535"/>
    <w:rsid w:val="00FC4AAF"/>
    <w:rsid w:val="00FC565B"/>
    <w:rsid w:val="00FD15E5"/>
    <w:rsid w:val="00FD2B69"/>
    <w:rsid w:val="00FD3175"/>
    <w:rsid w:val="00FD3DDD"/>
    <w:rsid w:val="00FD427F"/>
    <w:rsid w:val="00FD42EE"/>
    <w:rsid w:val="00FD43C4"/>
    <w:rsid w:val="00FD4425"/>
    <w:rsid w:val="00FE2F5E"/>
    <w:rsid w:val="00FE3408"/>
    <w:rsid w:val="00FE7B0B"/>
    <w:rsid w:val="00FF2B1D"/>
    <w:rsid w:val="00FF4B6B"/>
    <w:rsid w:val="00FF5151"/>
    <w:rsid w:val="00FF5D1A"/>
    <w:rsid w:val="00FF6D10"/>
    <w:rsid w:val="00FF72EA"/>
    <w:rsid w:val="00FF72EB"/>
    <w:rsid w:val="00FF79DB"/>
    <w:rsid w:val="00FF7F5E"/>
    <w:rsid w:val="010178DB"/>
    <w:rsid w:val="01322EFC"/>
    <w:rsid w:val="014053BC"/>
    <w:rsid w:val="01607DF5"/>
    <w:rsid w:val="01767EF3"/>
    <w:rsid w:val="01D30AF5"/>
    <w:rsid w:val="01DC24B9"/>
    <w:rsid w:val="01DE5185"/>
    <w:rsid w:val="0213568A"/>
    <w:rsid w:val="046E6DDE"/>
    <w:rsid w:val="04B55E07"/>
    <w:rsid w:val="04D7648A"/>
    <w:rsid w:val="04FA14E6"/>
    <w:rsid w:val="0531362C"/>
    <w:rsid w:val="0535213D"/>
    <w:rsid w:val="054D6974"/>
    <w:rsid w:val="057207F6"/>
    <w:rsid w:val="05FC6B91"/>
    <w:rsid w:val="0733135D"/>
    <w:rsid w:val="07732DB2"/>
    <w:rsid w:val="07B8320C"/>
    <w:rsid w:val="07CF0ACE"/>
    <w:rsid w:val="08306067"/>
    <w:rsid w:val="09285CF7"/>
    <w:rsid w:val="09687692"/>
    <w:rsid w:val="0A031FF0"/>
    <w:rsid w:val="0A8A5D39"/>
    <w:rsid w:val="0AA13162"/>
    <w:rsid w:val="0AB6258A"/>
    <w:rsid w:val="0B452B9B"/>
    <w:rsid w:val="0B5770DF"/>
    <w:rsid w:val="0C372CCD"/>
    <w:rsid w:val="0C5603A3"/>
    <w:rsid w:val="0C5C2346"/>
    <w:rsid w:val="0C5E5BB8"/>
    <w:rsid w:val="0C94782E"/>
    <w:rsid w:val="0E215C17"/>
    <w:rsid w:val="0FC46FEB"/>
    <w:rsid w:val="0FDB5BF8"/>
    <w:rsid w:val="0FF0756D"/>
    <w:rsid w:val="10BB60F9"/>
    <w:rsid w:val="10CB03AE"/>
    <w:rsid w:val="10F944AF"/>
    <w:rsid w:val="110A33B6"/>
    <w:rsid w:val="11EC5E17"/>
    <w:rsid w:val="121432F4"/>
    <w:rsid w:val="12CE6AE7"/>
    <w:rsid w:val="13545A8B"/>
    <w:rsid w:val="1360023A"/>
    <w:rsid w:val="13840F17"/>
    <w:rsid w:val="13992498"/>
    <w:rsid w:val="140F5863"/>
    <w:rsid w:val="15D233F0"/>
    <w:rsid w:val="16320B1F"/>
    <w:rsid w:val="163D0515"/>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6F5A73"/>
    <w:rsid w:val="1FA13095"/>
    <w:rsid w:val="1FE040BC"/>
    <w:rsid w:val="20152CE5"/>
    <w:rsid w:val="204801C9"/>
    <w:rsid w:val="20F304B0"/>
    <w:rsid w:val="21916F90"/>
    <w:rsid w:val="222B5D75"/>
    <w:rsid w:val="22314524"/>
    <w:rsid w:val="228C71CA"/>
    <w:rsid w:val="22DE11E6"/>
    <w:rsid w:val="249C6AFD"/>
    <w:rsid w:val="25D450BA"/>
    <w:rsid w:val="25D56523"/>
    <w:rsid w:val="26094D1A"/>
    <w:rsid w:val="26E116DC"/>
    <w:rsid w:val="277B4CFD"/>
    <w:rsid w:val="28752B19"/>
    <w:rsid w:val="2876124D"/>
    <w:rsid w:val="28AA01F1"/>
    <w:rsid w:val="28D331FC"/>
    <w:rsid w:val="2A377783"/>
    <w:rsid w:val="2A6266E9"/>
    <w:rsid w:val="2A6C54A9"/>
    <w:rsid w:val="2D21664A"/>
    <w:rsid w:val="2F34651F"/>
    <w:rsid w:val="2F425E94"/>
    <w:rsid w:val="2FB81F38"/>
    <w:rsid w:val="2FDC6C9E"/>
    <w:rsid w:val="2FFE2912"/>
    <w:rsid w:val="30BC2EBC"/>
    <w:rsid w:val="31356772"/>
    <w:rsid w:val="31FF72AF"/>
    <w:rsid w:val="32781A64"/>
    <w:rsid w:val="32782FFB"/>
    <w:rsid w:val="32B86F81"/>
    <w:rsid w:val="33CC15C4"/>
    <w:rsid w:val="33FA3136"/>
    <w:rsid w:val="353577A9"/>
    <w:rsid w:val="357B0EFD"/>
    <w:rsid w:val="35CA2DB9"/>
    <w:rsid w:val="35F41D4F"/>
    <w:rsid w:val="361E7E3B"/>
    <w:rsid w:val="3621266D"/>
    <w:rsid w:val="36974B68"/>
    <w:rsid w:val="375C2773"/>
    <w:rsid w:val="3781684D"/>
    <w:rsid w:val="384C47A3"/>
    <w:rsid w:val="39031BEB"/>
    <w:rsid w:val="39072F88"/>
    <w:rsid w:val="394D7D0F"/>
    <w:rsid w:val="399E4DCC"/>
    <w:rsid w:val="39F50C16"/>
    <w:rsid w:val="3B5330E7"/>
    <w:rsid w:val="3BD85452"/>
    <w:rsid w:val="3BF6596E"/>
    <w:rsid w:val="3C125C3B"/>
    <w:rsid w:val="3C602D03"/>
    <w:rsid w:val="3CC86BE5"/>
    <w:rsid w:val="3D132062"/>
    <w:rsid w:val="3D83213E"/>
    <w:rsid w:val="3DDB4F84"/>
    <w:rsid w:val="3FBF6038"/>
    <w:rsid w:val="3FFD6511"/>
    <w:rsid w:val="40A83A07"/>
    <w:rsid w:val="416F41D1"/>
    <w:rsid w:val="41BA0644"/>
    <w:rsid w:val="41F05DAA"/>
    <w:rsid w:val="428A76BF"/>
    <w:rsid w:val="42E762E1"/>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260A78"/>
    <w:rsid w:val="4CA37BED"/>
    <w:rsid w:val="4DE74B53"/>
    <w:rsid w:val="4E873EC5"/>
    <w:rsid w:val="4F0F2B66"/>
    <w:rsid w:val="4F296C73"/>
    <w:rsid w:val="4F747F89"/>
    <w:rsid w:val="4F9C7C1B"/>
    <w:rsid w:val="50331FAE"/>
    <w:rsid w:val="506247ED"/>
    <w:rsid w:val="5128622E"/>
    <w:rsid w:val="51541FB9"/>
    <w:rsid w:val="51653541"/>
    <w:rsid w:val="51BA3918"/>
    <w:rsid w:val="528C2691"/>
    <w:rsid w:val="52FB6FDA"/>
    <w:rsid w:val="535459AE"/>
    <w:rsid w:val="53B23A34"/>
    <w:rsid w:val="543F48D0"/>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A0615A"/>
    <w:rsid w:val="5BE55FB8"/>
    <w:rsid w:val="5BF54D48"/>
    <w:rsid w:val="5BFD4EC8"/>
    <w:rsid w:val="5C55335F"/>
    <w:rsid w:val="5C914C90"/>
    <w:rsid w:val="5CDD77D2"/>
    <w:rsid w:val="5D514298"/>
    <w:rsid w:val="5E847FBB"/>
    <w:rsid w:val="5E954ECC"/>
    <w:rsid w:val="5F2430A4"/>
    <w:rsid w:val="5F702B80"/>
    <w:rsid w:val="5F762EF1"/>
    <w:rsid w:val="5FC6029B"/>
    <w:rsid w:val="60003EDC"/>
    <w:rsid w:val="60405D44"/>
    <w:rsid w:val="604959AE"/>
    <w:rsid w:val="60AE7615"/>
    <w:rsid w:val="612975B6"/>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587158"/>
    <w:rsid w:val="6CCC2F03"/>
    <w:rsid w:val="6D7C1A08"/>
    <w:rsid w:val="6D7E3DB9"/>
    <w:rsid w:val="6EBC525F"/>
    <w:rsid w:val="6EED19D9"/>
    <w:rsid w:val="6EEE2197"/>
    <w:rsid w:val="6EEF7E4F"/>
    <w:rsid w:val="6F2D12A0"/>
    <w:rsid w:val="70F03E4F"/>
    <w:rsid w:val="712D573D"/>
    <w:rsid w:val="723D0FE7"/>
    <w:rsid w:val="72BB566D"/>
    <w:rsid w:val="72FE0135"/>
    <w:rsid w:val="73021E25"/>
    <w:rsid w:val="733B0CC7"/>
    <w:rsid w:val="73BE0193"/>
    <w:rsid w:val="75017925"/>
    <w:rsid w:val="75BF5C57"/>
    <w:rsid w:val="76287E23"/>
    <w:rsid w:val="76437394"/>
    <w:rsid w:val="768C6E51"/>
    <w:rsid w:val="776530D4"/>
    <w:rsid w:val="79A732D1"/>
    <w:rsid w:val="79AF7659"/>
    <w:rsid w:val="79BA4A36"/>
    <w:rsid w:val="79F6478D"/>
    <w:rsid w:val="7AD6416D"/>
    <w:rsid w:val="7B616DAE"/>
    <w:rsid w:val="7BCD7517"/>
    <w:rsid w:val="7BFA4470"/>
    <w:rsid w:val="7C0039D3"/>
    <w:rsid w:val="7C433515"/>
    <w:rsid w:val="7C6C6D2C"/>
    <w:rsid w:val="7C7163B3"/>
    <w:rsid w:val="7CC70A5D"/>
    <w:rsid w:val="7D45640A"/>
    <w:rsid w:val="7DCC035C"/>
    <w:rsid w:val="7DE6504F"/>
    <w:rsid w:val="7DEC76CD"/>
    <w:rsid w:val="7E6A0D57"/>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qFormat/>
    <w:uiPriority w:val="0"/>
    <w:pPr>
      <w:spacing w:before="240" w:after="240"/>
      <w:outlineLvl w:val="2"/>
    </w:pPr>
    <w:rPr>
      <w:b/>
      <w:sz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link w:val="48"/>
    <w:semiHidden/>
    <w:unhideWhenUsed/>
    <w:qFormat/>
    <w:uiPriority w:val="0"/>
    <w:pPr>
      <w:widowControl/>
      <w:spacing w:line="360" w:lineRule="auto"/>
      <w:ind w:firstLine="420"/>
      <w:jc w:val="left"/>
    </w:pPr>
    <w:rPr>
      <w:rFonts w:ascii="宋体" w:hAnsi="宋体" w:eastAsia="仿宋"/>
      <w:kern w:val="0"/>
      <w:sz w:val="24"/>
      <w:szCs w:val="24"/>
      <w:lang w:val="zh-CN"/>
    </w:rPr>
  </w:style>
  <w:style w:type="paragraph" w:styleId="6">
    <w:name w:val="annotation text"/>
    <w:basedOn w:val="1"/>
    <w:link w:val="44"/>
    <w:semiHidden/>
    <w:qFormat/>
    <w:uiPriority w:val="0"/>
    <w:pPr>
      <w:jc w:val="left"/>
    </w:pPr>
    <w:rPr>
      <w:szCs w:val="24"/>
    </w:rPr>
  </w:style>
  <w:style w:type="paragraph" w:styleId="7">
    <w:name w:val="Body Text Indent"/>
    <w:basedOn w:val="1"/>
    <w:qFormat/>
    <w:uiPriority w:val="0"/>
    <w:pPr>
      <w:spacing w:line="360" w:lineRule="auto"/>
      <w:ind w:left="720" w:hanging="720" w:hangingChars="300"/>
    </w:pPr>
    <w:rPr>
      <w:sz w:val="24"/>
    </w:rPr>
  </w:style>
  <w:style w:type="paragraph" w:styleId="8">
    <w:name w:val="Plain Text"/>
    <w:basedOn w:val="1"/>
    <w:link w:val="23"/>
    <w:qFormat/>
    <w:uiPriority w:val="0"/>
    <w:rPr>
      <w:rFonts w:ascii="宋体" w:hAnsi="Courier New" w:cs="Courier New"/>
      <w:szCs w:val="21"/>
    </w:rPr>
  </w:style>
  <w:style w:type="paragraph" w:styleId="9">
    <w:name w:val="Date"/>
    <w:basedOn w:val="1"/>
    <w:next w:val="1"/>
    <w:qFormat/>
    <w:uiPriority w:val="0"/>
  </w:style>
  <w:style w:type="paragraph" w:styleId="10">
    <w:name w:val="Balloon Text"/>
    <w:basedOn w:val="1"/>
    <w:link w:val="43"/>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annotation subject"/>
    <w:basedOn w:val="6"/>
    <w:next w:val="6"/>
    <w:link w:val="47"/>
    <w:semiHidden/>
    <w:unhideWhenUsed/>
    <w:qFormat/>
    <w:uiPriority w:val="0"/>
    <w:rPr>
      <w:b/>
      <w:bCs/>
      <w:szCs w:val="20"/>
    </w:rPr>
  </w:style>
  <w:style w:type="table" w:styleId="16">
    <w:name w:val="Table Grid"/>
    <w:basedOn w:val="1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semiHidden/>
    <w:qFormat/>
    <w:uiPriority w:val="0"/>
  </w:style>
  <w:style w:type="character" w:styleId="20">
    <w:name w:val="Hyperlink"/>
    <w:basedOn w:val="17"/>
    <w:qFormat/>
    <w:uiPriority w:val="0"/>
    <w:rPr>
      <w:color w:val="0000FF"/>
      <w:u w:val="single"/>
    </w:rPr>
  </w:style>
  <w:style w:type="character" w:styleId="21">
    <w:name w:val="annotation reference"/>
    <w:semiHidden/>
    <w:qFormat/>
    <w:uiPriority w:val="0"/>
    <w:rPr>
      <w:rFonts w:eastAsia="宋体"/>
      <w:kern w:val="2"/>
      <w:sz w:val="21"/>
      <w:szCs w:val="21"/>
      <w:lang w:val="en-US" w:eastAsia="zh-CN" w:bidi="ar-SA"/>
    </w:rPr>
  </w:style>
  <w:style w:type="character" w:customStyle="1" w:styleId="22">
    <w:name w:val="标题 3 Char"/>
    <w:basedOn w:val="17"/>
    <w:link w:val="4"/>
    <w:qFormat/>
    <w:uiPriority w:val="0"/>
    <w:rPr>
      <w:b/>
      <w:kern w:val="2"/>
      <w:sz w:val="24"/>
    </w:rPr>
  </w:style>
  <w:style w:type="character" w:customStyle="1" w:styleId="23">
    <w:name w:val="纯文本 Char"/>
    <w:basedOn w:val="17"/>
    <w:link w:val="8"/>
    <w:qFormat/>
    <w:uiPriority w:val="0"/>
    <w:rPr>
      <w:rFonts w:ascii="宋体" w:hAnsi="Courier New" w:cs="Courier New"/>
      <w:kern w:val="2"/>
      <w:sz w:val="21"/>
      <w:szCs w:val="21"/>
    </w:rPr>
  </w:style>
  <w:style w:type="paragraph" w:customStyle="1" w:styleId="24">
    <w:name w:val="Char"/>
    <w:basedOn w:val="1"/>
    <w:qFormat/>
    <w:uiPriority w:val="0"/>
    <w:rPr>
      <w:rFonts w:ascii="仿宋_GB2312" w:eastAsia="仿宋_GB2312"/>
      <w:b/>
      <w:sz w:val="32"/>
      <w:szCs w:val="32"/>
    </w:rPr>
  </w:style>
  <w:style w:type="paragraph" w:customStyle="1" w:styleId="25">
    <w:name w:val="样式 (西文) 宋体 行距: 1.5 倍行距"/>
    <w:basedOn w:val="1"/>
    <w:qFormat/>
    <w:uiPriority w:val="0"/>
    <w:pPr>
      <w:spacing w:line="360" w:lineRule="auto"/>
    </w:pPr>
    <w:rPr>
      <w:rFonts w:ascii="宋体" w:hAnsi="宋体" w:cs="宋体"/>
    </w:rPr>
  </w:style>
  <w:style w:type="character" w:customStyle="1" w:styleId="26">
    <w:name w:val="页眉 Char"/>
    <w:basedOn w:val="17"/>
    <w:link w:val="12"/>
    <w:qFormat/>
    <w:uiPriority w:val="0"/>
    <w:rPr>
      <w:kern w:val="2"/>
      <w:sz w:val="18"/>
      <w:szCs w:val="18"/>
    </w:rPr>
  </w:style>
  <w:style w:type="character" w:customStyle="1" w:styleId="27">
    <w:name w:val="页脚 Char"/>
    <w:basedOn w:val="17"/>
    <w:link w:val="11"/>
    <w:qFormat/>
    <w:uiPriority w:val="99"/>
    <w:rPr>
      <w:kern w:val="2"/>
      <w:sz w:val="18"/>
      <w:szCs w:val="18"/>
    </w:rPr>
  </w:style>
  <w:style w:type="character" w:customStyle="1" w:styleId="28">
    <w:name w:val="标题 2 Char"/>
    <w:basedOn w:val="17"/>
    <w:link w:val="3"/>
    <w:semiHidden/>
    <w:qFormat/>
    <w:uiPriority w:val="0"/>
    <w:rPr>
      <w:rFonts w:asciiTheme="majorHAnsi" w:hAnsiTheme="majorHAnsi" w:eastAsiaTheme="majorEastAsia" w:cstheme="majorBidi"/>
      <w:b/>
      <w:bCs/>
      <w:kern w:val="2"/>
      <w:sz w:val="32"/>
      <w:szCs w:val="32"/>
    </w:rPr>
  </w:style>
  <w:style w:type="paragraph" w:customStyle="1" w:styleId="29">
    <w:name w:val="列出段落1"/>
    <w:basedOn w:val="1"/>
    <w:qFormat/>
    <w:uiPriority w:val="34"/>
    <w:pPr>
      <w:ind w:firstLine="420" w:firstLineChars="200"/>
    </w:pPr>
    <w:rPr>
      <w:rFonts w:ascii="Calibri" w:hAnsi="Calibri"/>
      <w:szCs w:val="22"/>
    </w:rPr>
  </w:style>
  <w:style w:type="character" w:customStyle="1" w:styleId="30">
    <w:name w:val="标题 1 Char"/>
    <w:basedOn w:val="17"/>
    <w:link w:val="2"/>
    <w:qFormat/>
    <w:uiPriority w:val="0"/>
    <w:rPr>
      <w:b/>
      <w:bCs/>
      <w:kern w:val="44"/>
      <w:sz w:val="44"/>
      <w:szCs w:val="44"/>
    </w:rPr>
  </w:style>
  <w:style w:type="paragraph" w:customStyle="1" w:styleId="31">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qFormat/>
    <w:uiPriority w:val="34"/>
    <w:pPr>
      <w:ind w:firstLine="420" w:firstLineChars="200"/>
    </w:pPr>
  </w:style>
  <w:style w:type="paragraph" w:customStyle="1" w:styleId="33">
    <w:name w:val="样式3"/>
    <w:basedOn w:val="1"/>
    <w:qFormat/>
    <w:uiPriority w:val="0"/>
    <w:pPr>
      <w:spacing w:line="0" w:lineRule="atLeast"/>
      <w:outlineLvl w:val="0"/>
    </w:pPr>
    <w:rPr>
      <w:rFonts w:ascii="宋体" w:hAnsi="Courier New"/>
      <w:sz w:val="28"/>
      <w:szCs w:val="24"/>
    </w:rPr>
  </w:style>
  <w:style w:type="paragraph" w:customStyle="1" w:styleId="34">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qFormat/>
    <w:uiPriority w:val="99"/>
    <w:pPr>
      <w:jc w:val="center"/>
      <w:outlineLvl w:val="0"/>
    </w:pPr>
    <w:rPr>
      <w:rFonts w:ascii="宋体" w:hAnsi="宋体"/>
      <w:b/>
      <w:sz w:val="28"/>
      <w:szCs w:val="28"/>
    </w:rPr>
  </w:style>
  <w:style w:type="paragraph" w:customStyle="1" w:styleId="36">
    <w:name w:val="列出段落11"/>
    <w:basedOn w:val="1"/>
    <w:qFormat/>
    <w:uiPriority w:val="99"/>
    <w:pPr>
      <w:ind w:firstLine="420" w:firstLineChars="200"/>
    </w:pPr>
  </w:style>
  <w:style w:type="paragraph" w:customStyle="1" w:styleId="37">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qFormat/>
    <w:uiPriority w:val="99"/>
    <w:pPr>
      <w:ind w:firstLine="420" w:firstLineChars="200"/>
    </w:pPr>
  </w:style>
  <w:style w:type="paragraph" w:customStyle="1" w:styleId="39">
    <w:name w:val="msolistparagraph"/>
    <w:basedOn w:val="1"/>
    <w:qFormat/>
    <w:uiPriority w:val="0"/>
    <w:pPr>
      <w:adjustRightInd w:val="0"/>
      <w:snapToGrid w:val="0"/>
      <w:ind w:firstLine="420" w:firstLineChars="200"/>
    </w:pPr>
    <w:rPr>
      <w:sz w:val="28"/>
      <w:szCs w:val="24"/>
    </w:rPr>
  </w:style>
  <w:style w:type="character" w:customStyle="1" w:styleId="40">
    <w:name w:val="font31"/>
    <w:basedOn w:val="17"/>
    <w:qFormat/>
    <w:uiPriority w:val="0"/>
    <w:rPr>
      <w:rFonts w:hint="eastAsia" w:ascii="宋体" w:hAnsi="宋体" w:eastAsia="宋体" w:cs="Times New Roman"/>
      <w:color w:val="000000"/>
      <w:sz w:val="20"/>
      <w:szCs w:val="20"/>
      <w:u w:val="none"/>
    </w:rPr>
  </w:style>
  <w:style w:type="character" w:customStyle="1" w:styleId="41">
    <w:name w:val="font21"/>
    <w:basedOn w:val="17"/>
    <w:qFormat/>
    <w:uiPriority w:val="0"/>
    <w:rPr>
      <w:rFonts w:hint="eastAsia" w:ascii="宋体" w:hAnsi="宋体" w:eastAsia="宋体" w:cs="宋体"/>
      <w:color w:val="000000"/>
      <w:sz w:val="18"/>
      <w:szCs w:val="18"/>
      <w:u w:val="none"/>
    </w:rPr>
  </w:style>
  <w:style w:type="paragraph" w:customStyle="1" w:styleId="42">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3">
    <w:name w:val="批注框文本 Char"/>
    <w:basedOn w:val="17"/>
    <w:link w:val="10"/>
    <w:qFormat/>
    <w:uiPriority w:val="0"/>
    <w:rPr>
      <w:rFonts w:ascii="Times New Roman" w:hAnsi="Times New Roman"/>
      <w:kern w:val="2"/>
      <w:sz w:val="18"/>
      <w:szCs w:val="18"/>
    </w:rPr>
  </w:style>
  <w:style w:type="character" w:customStyle="1" w:styleId="44">
    <w:name w:val="批注文字 Char"/>
    <w:basedOn w:val="17"/>
    <w:link w:val="6"/>
    <w:semiHidden/>
    <w:qFormat/>
    <w:uiPriority w:val="0"/>
    <w:rPr>
      <w:rFonts w:ascii="Times New Roman" w:hAnsi="Times New Roman"/>
      <w:kern w:val="2"/>
      <w:sz w:val="21"/>
      <w:szCs w:val="24"/>
    </w:rPr>
  </w:style>
  <w:style w:type="paragraph" w:styleId="45">
    <w:name w:val="List Paragraph"/>
    <w:basedOn w:val="1"/>
    <w:link w:val="46"/>
    <w:qFormat/>
    <w:uiPriority w:val="34"/>
    <w:pPr>
      <w:ind w:firstLine="420" w:firstLineChars="200"/>
    </w:pPr>
    <w:rPr>
      <w:rFonts w:ascii="Calibri" w:hAnsi="Calibri"/>
      <w:szCs w:val="22"/>
    </w:rPr>
  </w:style>
  <w:style w:type="character" w:customStyle="1" w:styleId="46">
    <w:name w:val="列出段落 Char"/>
    <w:link w:val="45"/>
    <w:qFormat/>
    <w:uiPriority w:val="0"/>
    <w:rPr>
      <w:kern w:val="2"/>
      <w:sz w:val="21"/>
      <w:szCs w:val="22"/>
    </w:rPr>
  </w:style>
  <w:style w:type="character" w:customStyle="1" w:styleId="47">
    <w:name w:val="批注主题 Char"/>
    <w:basedOn w:val="44"/>
    <w:link w:val="14"/>
    <w:semiHidden/>
    <w:qFormat/>
    <w:uiPriority w:val="0"/>
    <w:rPr>
      <w:rFonts w:ascii="Times New Roman" w:hAnsi="Times New Roman"/>
      <w:b/>
      <w:bCs/>
      <w:kern w:val="2"/>
      <w:sz w:val="21"/>
      <w:szCs w:val="24"/>
    </w:rPr>
  </w:style>
  <w:style w:type="character" w:customStyle="1" w:styleId="48">
    <w:name w:val="正文缩进 Char"/>
    <w:link w:val="5"/>
    <w:semiHidden/>
    <w:qFormat/>
    <w:locked/>
    <w:uiPriority w:val="0"/>
    <w:rPr>
      <w:rFonts w:ascii="宋体" w:hAnsi="宋体" w:eastAsia="仿宋"/>
      <w:sz w:val="24"/>
      <w:szCs w:val="24"/>
      <w:lang w:val="zh-CN" w:eastAsia="zh-CN"/>
    </w:rPr>
  </w:style>
  <w:style w:type="paragraph" w:customStyle="1" w:styleId="49">
    <w:name w:val="标题 31"/>
    <w:basedOn w:val="1"/>
    <w:next w:val="1"/>
    <w:unhideWhenUsed/>
    <w:qFormat/>
    <w:uiPriority w:val="0"/>
    <w:pPr>
      <w:keepNext/>
      <w:keepLines/>
      <w:numPr>
        <w:ilvl w:val="0"/>
        <w:numId w:val="1"/>
      </w:numPr>
      <w:spacing w:line="360" w:lineRule="auto"/>
      <w:ind w:left="420" w:hanging="420"/>
      <w:contextualSpacing/>
      <w:outlineLvl w:val="2"/>
    </w:pPr>
    <w:rPr>
      <w:rFonts w:asciiTheme="minorHAnsi" w:hAnsiTheme="minorHAnsi" w:cstheme="minorBidi"/>
      <w:bCs/>
      <w:szCs w:val="32"/>
    </w:rPr>
  </w:style>
  <w:style w:type="paragraph" w:customStyle="1" w:styleId="50">
    <w:name w:val="标题 41"/>
    <w:basedOn w:val="1"/>
    <w:next w:val="1"/>
    <w:unhideWhenUsed/>
    <w:qFormat/>
    <w:uiPriority w:val="0"/>
    <w:pPr>
      <w:keepNext/>
      <w:keepLines/>
      <w:numPr>
        <w:ilvl w:val="1"/>
        <w:numId w:val="1"/>
      </w:numPr>
      <w:spacing w:line="360" w:lineRule="auto"/>
      <w:ind w:left="840" w:hanging="420"/>
      <w:jc w:val="left"/>
      <w:outlineLvl w:val="3"/>
    </w:pPr>
    <w:rPr>
      <w:rFonts w:ascii="等线 Light" w:hAnsi="等线 Light"/>
      <w:bCs/>
      <w:szCs w:val="28"/>
    </w:rPr>
  </w:style>
  <w:style w:type="paragraph" w:customStyle="1" w:styleId="51">
    <w:name w:val="标题 51"/>
    <w:basedOn w:val="1"/>
    <w:next w:val="1"/>
    <w:unhideWhenUsed/>
    <w:qFormat/>
    <w:uiPriority w:val="0"/>
    <w:pPr>
      <w:keepNext/>
      <w:keepLines/>
      <w:numPr>
        <w:ilvl w:val="2"/>
        <w:numId w:val="1"/>
      </w:numPr>
      <w:spacing w:line="360" w:lineRule="auto"/>
      <w:ind w:left="1260" w:hanging="420"/>
      <w:contextualSpacing/>
      <w:jc w:val="left"/>
      <w:outlineLvl w:val="4"/>
    </w:pPr>
    <w:rPr>
      <w:rFonts w:asciiTheme="minorHAnsi" w:hAnsiTheme="minorHAnsi" w:cstheme="minorBidi"/>
      <w:b/>
      <w:bCs/>
      <w:sz w:val="24"/>
      <w:szCs w:val="28"/>
    </w:rPr>
  </w:style>
  <w:style w:type="paragraph" w:customStyle="1" w:styleId="52">
    <w:name w:val="标题 61"/>
    <w:basedOn w:val="1"/>
    <w:next w:val="1"/>
    <w:unhideWhenUsed/>
    <w:qFormat/>
    <w:uiPriority w:val="0"/>
    <w:pPr>
      <w:keepNext/>
      <w:keepLines/>
      <w:numPr>
        <w:ilvl w:val="3"/>
        <w:numId w:val="1"/>
      </w:numPr>
      <w:spacing w:line="360" w:lineRule="auto"/>
      <w:ind w:left="1680" w:hanging="420"/>
      <w:contextualSpacing/>
      <w:outlineLvl w:val="5"/>
    </w:pPr>
    <w:rPr>
      <w:rFonts w:ascii="等线 Light" w:hAnsi="等线 Light"/>
      <w:b/>
      <w:bCs/>
      <w:sz w:val="24"/>
      <w:szCs w:val="24"/>
    </w:rPr>
  </w:style>
  <w:style w:type="paragraph" w:customStyle="1" w:styleId="53">
    <w:name w:val="标题 71"/>
    <w:basedOn w:val="1"/>
    <w:next w:val="1"/>
    <w:unhideWhenUsed/>
    <w:qFormat/>
    <w:uiPriority w:val="0"/>
    <w:pPr>
      <w:keepNext/>
      <w:keepLines/>
      <w:numPr>
        <w:ilvl w:val="4"/>
        <w:numId w:val="1"/>
      </w:numPr>
      <w:spacing w:line="360" w:lineRule="auto"/>
      <w:ind w:left="2100" w:hanging="420"/>
      <w:outlineLvl w:val="6"/>
    </w:pPr>
    <w:rPr>
      <w:rFonts w:asciiTheme="minorHAnsi" w:hAnsiTheme="minorHAnsi" w:cstheme="minorBidi"/>
      <w:b/>
      <w:bCs/>
      <w:sz w:val="24"/>
      <w:szCs w:val="24"/>
    </w:rPr>
  </w:style>
  <w:style w:type="paragraph" w:customStyle="1" w:styleId="54">
    <w:name w:val="标题 81"/>
    <w:basedOn w:val="1"/>
    <w:next w:val="1"/>
    <w:unhideWhenUsed/>
    <w:qFormat/>
    <w:uiPriority w:val="0"/>
    <w:pPr>
      <w:keepNext/>
      <w:keepLines/>
      <w:numPr>
        <w:ilvl w:val="5"/>
        <w:numId w:val="1"/>
      </w:numPr>
      <w:spacing w:line="360" w:lineRule="auto"/>
      <w:ind w:left="2520" w:hanging="420"/>
      <w:jc w:val="left"/>
      <w:outlineLvl w:val="7"/>
    </w:pPr>
    <w:rPr>
      <w:rFonts w:ascii="等线 Light" w:hAnsi="等线 Light"/>
      <w:b/>
      <w:sz w:val="24"/>
      <w:szCs w:val="24"/>
    </w:rPr>
  </w:style>
  <w:style w:type="paragraph" w:customStyle="1" w:styleId="55">
    <w:name w:val="标题 91"/>
    <w:basedOn w:val="1"/>
    <w:next w:val="1"/>
    <w:unhideWhenUsed/>
    <w:qFormat/>
    <w:uiPriority w:val="0"/>
    <w:pPr>
      <w:keepNext/>
      <w:keepLines/>
      <w:numPr>
        <w:ilvl w:val="6"/>
        <w:numId w:val="1"/>
      </w:numPr>
      <w:spacing w:before="240" w:after="64" w:line="320" w:lineRule="auto"/>
      <w:ind w:left="2940" w:hanging="420"/>
      <w:outlineLvl w:val="8"/>
    </w:pPr>
    <w:rPr>
      <w:rFonts w:ascii="等线 Light" w:hAnsi="等线 Light" w:eastAsia="等线 Light"/>
      <w:sz w:val="24"/>
      <w:szCs w:val="21"/>
    </w:rPr>
  </w:style>
  <w:style w:type="table" w:customStyle="1" w:styleId="56">
    <w:name w:val="网格型6"/>
    <w:basedOn w:val="1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网格型3"/>
    <w:basedOn w:val="1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
    <w:name w:val="网格型4"/>
    <w:basedOn w:val="1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
    <w:name w:val="网格型5"/>
    <w:basedOn w:val="1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
    <w:name w:val="网格型61"/>
    <w:basedOn w:val="1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网格型62"/>
    <w:basedOn w:val="1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3667F-C5E3-407A-AB9E-1EEBF8898D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12058</Words>
  <Characters>2029</Characters>
  <Lines>16</Lines>
  <Paragraphs>28</Paragraphs>
  <TotalTime>0</TotalTime>
  <ScaleCrop>false</ScaleCrop>
  <LinksUpToDate>false</LinksUpToDate>
  <CharactersWithSpaces>14059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2023-07-20T02:26:00Z</dcterms:created>
  <dc:creator>User</dc:creator>
  <cp:lastModifiedBy>Absurd</cp:lastModifiedBy>
  <cp:lastPrinted>2020-06-11T00:08:00Z</cp:lastPrinted>
  <dcterms:modified xsi:type="dcterms:W3CDTF">2023-10-13T00:52:51Z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66122D581CD74AB49D26C9D8B776C763_13</vt:lpwstr>
  </property>
</Properties>
</file>