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8"/>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3"/>
        <w:gridCol w:w="1173"/>
        <w:gridCol w:w="6033"/>
        <w:gridCol w:w="776"/>
        <w:gridCol w:w="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vAlign w:val="center"/>
          </w:tcPr>
          <w:p>
            <w:pPr>
              <w:adjustRightInd w:val="0"/>
              <w:snapToGrid w:val="0"/>
              <w:jc w:val="center"/>
              <w:rPr>
                <w:rFonts w:ascii="宋体" w:hAnsi="宋体" w:cs="宋体"/>
                <w:b/>
                <w:szCs w:val="21"/>
              </w:rPr>
            </w:pPr>
            <w:r>
              <w:rPr>
                <w:rFonts w:hint="eastAsia" w:ascii="宋体" w:hAnsi="宋体" w:cs="宋体"/>
                <w:b/>
                <w:szCs w:val="21"/>
              </w:rPr>
              <w:t>评审部分</w:t>
            </w:r>
          </w:p>
        </w:tc>
        <w:tc>
          <w:tcPr>
            <w:tcW w:w="617" w:type="pct"/>
            <w:vAlign w:val="center"/>
          </w:tcPr>
          <w:p>
            <w:pPr>
              <w:adjustRightInd w:val="0"/>
              <w:snapToGrid w:val="0"/>
              <w:jc w:val="center"/>
              <w:rPr>
                <w:rFonts w:ascii="宋体" w:hAnsi="宋体" w:cs="宋体"/>
                <w:b/>
                <w:szCs w:val="21"/>
              </w:rPr>
            </w:pPr>
            <w:r>
              <w:rPr>
                <w:rFonts w:hint="eastAsia" w:ascii="宋体" w:hAnsi="宋体" w:cs="宋体"/>
                <w:b/>
                <w:szCs w:val="21"/>
              </w:rPr>
              <w:t>评审因素</w:t>
            </w:r>
          </w:p>
        </w:tc>
        <w:tc>
          <w:tcPr>
            <w:tcW w:w="3172" w:type="pct"/>
            <w:vAlign w:val="center"/>
          </w:tcPr>
          <w:p>
            <w:pPr>
              <w:adjustRightInd w:val="0"/>
              <w:snapToGrid w:val="0"/>
              <w:jc w:val="center"/>
              <w:rPr>
                <w:rFonts w:ascii="宋体" w:hAnsi="宋体" w:cs="宋体"/>
                <w:b/>
                <w:szCs w:val="21"/>
              </w:rPr>
            </w:pPr>
            <w:r>
              <w:rPr>
                <w:rFonts w:hint="eastAsia" w:ascii="宋体" w:hAnsi="宋体" w:cs="宋体"/>
                <w:b/>
                <w:szCs w:val="21"/>
              </w:rPr>
              <w:t>评分细则</w:t>
            </w:r>
          </w:p>
        </w:tc>
        <w:tc>
          <w:tcPr>
            <w:tcW w:w="408" w:type="pct"/>
            <w:tcBorders>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权重（%）</w:t>
            </w:r>
          </w:p>
        </w:tc>
        <w:tc>
          <w:tcPr>
            <w:tcW w:w="452" w:type="pct"/>
            <w:tcBorders>
              <w:lef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349" w:type="pct"/>
            <w:vAlign w:val="center"/>
          </w:tcPr>
          <w:p>
            <w:pPr>
              <w:adjustRightInd w:val="0"/>
              <w:snapToGrid w:val="0"/>
              <w:jc w:val="center"/>
              <w:rPr>
                <w:rFonts w:ascii="宋体" w:hAnsi="宋体" w:cs="宋体"/>
                <w:b/>
                <w:szCs w:val="21"/>
              </w:rPr>
            </w:pPr>
            <w:r>
              <w:rPr>
                <w:rFonts w:hint="eastAsia" w:ascii="宋体" w:hAnsi="宋体" w:cs="宋体"/>
                <w:b/>
                <w:szCs w:val="21"/>
              </w:rPr>
              <w:t>一</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技术部分（45分）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商品质量保障可靠性</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根据投标人对货物的来源、包装、保存、运输各环节的质量保证措施及方案完善程度进行评价：</w:t>
            </w:r>
          </w:p>
          <w:p>
            <w:pPr>
              <w:adjustRightInd w:val="0"/>
              <w:snapToGrid w:val="0"/>
              <w:jc w:val="left"/>
              <w:rPr>
                <w:rFonts w:ascii="宋体" w:hAnsi="宋体" w:cs="宋体"/>
                <w:szCs w:val="21"/>
              </w:rPr>
            </w:pPr>
            <w:r>
              <w:rPr>
                <w:rFonts w:hint="eastAsia" w:ascii="宋体" w:hAnsi="宋体" w:cs="宋体"/>
                <w:szCs w:val="21"/>
              </w:rPr>
              <w:t>1.详细说明所投货物来源渠道且合法合规；</w:t>
            </w:r>
          </w:p>
          <w:p>
            <w:pPr>
              <w:adjustRightInd w:val="0"/>
              <w:snapToGrid w:val="0"/>
              <w:jc w:val="left"/>
              <w:rPr>
                <w:rFonts w:ascii="宋体" w:hAnsi="宋体" w:cs="宋体"/>
                <w:szCs w:val="21"/>
              </w:rPr>
            </w:pPr>
            <w:r>
              <w:rPr>
                <w:rFonts w:hint="eastAsia" w:ascii="宋体" w:hAnsi="宋体" w:cs="宋体"/>
                <w:szCs w:val="21"/>
              </w:rPr>
              <w:t>2.详细说明所投货物包装、保存方案且合理可行；</w:t>
            </w:r>
          </w:p>
          <w:p>
            <w:pPr>
              <w:adjustRightInd w:val="0"/>
              <w:snapToGrid w:val="0"/>
              <w:jc w:val="left"/>
              <w:rPr>
                <w:rFonts w:ascii="宋体" w:hAnsi="宋体" w:cs="宋体"/>
                <w:szCs w:val="21"/>
              </w:rPr>
            </w:pPr>
            <w:r>
              <w:rPr>
                <w:rFonts w:hint="eastAsia" w:ascii="宋体" w:hAnsi="宋体" w:cs="宋体"/>
                <w:szCs w:val="21"/>
              </w:rPr>
              <w:t>3.详细说明所投货物运输等方案且合理可行。</w:t>
            </w:r>
          </w:p>
          <w:p>
            <w:pPr>
              <w:adjustRightInd w:val="0"/>
              <w:snapToGrid w:val="0"/>
              <w:jc w:val="left"/>
              <w:rPr>
                <w:rFonts w:ascii="宋体" w:hAnsi="宋体" w:cs="宋体"/>
                <w:szCs w:val="21"/>
              </w:rPr>
            </w:pPr>
            <w:r>
              <w:rPr>
                <w:rFonts w:hint="eastAsia" w:ascii="宋体" w:hAnsi="宋体" w:cs="宋体"/>
                <w:szCs w:val="21"/>
              </w:rPr>
              <w:t xml:space="preserve">（二）评分标准： </w:t>
            </w:r>
          </w:p>
          <w:p>
            <w:pPr>
              <w:adjustRightInd w:val="0"/>
              <w:snapToGrid w:val="0"/>
              <w:jc w:val="left"/>
              <w:rPr>
                <w:rFonts w:ascii="宋体" w:hAnsi="宋体" w:cs="宋体"/>
                <w:szCs w:val="21"/>
              </w:rPr>
            </w:pPr>
            <w:r>
              <w:rPr>
                <w:rFonts w:hint="eastAsia" w:ascii="宋体" w:hAnsi="宋体" w:cs="宋体"/>
                <w:szCs w:val="21"/>
              </w:rPr>
              <w:t>满足以上三项要求得15分，满足以上任意两项要求得10分，满足以上一项要求得5分，其它情况不得分。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售后服务承诺</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（一）评分内容：</w:t>
            </w:r>
          </w:p>
          <w:p>
            <w:pPr>
              <w:adjustRightInd w:val="0"/>
              <w:snapToGrid w:val="0"/>
              <w:jc w:val="left"/>
              <w:rPr>
                <w:rFonts w:ascii="宋体" w:hAnsi="宋体" w:cs="宋体"/>
                <w:szCs w:val="21"/>
              </w:rPr>
            </w:pPr>
            <w:r>
              <w:rPr>
                <w:rFonts w:hint="eastAsia" w:ascii="宋体" w:hAnsi="宋体" w:cs="宋体"/>
                <w:szCs w:val="21"/>
              </w:rPr>
              <w:t>投标人提供售后服务承诺，包括但不限于以下内容：</w:t>
            </w:r>
          </w:p>
          <w:p>
            <w:pPr>
              <w:adjustRightInd w:val="0"/>
              <w:snapToGrid w:val="0"/>
              <w:jc w:val="left"/>
              <w:rPr>
                <w:rFonts w:ascii="宋体" w:hAnsi="宋体" w:cs="宋体"/>
                <w:szCs w:val="21"/>
              </w:rPr>
            </w:pPr>
            <w:r>
              <w:rPr>
                <w:rFonts w:hint="eastAsia" w:ascii="宋体" w:hAnsi="宋体" w:cs="宋体"/>
                <w:szCs w:val="21"/>
              </w:rPr>
              <w:t xml:space="preserve">1.售后服务团队情况安排合理，售后服务响应及时； </w:t>
            </w:r>
          </w:p>
          <w:p>
            <w:pPr>
              <w:adjustRightInd w:val="0"/>
              <w:snapToGrid w:val="0"/>
              <w:jc w:val="left"/>
              <w:rPr>
                <w:rFonts w:ascii="宋体" w:hAnsi="宋体" w:cs="宋体"/>
                <w:szCs w:val="21"/>
              </w:rPr>
            </w:pPr>
            <w:r>
              <w:rPr>
                <w:rFonts w:hint="eastAsia" w:ascii="宋体" w:hAnsi="宋体" w:cs="宋体"/>
                <w:szCs w:val="21"/>
              </w:rPr>
              <w:t xml:space="preserve">2.退换货的处理流程快捷、高效； </w:t>
            </w:r>
          </w:p>
          <w:p>
            <w:pPr>
              <w:adjustRightInd w:val="0"/>
              <w:snapToGrid w:val="0"/>
              <w:jc w:val="left"/>
              <w:rPr>
                <w:rFonts w:ascii="宋体" w:hAnsi="宋体" w:cs="宋体"/>
                <w:szCs w:val="21"/>
              </w:rPr>
            </w:pPr>
            <w:r>
              <w:rPr>
                <w:rFonts w:hint="eastAsia" w:ascii="宋体" w:hAnsi="宋体" w:cs="宋体"/>
                <w:szCs w:val="21"/>
              </w:rPr>
              <w:t>3.遇到产品问题时能够及时无条件更换及配送的。</w:t>
            </w:r>
          </w:p>
          <w:p>
            <w:pPr>
              <w:adjustRightInd w:val="0"/>
              <w:snapToGrid w:val="0"/>
              <w:jc w:val="left"/>
              <w:rPr>
                <w:rFonts w:ascii="宋体" w:hAnsi="宋体" w:cs="宋体"/>
                <w:szCs w:val="21"/>
              </w:rPr>
            </w:pPr>
            <w:r>
              <w:rPr>
                <w:rFonts w:hint="eastAsia" w:ascii="宋体" w:hAnsi="宋体" w:cs="宋体"/>
                <w:szCs w:val="21"/>
              </w:rPr>
              <w:t>（二）评分依据：</w:t>
            </w:r>
          </w:p>
          <w:p>
            <w:pPr>
              <w:adjustRightInd w:val="0"/>
              <w:snapToGrid w:val="0"/>
              <w:jc w:val="left"/>
              <w:rPr>
                <w:rFonts w:ascii="宋体" w:hAnsi="宋体" w:cs="宋体"/>
                <w:szCs w:val="21"/>
              </w:rPr>
            </w:pPr>
            <w:r>
              <w:rPr>
                <w:rFonts w:hint="eastAsia" w:ascii="宋体" w:hAnsi="宋体" w:cs="宋体"/>
                <w:szCs w:val="21"/>
              </w:rPr>
              <w:t>满足以上三项要求得15分，满足以上任意两项要求得10分，满足以上一项要求得5分，其它情况不得分。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配送服务方案</w:t>
            </w:r>
          </w:p>
        </w:tc>
        <w:tc>
          <w:tcPr>
            <w:tcW w:w="3172" w:type="pct"/>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 xml:space="preserve">考察投标人针对本项目配送方案的具体详实程度，提供包含但不限于以下四项： </w:t>
            </w:r>
          </w:p>
          <w:p>
            <w:pPr>
              <w:adjustRightInd w:val="0"/>
              <w:snapToGrid w:val="0"/>
              <w:jc w:val="left"/>
              <w:rPr>
                <w:rFonts w:ascii="宋体" w:hAnsi="宋体" w:cs="宋体"/>
                <w:szCs w:val="21"/>
              </w:rPr>
            </w:pPr>
            <w:r>
              <w:rPr>
                <w:rFonts w:hint="eastAsia" w:ascii="宋体" w:hAnsi="宋体" w:cs="宋体"/>
                <w:szCs w:val="21"/>
              </w:rPr>
              <w:t xml:space="preserve">1.配送服务保障措施内容全面，能提供手机扫二维码兑换、官网兑换、电话兑换等兑换方式； </w:t>
            </w:r>
          </w:p>
          <w:p>
            <w:pPr>
              <w:adjustRightInd w:val="0"/>
              <w:snapToGrid w:val="0"/>
              <w:jc w:val="left"/>
              <w:rPr>
                <w:rFonts w:ascii="宋体" w:hAnsi="宋体" w:cs="宋体"/>
                <w:szCs w:val="21"/>
              </w:rPr>
            </w:pPr>
            <w:r>
              <w:rPr>
                <w:rFonts w:hint="eastAsia" w:ascii="宋体" w:hAnsi="宋体" w:cs="宋体"/>
                <w:szCs w:val="21"/>
              </w:rPr>
              <w:t>2.采用</w:t>
            </w:r>
            <w:r>
              <w:rPr>
                <w:rFonts w:hint="eastAsia"/>
              </w:rPr>
              <w:t>可配送到家的快递服务</w:t>
            </w:r>
            <w:r>
              <w:rPr>
                <w:rFonts w:hint="eastAsia" w:ascii="宋体" w:hAnsi="宋体" w:cs="宋体"/>
                <w:szCs w:val="21"/>
              </w:rPr>
              <w:t xml:space="preserve">； </w:t>
            </w:r>
          </w:p>
          <w:p>
            <w:pPr>
              <w:adjustRightInd w:val="0"/>
              <w:snapToGrid w:val="0"/>
              <w:jc w:val="left"/>
              <w:rPr>
                <w:rFonts w:ascii="宋体" w:hAnsi="宋体" w:cs="宋体"/>
                <w:szCs w:val="21"/>
              </w:rPr>
            </w:pPr>
            <w:r>
              <w:rPr>
                <w:rFonts w:hint="eastAsia" w:ascii="宋体" w:hAnsi="宋体" w:cs="宋体"/>
                <w:szCs w:val="21"/>
              </w:rPr>
              <w:t xml:space="preserve">3.清晰完整的工作流程图。 </w:t>
            </w:r>
          </w:p>
          <w:p>
            <w:pPr>
              <w:adjustRightInd w:val="0"/>
              <w:snapToGrid w:val="0"/>
              <w:jc w:val="left"/>
              <w:rPr>
                <w:rFonts w:ascii="宋体" w:hAnsi="宋体" w:cs="宋体"/>
                <w:szCs w:val="21"/>
              </w:rPr>
            </w:pPr>
            <w:r>
              <w:rPr>
                <w:rFonts w:hint="eastAsia" w:ascii="宋体" w:hAnsi="宋体" w:cs="宋体"/>
                <w:szCs w:val="21"/>
              </w:rPr>
              <w:t xml:space="preserve">（二）评分标准： </w:t>
            </w:r>
          </w:p>
          <w:p>
            <w:pPr>
              <w:pStyle w:val="6"/>
              <w:rPr>
                <w:rFonts w:ascii="宋体" w:hAnsi="宋体" w:eastAsia="宋体" w:cs="宋体"/>
                <w:szCs w:val="21"/>
              </w:rPr>
            </w:pPr>
            <w:r>
              <w:rPr>
                <w:rFonts w:hint="eastAsia" w:ascii="宋体" w:hAnsi="宋体" w:eastAsia="宋体" w:cs="宋体"/>
                <w:szCs w:val="21"/>
              </w:rPr>
              <w:t>满足以上三项要求得</w:t>
            </w:r>
            <w:r>
              <w:rPr>
                <w:rFonts w:hint="eastAsia" w:ascii="宋体" w:hAnsi="宋体" w:cs="宋体"/>
                <w:szCs w:val="21"/>
              </w:rPr>
              <w:t>1</w:t>
            </w:r>
            <w:r>
              <w:rPr>
                <w:rFonts w:hint="eastAsia" w:ascii="宋体" w:hAnsi="宋体" w:eastAsia="宋体" w:cs="宋体"/>
                <w:szCs w:val="21"/>
              </w:rPr>
              <w:t>5分，满足以上</w:t>
            </w:r>
            <w:r>
              <w:rPr>
                <w:rFonts w:hint="eastAsia" w:ascii="宋体" w:hAnsi="宋体" w:cs="宋体"/>
                <w:szCs w:val="21"/>
              </w:rPr>
              <w:t>任意</w:t>
            </w:r>
            <w:r>
              <w:rPr>
                <w:rFonts w:hint="eastAsia" w:ascii="宋体" w:hAnsi="宋体" w:eastAsia="宋体" w:cs="宋体"/>
                <w:szCs w:val="21"/>
              </w:rPr>
              <w:t>两项要求得</w:t>
            </w:r>
            <w:r>
              <w:rPr>
                <w:rFonts w:hint="eastAsia" w:ascii="宋体" w:hAnsi="宋体" w:cs="宋体"/>
                <w:szCs w:val="21"/>
              </w:rPr>
              <w:t>10</w:t>
            </w:r>
            <w:r>
              <w:rPr>
                <w:rFonts w:hint="eastAsia" w:ascii="宋体" w:hAnsi="宋体" w:eastAsia="宋体" w:cs="宋体"/>
                <w:szCs w:val="21"/>
              </w:rPr>
              <w:t>分，满足以上一项要求得</w:t>
            </w:r>
            <w:r>
              <w:rPr>
                <w:rFonts w:hint="eastAsia" w:ascii="宋体" w:hAnsi="宋体" w:cs="宋体"/>
                <w:szCs w:val="21"/>
              </w:rPr>
              <w:t>5</w:t>
            </w:r>
            <w:r>
              <w:rPr>
                <w:rFonts w:hint="eastAsia" w:ascii="宋体" w:hAnsi="宋体" w:eastAsia="宋体" w:cs="宋体"/>
                <w:szCs w:val="21"/>
              </w:rPr>
              <w:t>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349"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二</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商务部分（25分）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trPr>
        <w:tc>
          <w:tcPr>
            <w:tcW w:w="349" w:type="pct"/>
            <w:tcBorders>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同类项目业绩情况</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提供以往同类配送服务合同复印件及配送承诺书</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好（提供5家以上配送服务合同复印件及承诺书）：  6分</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较好（提供3家以上配送服务合同复印件及承诺书）：4分</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一般（提供1家以上配送服务合同复印件及承诺书）：2分</w:t>
            </w:r>
          </w:p>
          <w:p>
            <w:pPr>
              <w:adjustRightInd w:val="0"/>
              <w:snapToGrid w:val="0"/>
              <w:jc w:val="left"/>
              <w:rPr>
                <w:rFonts w:ascii="宋体" w:hAnsi="宋体" w:cs="宋体"/>
                <w:szCs w:val="21"/>
              </w:rPr>
            </w:pPr>
            <w:r>
              <w:rPr>
                <w:rFonts w:hint="eastAsia" w:ascii="宋体" w:hAnsi="宋体" w:cs="宋体"/>
                <w:szCs w:val="21"/>
              </w:rPr>
              <w:t>不提供以往同类配送服务合同复印件及配送承诺书的不得分。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履约评价</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 xml:space="preserve">（一）评审标准： </w:t>
            </w:r>
          </w:p>
          <w:p>
            <w:pPr>
              <w:adjustRightInd w:val="0"/>
              <w:snapToGrid w:val="0"/>
              <w:jc w:val="left"/>
              <w:rPr>
                <w:rFonts w:ascii="宋体" w:hAnsi="宋体" w:cs="宋体"/>
                <w:szCs w:val="21"/>
              </w:rPr>
            </w:pPr>
            <w:r>
              <w:rPr>
                <w:rFonts w:hint="eastAsia" w:ascii="宋体" w:hAnsi="宋体" w:cs="宋体"/>
                <w:szCs w:val="21"/>
              </w:rPr>
              <w:t xml:space="preserve">提供2020年1月1日至本项目投标截止之日由服务单位出具的经考核评价为优或其他最高级别评价的证明，每提供一份证明得1分，最高得4分。同一单位出具多份评价证明的不可重复得分。 </w:t>
            </w:r>
          </w:p>
          <w:p>
            <w:pPr>
              <w:adjustRightInd w:val="0"/>
              <w:snapToGrid w:val="0"/>
              <w:jc w:val="left"/>
              <w:rPr>
                <w:rFonts w:ascii="宋体" w:hAnsi="宋体" w:cs="宋体"/>
                <w:szCs w:val="21"/>
              </w:rPr>
            </w:pPr>
            <w:r>
              <w:rPr>
                <w:rFonts w:hint="eastAsia" w:ascii="宋体" w:hAnsi="宋体" w:cs="宋体"/>
                <w:szCs w:val="21"/>
              </w:rPr>
              <w:t xml:space="preserve">（二）证明文件： </w:t>
            </w:r>
          </w:p>
          <w:p>
            <w:pPr>
              <w:pStyle w:val="6"/>
              <w:rPr>
                <w:rFonts w:ascii="宋体" w:hAnsi="宋体" w:eastAsia="宋体" w:cs="宋体"/>
                <w:szCs w:val="21"/>
              </w:rPr>
            </w:pPr>
            <w:r>
              <w:rPr>
                <w:rFonts w:hint="eastAsia" w:ascii="宋体" w:hAnsi="宋体" w:eastAsia="宋体" w:cs="宋体"/>
                <w:szCs w:val="21"/>
              </w:rPr>
              <w:t>提供服务单位评价证明文件（加盖服务单位公章或业务章）</w:t>
            </w:r>
            <w:r>
              <w:rPr>
                <w:rFonts w:hint="eastAsia" w:ascii="宋体" w:hAnsi="宋体" w:cs="宋体"/>
                <w:szCs w:val="21"/>
              </w:rPr>
              <w:t>复印件</w:t>
            </w:r>
            <w:r>
              <w:rPr>
                <w:rFonts w:hint="eastAsia" w:ascii="宋体" w:hAnsi="宋体" w:eastAsia="宋体" w:cs="宋体"/>
                <w:szCs w:val="21"/>
              </w:rPr>
              <w:t>。未按要求提供有效证明材料或提供不清晰导致评委无法识别的不计得分。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1173" w:type="dxa"/>
            <w:vAlign w:val="center"/>
          </w:tcPr>
          <w:p>
            <w:pPr>
              <w:ind w:left="-63" w:leftChars="-30" w:right="-88" w:rightChars="-42"/>
              <w:jc w:val="center"/>
              <w:rPr>
                <w:rFonts w:ascii="宋体" w:hAnsi="宋体" w:cs="宋体"/>
                <w:szCs w:val="21"/>
              </w:rPr>
            </w:pPr>
            <w:r>
              <w:rPr>
                <w:rFonts w:hint="eastAsia" w:ascii="宋体" w:hAnsi="宋体" w:cs="宋体"/>
                <w:color w:val="000000"/>
                <w:kern w:val="0"/>
                <w:szCs w:val="21"/>
              </w:rPr>
              <w:t>投标人体系认证情况</w:t>
            </w:r>
          </w:p>
        </w:tc>
        <w:tc>
          <w:tcPr>
            <w:tcW w:w="6033" w:type="dxa"/>
            <w:vAlign w:val="center"/>
          </w:tcPr>
          <w:p>
            <w:pPr>
              <w:pStyle w:val="12"/>
              <w:adjustRightInd w:val="0"/>
              <w:snapToGrid w:val="0"/>
              <w:ind w:firstLine="0" w:firstLineChars="0"/>
              <w:rPr>
                <w:rFonts w:ascii="宋体" w:hAnsi="宋体" w:cs="宋体"/>
                <w:szCs w:val="21"/>
              </w:rPr>
            </w:pPr>
            <w:r>
              <w:rPr>
                <w:rFonts w:hint="eastAsia" w:ascii="宋体" w:hAnsi="宋体" w:cs="宋体"/>
                <w:szCs w:val="21"/>
              </w:rPr>
              <w:t>（一）评审标准：</w:t>
            </w:r>
          </w:p>
          <w:p>
            <w:pPr>
              <w:pStyle w:val="12"/>
              <w:adjustRightInd w:val="0"/>
              <w:snapToGrid w:val="0"/>
              <w:ind w:firstLine="0" w:firstLineChars="0"/>
              <w:rPr>
                <w:rFonts w:ascii="宋体" w:hAnsi="宋体" w:cs="宋体"/>
                <w:szCs w:val="21"/>
              </w:rPr>
            </w:pPr>
            <w:r>
              <w:rPr>
                <w:rFonts w:hint="eastAsia" w:ascii="宋体" w:hAnsi="宋体" w:cs="宋体"/>
                <w:szCs w:val="21"/>
              </w:rPr>
              <w:t>1.有食品安全管理体系认证证书，得2.5分；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2.有质量管理体系认证证书，得2.5分；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3.有环境管理体系认证证书，得2.5分；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4.有职业健康与安全管理体系认证证书，得2.5分；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（二）证明文件：</w:t>
            </w:r>
          </w:p>
          <w:p>
            <w:pPr>
              <w:pStyle w:val="12"/>
              <w:adjustRightInd w:val="0"/>
              <w:snapToGrid w:val="0"/>
              <w:ind w:firstLine="0" w:firstLineChars="0"/>
              <w:rPr>
                <w:rFonts w:ascii="宋体" w:hAnsi="宋体" w:cs="宋体"/>
                <w:szCs w:val="21"/>
              </w:rPr>
            </w:pPr>
            <w:r>
              <w:rPr>
                <w:rFonts w:hint="eastAsia" w:ascii="宋体" w:hAnsi="宋体" w:cs="宋体"/>
                <w:szCs w:val="21"/>
              </w:rPr>
              <w:t>同时提供以下材料，否则不得分：①国家认可的认证机构颁发的有效期内的认证证书复印件加盖投标人公章；②认证证书信息须可在国家认证认可监督管理委员会官方网站http://cx.cnca.cn/查询。打印认证证书网站公布的链接信息资料截图（网址以http://cx.cnca.cn/CertECloud/index/index/page网站公布为准），资料证书状态须显示“有效”。</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bCs/>
                <w:szCs w:val="21"/>
                <w:highlight w:val="green"/>
              </w:rPr>
            </w:pPr>
            <w:r>
              <w:rPr>
                <w:rFonts w:hint="eastAsia" w:ascii="宋体" w:hAnsi="宋体" w:cs="宋体"/>
                <w:szCs w:val="21"/>
              </w:rPr>
              <w:t>诚信</w:t>
            </w:r>
          </w:p>
        </w:tc>
        <w:tc>
          <w:tcPr>
            <w:tcW w:w="3172" w:type="pct"/>
            <w:vAlign w:val="center"/>
          </w:tcPr>
          <w:p>
            <w:pPr>
              <w:adjustRightInd w:val="0"/>
              <w:snapToGrid w:val="0"/>
              <w:jc w:val="left"/>
              <w:rPr>
                <w:rFonts w:ascii="宋体" w:hAnsi="宋体" w:cs="宋体"/>
                <w:szCs w:val="21"/>
                <w:highlight w:val="yellow"/>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349"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三</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349" w:type="pct"/>
            <w:vAlign w:val="center"/>
          </w:tcPr>
          <w:p>
            <w:pPr>
              <w:adjustRightInd w:val="0"/>
              <w:snapToGrid w:val="0"/>
              <w:jc w:val="center"/>
              <w:rPr>
                <w:rFonts w:ascii="宋体" w:hAnsi="宋体" w:cs="宋体"/>
                <w:szCs w:val="21"/>
              </w:rPr>
            </w:pPr>
            <w:r>
              <w:rPr>
                <w:rFonts w:hint="eastAsia" w:ascii="宋体" w:hAnsi="宋体" w:cs="宋体"/>
                <w:szCs w:val="21"/>
              </w:rPr>
              <w:t>1</w:t>
            </w: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投标报价</w:t>
            </w:r>
          </w:p>
        </w:tc>
        <w:tc>
          <w:tcPr>
            <w:tcW w:w="3172" w:type="pct"/>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adjustRightInd w:val="0"/>
              <w:snapToGrid w:val="0"/>
              <w:jc w:val="left"/>
              <w:rPr>
                <w:rFonts w:ascii="宋体" w:hAnsi="宋体" w:cs="宋体"/>
                <w:bCs/>
                <w:szCs w:val="21"/>
              </w:rPr>
            </w:pPr>
            <w:r>
              <w:rPr>
                <w:rFonts w:hint="eastAsia" w:ascii="宋体" w:hAnsi="宋体" w:cs="宋体"/>
                <w:bCs/>
                <w:szCs w:val="21"/>
              </w:rPr>
              <w:t>备注：</w:t>
            </w:r>
          </w:p>
          <w:p>
            <w:pPr>
              <w:widowControl/>
              <w:adjustRightInd w:val="0"/>
              <w:snapToGrid w:val="0"/>
              <w:jc w:val="left"/>
              <w:rPr>
                <w:rFonts w:ascii="宋体" w:hAnsi="宋体" w:cs="宋体"/>
                <w:bCs/>
                <w:szCs w:val="21"/>
              </w:rPr>
            </w:pPr>
            <w:r>
              <w:rPr>
                <w:rFonts w:hint="eastAsia" w:ascii="宋体" w:hAnsi="宋体" w:cs="宋体"/>
                <w:bCs/>
                <w:szCs w:val="21"/>
              </w:rPr>
              <w:t>1、投标报价得分四舍五入后，</w:t>
            </w:r>
            <w:r>
              <w:rPr>
                <w:rFonts w:hint="eastAsia" w:ascii="宋体" w:hAnsi="宋体" w:cs="宋体"/>
                <w:szCs w:val="21"/>
              </w:rPr>
              <w:t>小数点后保留两位有效数</w:t>
            </w:r>
            <w:r>
              <w:rPr>
                <w:rFonts w:hint="eastAsia" w:ascii="宋体" w:hAnsi="宋体" w:cs="宋体"/>
                <w:bCs/>
                <w:szCs w:val="21"/>
              </w:rPr>
              <w:t>。</w:t>
            </w:r>
          </w:p>
          <w:p>
            <w:pPr>
              <w:adjustRightInd w:val="0"/>
              <w:snapToGrid w:val="0"/>
              <w:rPr>
                <w:rStyle w:val="10"/>
                <w:rFonts w:ascii="宋体" w:hAnsi="宋体" w:cs="宋体"/>
              </w:rPr>
            </w:pPr>
            <w:r>
              <w:rPr>
                <w:rStyle w:val="10"/>
                <w:rFonts w:hint="eastAsia" w:ascii="宋体" w:hAnsi="宋体" w:cs="宋体"/>
              </w:rPr>
              <w:t>2、因落实政府采购政策进行价格调整的，以调整后的价格计算评标基准价和投标报价,详见《价格扣除》。</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4139" w:type="pct"/>
            <w:gridSpan w:val="3"/>
            <w:vAlign w:val="center"/>
          </w:tcPr>
          <w:p>
            <w:pPr>
              <w:adjustRightInd w:val="0"/>
              <w:snapToGrid w:val="0"/>
              <w:jc w:val="center"/>
              <w:rPr>
                <w:rFonts w:ascii="宋体" w:hAnsi="宋体" w:cs="宋体"/>
                <w:szCs w:val="21"/>
              </w:rPr>
            </w:pPr>
            <w:r>
              <w:rPr>
                <w:rFonts w:hint="eastAsia" w:ascii="宋体" w:hAnsi="宋体" w:cs="宋体"/>
                <w:szCs w:val="21"/>
              </w:rPr>
              <w:t>合计</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rPr>
          <w:rFonts w:ascii="宋体" w:hAnsi="宋体"/>
          <w:b/>
          <w:bCs/>
          <w:sz w:val="28"/>
        </w:rPr>
      </w:pPr>
      <w:r>
        <w:rPr>
          <w:rFonts w:hint="eastAsia" w:ascii="宋体" w:hAnsi="宋体"/>
          <w:b/>
          <w:bCs/>
          <w:sz w:val="28"/>
        </w:rPr>
        <w:br w:type="page"/>
      </w: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63"/>
        <w:gridCol w:w="2212"/>
        <w:gridCol w:w="197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33"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566"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30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15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64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33" w:type="pct"/>
            <w:vAlign w:val="center"/>
          </w:tcPr>
          <w:p>
            <w:pPr>
              <w:widowControl/>
              <w:adjustRightInd w:val="0"/>
              <w:snapToGrid w:val="0"/>
              <w:spacing w:before="100" w:beforeAutospacing="1" w:after="100" w:afterAutospacing="1"/>
              <w:jc w:val="left"/>
              <w:rPr>
                <w:rFonts w:ascii="宋体" w:hAnsi="宋体" w:cs="宋体"/>
                <w:kern w:val="0"/>
                <w:szCs w:val="21"/>
              </w:rPr>
            </w:pPr>
            <w:r>
              <w:rPr>
                <w:rFonts w:hint="eastAsia" w:ascii="宋体" w:hAnsi="宋体" w:cs="宋体"/>
                <w:kern w:val="0"/>
                <w:szCs w:val="21"/>
              </w:rPr>
              <w:t>1</w:t>
            </w:r>
          </w:p>
        </w:tc>
        <w:tc>
          <w:tcPr>
            <w:tcW w:w="566" w:type="pct"/>
            <w:vMerge w:val="restart"/>
            <w:vAlign w:val="center"/>
          </w:tcPr>
          <w:p>
            <w:pPr>
              <w:keepNext w:val="0"/>
              <w:keepLines w:val="0"/>
              <w:widowControl/>
              <w:suppressLineNumbers w:val="0"/>
              <w:jc w:val="center"/>
              <w:textAlignment w:val="bottom"/>
              <w:rPr>
                <w:rFonts w:hint="eastAsia" w:ascii="宋体" w:hAnsi="宋体" w:cs="宋体"/>
                <w:kern w:val="0"/>
                <w:szCs w:val="21"/>
                <w:lang w:val="en-US" w:eastAsia="zh-CN"/>
              </w:rPr>
            </w:pPr>
            <w:r>
              <w:rPr>
                <w:rStyle w:val="13"/>
                <w:lang w:val="en-US" w:eastAsia="zh-CN" w:bidi="ar"/>
              </w:rPr>
              <w:t>药物条形码</w:t>
            </w:r>
          </w:p>
        </w:tc>
        <w:tc>
          <w:tcPr>
            <w:tcW w:w="1300" w:type="pct"/>
            <w:vAlign w:val="center"/>
          </w:tcPr>
          <w:p>
            <w:pPr>
              <w:keepNext w:val="0"/>
              <w:keepLines w:val="0"/>
              <w:widowControl/>
              <w:suppressLineNumbers w:val="0"/>
              <w:jc w:val="center"/>
              <w:textAlignment w:val="bottom"/>
              <w:rPr>
                <w:rFonts w:hint="default" w:ascii="宋体" w:hAnsi="宋体" w:cs="宋体"/>
                <w:kern w:val="0"/>
                <w:szCs w:val="21"/>
                <w:lang w:val="en-US" w:eastAsia="zh-CN"/>
              </w:rPr>
            </w:pPr>
            <w:r>
              <w:rPr>
                <w:rStyle w:val="13"/>
                <w:lang w:val="en-US" w:eastAsia="zh-CN" w:bidi="ar"/>
              </w:rPr>
              <w:t>P40mm*W60mm*1000Pcs</w:t>
            </w:r>
          </w:p>
        </w:tc>
        <w:tc>
          <w:tcPr>
            <w:tcW w:w="1158" w:type="pct"/>
            <w:vMerge w:val="restart"/>
            <w:vAlign w:val="center"/>
          </w:tcPr>
          <w:p>
            <w:pPr>
              <w:keepNext w:val="0"/>
              <w:keepLines w:val="0"/>
              <w:widowControl/>
              <w:suppressLineNumbers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表面材料：</w:t>
            </w:r>
          </w:p>
          <w:p>
            <w:pPr>
              <w:keepNext w:val="0"/>
              <w:keepLines w:val="0"/>
              <w:widowControl/>
              <w:suppressLineNumbers w:val="0"/>
              <w:jc w:val="left"/>
              <w:rPr>
                <w:rFonts w:hint="eastAsia" w:ascii="宋体" w:hAnsi="宋体" w:cs="宋体"/>
                <w:kern w:val="0"/>
                <w:szCs w:val="21"/>
                <w:lang w:val="en-US" w:eastAsia="zh-CN"/>
              </w:rPr>
            </w:pPr>
            <w:r>
              <w:rPr>
                <w:rFonts w:hint="eastAsia" w:ascii="宋体" w:hAnsi="宋体" w:cs="宋体"/>
                <w:kern w:val="0"/>
                <w:szCs w:val="21"/>
                <w:lang w:val="en-US" w:eastAsia="zh-CN"/>
              </w:rPr>
              <w:t>有热敏涂层的平滑亮白纸 ；</w:t>
            </w:r>
          </w:p>
          <w:p>
            <w:pPr>
              <w:keepNext w:val="0"/>
              <w:keepLines w:val="0"/>
              <w:widowControl/>
              <w:suppressLineNumbers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粘胶剂 ：</w:t>
            </w:r>
          </w:p>
          <w:p>
            <w:pPr>
              <w:keepNext w:val="0"/>
              <w:keepLines w:val="0"/>
              <w:widowControl/>
              <w:suppressLineNumbers w:val="0"/>
              <w:jc w:val="left"/>
              <w:rPr>
                <w:rFonts w:hint="eastAsia" w:ascii="宋体" w:hAnsi="宋体" w:cs="宋体"/>
                <w:kern w:val="0"/>
                <w:szCs w:val="21"/>
                <w:lang w:val="en-US" w:eastAsia="zh-CN"/>
              </w:rPr>
            </w:pPr>
            <w:r>
              <w:rPr>
                <w:rFonts w:hint="eastAsia" w:ascii="宋体" w:hAnsi="宋体" w:cs="宋体"/>
                <w:kern w:val="0"/>
                <w:szCs w:val="21"/>
                <w:lang w:val="en-US" w:eastAsia="zh-CN"/>
              </w:rPr>
              <w:t>通用型永久性丙烯酸乳胶， 强粘；</w:t>
            </w:r>
          </w:p>
          <w:p>
            <w:pPr>
              <w:keepNext w:val="0"/>
              <w:keepLines w:val="0"/>
              <w:widowControl/>
              <w:suppressLineNumbers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底纸：</w:t>
            </w:r>
          </w:p>
          <w:p>
            <w:pPr>
              <w:keepNext w:val="0"/>
              <w:keepLines w:val="0"/>
              <w:widowControl/>
              <w:suppressLineNumbers w:val="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 xml:space="preserve">经超级砑光处理的白色格拉辛底纸。 </w:t>
            </w:r>
          </w:p>
        </w:tc>
        <w:tc>
          <w:tcPr>
            <w:tcW w:w="1640" w:type="pct"/>
            <w:vMerge w:val="restart"/>
            <w:vAlign w:val="center"/>
          </w:tcPr>
          <w:p>
            <w:pPr>
              <w:keepNext w:val="0"/>
              <w:keepLines w:val="0"/>
              <w:widowControl/>
              <w:suppressLineNumbers w:val="0"/>
              <w:jc w:val="left"/>
              <w:rPr>
                <w:rFonts w:hint="eastAsia" w:ascii="宋体" w:hAnsi="宋体" w:cs="宋体"/>
                <w:kern w:val="0"/>
                <w:szCs w:val="21"/>
                <w:lang w:val="en-US" w:eastAsia="zh-CN"/>
              </w:rPr>
            </w:pPr>
            <w:r>
              <w:rPr>
                <w:rFonts w:hint="eastAsia" w:ascii="宋体" w:hAnsi="宋体" w:cs="宋体"/>
                <w:b/>
                <w:bCs/>
                <w:kern w:val="0"/>
                <w:szCs w:val="21"/>
                <w:lang w:val="en-US" w:eastAsia="zh-CN"/>
              </w:rPr>
              <w:t>表面基材 ：</w:t>
            </w:r>
            <w:r>
              <w:rPr>
                <w:rFonts w:hint="eastAsia" w:ascii="宋体" w:hAnsi="宋体" w:cs="宋体"/>
                <w:kern w:val="0"/>
                <w:szCs w:val="21"/>
                <w:lang w:val="en-US" w:eastAsia="zh-CN"/>
              </w:rPr>
              <w:t xml:space="preserve"> </w:t>
            </w:r>
          </w:p>
          <w:p>
            <w:pPr>
              <w:keepNext w:val="0"/>
              <w:keepLines w:val="0"/>
              <w:widowControl/>
              <w:suppressLineNumbers w:val="0"/>
              <w:jc w:val="left"/>
              <w:rPr>
                <w:rFonts w:hint="eastAsia" w:ascii="宋体" w:hAnsi="宋体" w:cs="宋体"/>
                <w:kern w:val="0"/>
                <w:szCs w:val="21"/>
                <w:lang w:val="en-US" w:eastAsia="zh-CN"/>
              </w:rPr>
            </w:pPr>
            <w:r>
              <w:rPr>
                <w:rFonts w:hint="eastAsia" w:ascii="宋体" w:hAnsi="宋体" w:cs="宋体"/>
                <w:kern w:val="0"/>
                <w:szCs w:val="21"/>
                <w:lang w:val="en-US" w:eastAsia="zh-CN"/>
              </w:rPr>
              <w:t xml:space="preserve">基本克重： 75 g/m2 ± 10% ISO536 </w:t>
            </w:r>
          </w:p>
          <w:p>
            <w:pPr>
              <w:keepNext w:val="0"/>
              <w:keepLines w:val="0"/>
              <w:widowControl/>
              <w:suppressLineNumbers w:val="0"/>
              <w:jc w:val="left"/>
              <w:rPr>
                <w:rFonts w:hint="default" w:ascii="宋体" w:hAnsi="宋体" w:cs="宋体"/>
                <w:kern w:val="0"/>
                <w:szCs w:val="21"/>
                <w:lang w:val="en-US" w:eastAsia="zh-CN"/>
              </w:rPr>
            </w:pPr>
            <w:r>
              <w:rPr>
                <w:rFonts w:hint="eastAsia" w:ascii="宋体" w:hAnsi="宋体" w:cs="宋体"/>
                <w:kern w:val="0"/>
                <w:szCs w:val="21"/>
                <w:lang w:val="en-US" w:eastAsia="zh-CN"/>
              </w:rPr>
              <w:t xml:space="preserve">厚度：0.081 mm± 10% ISO534 在 110°C 下打印密度为 30ODU。能经受 24 小时水浸泡。抗血液、油脂和醋酸性能优异。 </w:t>
            </w:r>
          </w:p>
          <w:p>
            <w:pPr>
              <w:keepNext w:val="0"/>
              <w:keepLines w:val="0"/>
              <w:widowControl/>
              <w:suppressLineNumbers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底纸：</w:t>
            </w:r>
          </w:p>
          <w:p>
            <w:pPr>
              <w:keepNext w:val="0"/>
              <w:keepLines w:val="0"/>
              <w:widowControl/>
              <w:suppressLineNumbers w:val="0"/>
              <w:jc w:val="left"/>
              <w:rPr>
                <w:rFonts w:hint="eastAsia" w:ascii="宋体" w:hAnsi="宋体" w:cs="宋体"/>
                <w:kern w:val="0"/>
                <w:szCs w:val="21"/>
                <w:lang w:val="en-US" w:eastAsia="zh-CN"/>
              </w:rPr>
            </w:pPr>
            <w:r>
              <w:rPr>
                <w:rFonts w:hint="eastAsia" w:ascii="宋体" w:hAnsi="宋体" w:cs="宋体"/>
                <w:kern w:val="0"/>
                <w:szCs w:val="21"/>
                <w:lang w:val="en-US" w:eastAsia="zh-CN"/>
              </w:rPr>
              <w:t xml:space="preserve">基本克重：60 g/m2 ± 10% ISO536 </w:t>
            </w:r>
          </w:p>
          <w:p>
            <w:pPr>
              <w:keepNext w:val="0"/>
              <w:keepLines w:val="0"/>
              <w:widowControl/>
              <w:suppressLineNumbers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厚度： 0.053mm ± 10% ISO534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33" w:type="pct"/>
            <w:vAlign w:val="center"/>
          </w:tcPr>
          <w:p>
            <w:pPr>
              <w:widowControl/>
              <w:adjustRightInd w:val="0"/>
              <w:snapToGrid w:val="0"/>
              <w:spacing w:before="100" w:beforeAutospacing="1" w:after="100" w:afterAutospacing="1"/>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566" w:type="pct"/>
            <w:vMerge w:val="continue"/>
            <w:vAlign w:val="center"/>
          </w:tcPr>
          <w:p>
            <w:pPr>
              <w:keepNext w:val="0"/>
              <w:keepLines w:val="0"/>
              <w:widowControl/>
              <w:suppressLineNumbers w:val="0"/>
              <w:jc w:val="center"/>
              <w:textAlignment w:val="bottom"/>
              <w:rPr>
                <w:rFonts w:hint="eastAsia" w:ascii="宋体" w:hAnsi="宋体" w:cs="宋体"/>
                <w:kern w:val="0"/>
                <w:szCs w:val="21"/>
                <w:lang w:val="en-US" w:eastAsia="zh-CN"/>
              </w:rPr>
            </w:pPr>
          </w:p>
        </w:tc>
        <w:tc>
          <w:tcPr>
            <w:tcW w:w="1300" w:type="pct"/>
            <w:vAlign w:val="center"/>
          </w:tcPr>
          <w:p>
            <w:pPr>
              <w:keepNext w:val="0"/>
              <w:keepLines w:val="0"/>
              <w:widowControl/>
              <w:suppressLineNumbers w:val="0"/>
              <w:jc w:val="center"/>
              <w:textAlignment w:val="bottom"/>
              <w:rPr>
                <w:rFonts w:hint="eastAsia" w:ascii="宋体" w:hAnsi="宋体" w:cs="宋体"/>
                <w:kern w:val="0"/>
                <w:szCs w:val="21"/>
                <w:lang w:val="en-US" w:eastAsia="zh-CN"/>
              </w:rPr>
            </w:pPr>
            <w:r>
              <w:rPr>
                <w:rStyle w:val="13"/>
                <w:lang w:val="en-US" w:eastAsia="zh-CN" w:bidi="ar"/>
              </w:rPr>
              <w:t>P50mm*W80mm*1000Pcs</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33" w:type="pct"/>
            <w:vAlign w:val="center"/>
          </w:tcPr>
          <w:p>
            <w:pPr>
              <w:widowControl/>
              <w:adjustRightInd w:val="0"/>
              <w:snapToGrid w:val="0"/>
              <w:spacing w:before="100" w:beforeAutospacing="1" w:after="100" w:afterAutospacing="1"/>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566" w:type="pct"/>
            <w:vMerge w:val="continue"/>
            <w:vAlign w:val="center"/>
          </w:tcPr>
          <w:p>
            <w:pPr>
              <w:keepNext w:val="0"/>
              <w:keepLines w:val="0"/>
              <w:widowControl/>
              <w:suppressLineNumbers w:val="0"/>
              <w:jc w:val="center"/>
              <w:textAlignment w:val="bottom"/>
              <w:rPr>
                <w:rFonts w:hint="eastAsia" w:ascii="宋体" w:hAnsi="宋体" w:cs="宋体"/>
                <w:kern w:val="0"/>
                <w:szCs w:val="21"/>
                <w:lang w:val="en-US" w:eastAsia="zh-CN"/>
              </w:rPr>
            </w:pPr>
          </w:p>
        </w:tc>
        <w:tc>
          <w:tcPr>
            <w:tcW w:w="1300" w:type="pct"/>
            <w:vAlign w:val="center"/>
          </w:tcPr>
          <w:p>
            <w:pPr>
              <w:keepNext w:val="0"/>
              <w:keepLines w:val="0"/>
              <w:widowControl/>
              <w:suppressLineNumbers w:val="0"/>
              <w:jc w:val="center"/>
              <w:textAlignment w:val="bottom"/>
              <w:rPr>
                <w:rFonts w:hint="eastAsia" w:ascii="宋体" w:hAnsi="宋体" w:cs="宋体"/>
                <w:kern w:val="0"/>
                <w:szCs w:val="21"/>
                <w:lang w:val="en-US" w:eastAsia="zh-CN"/>
              </w:rPr>
            </w:pPr>
            <w:r>
              <w:rPr>
                <w:rStyle w:val="13"/>
                <w:lang w:val="en-US" w:eastAsia="zh-CN" w:bidi="ar"/>
              </w:rPr>
              <w:t>P120mm*W95mm*400Pcs</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333" w:type="pct"/>
            <w:vAlign w:val="center"/>
          </w:tcPr>
          <w:p>
            <w:pPr>
              <w:widowControl/>
              <w:adjustRightInd w:val="0"/>
              <w:snapToGrid w:val="0"/>
              <w:spacing w:before="100" w:beforeAutospacing="1" w:after="100" w:afterAutospacing="1"/>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566" w:type="pct"/>
            <w:vMerge w:val="restart"/>
            <w:vAlign w:val="center"/>
          </w:tcPr>
          <w:p>
            <w:pPr>
              <w:keepNext w:val="0"/>
              <w:keepLines w:val="0"/>
              <w:widowControl/>
              <w:suppressLineNumbers w:val="0"/>
              <w:jc w:val="center"/>
              <w:textAlignment w:val="bottom"/>
              <w:rPr>
                <w:rFonts w:hint="eastAsia" w:ascii="宋体" w:hAnsi="宋体" w:cs="宋体"/>
                <w:kern w:val="0"/>
                <w:szCs w:val="21"/>
                <w:lang w:val="en-US" w:eastAsia="zh-CN"/>
              </w:rPr>
            </w:pPr>
            <w:bookmarkStart w:id="0" w:name="_GoBack"/>
            <w:r>
              <w:rPr>
                <w:rFonts w:hint="eastAsia" w:ascii="宋体" w:hAnsi="宋体" w:eastAsia="宋体" w:cs="宋体"/>
                <w:i w:val="0"/>
                <w:iCs w:val="0"/>
                <w:color w:val="000000"/>
                <w:kern w:val="0"/>
                <w:sz w:val="21"/>
                <w:szCs w:val="21"/>
                <w:u w:val="none"/>
                <w:lang w:val="en-US" w:eastAsia="zh-CN" w:bidi="ar"/>
              </w:rPr>
              <w:t>条形码</w:t>
            </w:r>
            <w:bookmarkEnd w:id="0"/>
          </w:p>
        </w:tc>
        <w:tc>
          <w:tcPr>
            <w:tcW w:w="1300" w:type="pct"/>
            <w:vAlign w:val="center"/>
          </w:tcPr>
          <w:p>
            <w:pPr>
              <w:keepNext w:val="0"/>
              <w:keepLines w:val="0"/>
              <w:widowControl/>
              <w:suppressLineNumbers w:val="0"/>
              <w:jc w:val="center"/>
              <w:textAlignment w:val="bottom"/>
              <w:rPr>
                <w:rFonts w:hint="eastAsia" w:ascii="宋体" w:hAnsi="宋体" w:cs="宋体"/>
                <w:kern w:val="0"/>
                <w:szCs w:val="21"/>
                <w:lang w:val="en-US" w:eastAsia="zh-CN"/>
              </w:rPr>
            </w:pPr>
            <w:r>
              <w:rPr>
                <w:rStyle w:val="13"/>
                <w:lang w:val="en-US" w:eastAsia="zh-CN" w:bidi="ar"/>
              </w:rPr>
              <w:t>P32mm*W57mm*750Pcs</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3" w:type="pct"/>
            <w:vAlign w:val="center"/>
          </w:tcPr>
          <w:p>
            <w:pPr>
              <w:widowControl/>
              <w:adjustRightInd w:val="0"/>
              <w:snapToGrid w:val="0"/>
              <w:spacing w:before="100" w:beforeAutospacing="1" w:after="100" w:afterAutospacing="1"/>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566" w:type="pct"/>
            <w:vMerge w:val="continue"/>
            <w:vAlign w:val="bottom"/>
          </w:tcPr>
          <w:p>
            <w:pPr>
              <w:keepNext w:val="0"/>
              <w:keepLines w:val="0"/>
              <w:widowControl/>
              <w:suppressLineNumbers w:val="0"/>
              <w:jc w:val="left"/>
              <w:textAlignment w:val="bottom"/>
              <w:rPr>
                <w:rFonts w:hint="eastAsia" w:ascii="宋体" w:hAnsi="宋体" w:cs="宋体"/>
                <w:kern w:val="0"/>
                <w:szCs w:val="21"/>
                <w:lang w:val="en-US" w:eastAsia="zh-CN"/>
              </w:rPr>
            </w:pPr>
          </w:p>
        </w:tc>
        <w:tc>
          <w:tcPr>
            <w:tcW w:w="1300" w:type="pct"/>
            <w:vAlign w:val="center"/>
          </w:tcPr>
          <w:p>
            <w:pPr>
              <w:keepNext w:val="0"/>
              <w:keepLines w:val="0"/>
              <w:widowControl/>
              <w:suppressLineNumbers w:val="0"/>
              <w:jc w:val="center"/>
              <w:textAlignment w:val="bottom"/>
              <w:rPr>
                <w:rFonts w:hint="eastAsia" w:ascii="宋体" w:hAnsi="宋体" w:cs="宋体"/>
                <w:kern w:val="0"/>
                <w:szCs w:val="21"/>
                <w:lang w:val="en-US" w:eastAsia="zh-CN"/>
              </w:rPr>
            </w:pPr>
            <w:r>
              <w:rPr>
                <w:rStyle w:val="13"/>
                <w:lang w:val="en-US" w:eastAsia="zh-CN" w:bidi="ar"/>
              </w:rPr>
              <w:t>P80mm*W52mm*100Pcs</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3" w:type="pct"/>
            <w:vAlign w:val="center"/>
          </w:tcPr>
          <w:p>
            <w:pPr>
              <w:widowControl/>
              <w:adjustRightInd w:val="0"/>
              <w:snapToGrid w:val="0"/>
              <w:spacing w:before="100" w:beforeAutospacing="1" w:after="100" w:afterAutospacing="1"/>
              <w:jc w:val="left"/>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566" w:type="pct"/>
            <w:vMerge w:val="continue"/>
            <w:vAlign w:val="bottom"/>
          </w:tcPr>
          <w:p>
            <w:pPr>
              <w:keepNext w:val="0"/>
              <w:keepLines w:val="0"/>
              <w:widowControl/>
              <w:suppressLineNumbers w:val="0"/>
              <w:jc w:val="left"/>
              <w:textAlignment w:val="bottom"/>
              <w:rPr>
                <w:rFonts w:hint="eastAsia" w:ascii="宋体" w:hAnsi="宋体" w:cs="宋体"/>
                <w:kern w:val="0"/>
                <w:szCs w:val="21"/>
                <w:lang w:val="en-US" w:eastAsia="zh-CN"/>
              </w:rPr>
            </w:pPr>
          </w:p>
        </w:tc>
        <w:tc>
          <w:tcPr>
            <w:tcW w:w="1300" w:type="pct"/>
            <w:vAlign w:val="center"/>
          </w:tcPr>
          <w:p>
            <w:pPr>
              <w:keepNext w:val="0"/>
              <w:keepLines w:val="0"/>
              <w:widowControl/>
              <w:suppressLineNumbers w:val="0"/>
              <w:jc w:val="center"/>
              <w:textAlignment w:val="bottom"/>
              <w:rPr>
                <w:rFonts w:hint="default" w:ascii="宋体" w:hAnsi="宋体" w:cs="宋体"/>
                <w:kern w:val="0"/>
                <w:szCs w:val="21"/>
                <w:lang w:val="en-US" w:eastAsia="zh-CN"/>
              </w:rPr>
            </w:pPr>
            <w:r>
              <w:rPr>
                <w:rStyle w:val="13"/>
                <w:lang w:val="en-US" w:eastAsia="zh-CN" w:bidi="ar"/>
              </w:rPr>
              <w:t>P32mm*W57mm*750Pcs（紫色含碳带）</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3" w:type="pct"/>
            <w:vAlign w:val="center"/>
          </w:tcPr>
          <w:p>
            <w:pPr>
              <w:widowControl/>
              <w:adjustRightInd w:val="0"/>
              <w:snapToGrid w:val="0"/>
              <w:spacing w:before="100" w:beforeAutospacing="1" w:after="100" w:afterAutospacing="1"/>
              <w:jc w:val="left"/>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566" w:type="pct"/>
            <w:vMerge w:val="continue"/>
            <w:vAlign w:val="bottom"/>
          </w:tcPr>
          <w:p>
            <w:pPr>
              <w:keepNext w:val="0"/>
              <w:keepLines w:val="0"/>
              <w:widowControl/>
              <w:suppressLineNumbers w:val="0"/>
              <w:jc w:val="left"/>
              <w:textAlignment w:val="bottom"/>
              <w:rPr>
                <w:rFonts w:hint="eastAsia" w:ascii="宋体" w:hAnsi="宋体" w:cs="宋体"/>
                <w:kern w:val="0"/>
                <w:szCs w:val="21"/>
                <w:lang w:val="en-US" w:eastAsia="zh-CN"/>
              </w:rPr>
            </w:pPr>
          </w:p>
        </w:tc>
        <w:tc>
          <w:tcPr>
            <w:tcW w:w="1300" w:type="pct"/>
            <w:vAlign w:val="center"/>
          </w:tcPr>
          <w:p>
            <w:pPr>
              <w:keepNext w:val="0"/>
              <w:keepLines w:val="0"/>
              <w:widowControl/>
              <w:suppressLineNumbers w:val="0"/>
              <w:jc w:val="center"/>
              <w:textAlignment w:val="bottom"/>
              <w:rPr>
                <w:rStyle w:val="13"/>
                <w:lang w:val="en-US" w:eastAsia="zh-CN" w:bidi="ar"/>
              </w:rPr>
            </w:pPr>
            <w:r>
              <w:rPr>
                <w:rStyle w:val="13"/>
                <w:lang w:val="en-US" w:eastAsia="zh-CN" w:bidi="ar"/>
              </w:rPr>
              <w:t>P50mm*W80mm*1000Pcs</w:t>
            </w:r>
          </w:p>
        </w:tc>
        <w:tc>
          <w:tcPr>
            <w:tcW w:w="1158" w:type="pct"/>
            <w:vMerge w:val="continue"/>
            <w:vAlign w:val="center"/>
          </w:tcPr>
          <w:p>
            <w:pPr>
              <w:widowControl/>
              <w:adjustRightInd w:val="0"/>
              <w:snapToGrid w:val="0"/>
              <w:spacing w:before="100" w:beforeAutospacing="1" w:after="100" w:afterAutospacing="1"/>
              <w:jc w:val="center"/>
              <w:rPr>
                <w:rFonts w:hint="eastAsia" w:ascii="宋体" w:hAnsi="宋体" w:cs="宋体"/>
                <w:kern w:val="0"/>
                <w:szCs w:val="21"/>
                <w:lang w:val="en-US" w:eastAsia="zh-CN"/>
              </w:rPr>
            </w:pPr>
          </w:p>
        </w:tc>
        <w:tc>
          <w:tcPr>
            <w:tcW w:w="1640" w:type="pct"/>
            <w:vMerge w:val="continue"/>
            <w:vAlign w:val="center"/>
          </w:tcPr>
          <w:p>
            <w:pPr>
              <w:widowControl/>
              <w:adjustRightInd w:val="0"/>
              <w:snapToGrid w:val="0"/>
              <w:spacing w:before="100" w:beforeAutospacing="1" w:after="100" w:afterAutospacing="1"/>
              <w:jc w:val="left"/>
              <w:rPr>
                <w:rFonts w:hint="eastAsia" w:ascii="宋体" w:hAnsi="宋体" w:cs="宋体"/>
                <w:kern w:val="0"/>
                <w:szCs w:val="21"/>
                <w:lang w:val="en-US" w:eastAsia="zh-CN"/>
              </w:rPr>
            </w:pPr>
          </w:p>
        </w:tc>
      </w:tr>
    </w:tbl>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4D6214"/>
    <w:rsid w:val="000B7563"/>
    <w:rsid w:val="004D6214"/>
    <w:rsid w:val="00527946"/>
    <w:rsid w:val="0059067E"/>
    <w:rsid w:val="0088778F"/>
    <w:rsid w:val="00E7353D"/>
    <w:rsid w:val="00EE749F"/>
    <w:rsid w:val="13620456"/>
    <w:rsid w:val="16374212"/>
    <w:rsid w:val="19DC4F05"/>
    <w:rsid w:val="20690544"/>
    <w:rsid w:val="38172D0E"/>
    <w:rsid w:val="3A224550"/>
    <w:rsid w:val="3B22776F"/>
    <w:rsid w:val="40062151"/>
    <w:rsid w:val="40706C8F"/>
    <w:rsid w:val="435E3474"/>
    <w:rsid w:val="439B0F45"/>
    <w:rsid w:val="47EA77FC"/>
    <w:rsid w:val="5746124B"/>
    <w:rsid w:val="666C7A4E"/>
    <w:rsid w:val="74720C8A"/>
    <w:rsid w:val="7B89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szCs w:val="21"/>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annotation text"/>
    <w:basedOn w:val="1"/>
    <w:qFormat/>
    <w:uiPriority w:val="99"/>
    <w:pPr>
      <w:jc w:val="left"/>
    </w:pPr>
    <w:rPr>
      <w:rFonts w:asciiTheme="minorHAnsi" w:hAnsiTheme="minorHAnsi" w:eastAsiaTheme="minorEastAsia" w:cstheme="minorBidi"/>
    </w:r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styleId="10">
    <w:name w:val="annotation reference"/>
    <w:qFormat/>
    <w:uiPriority w:val="0"/>
    <w:rPr>
      <w:sz w:val="21"/>
      <w:szCs w:val="21"/>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34"/>
    <w:pPr>
      <w:ind w:firstLine="420" w:firstLineChars="200"/>
    </w:pPr>
  </w:style>
  <w:style w:type="character" w:customStyle="1" w:styleId="13">
    <w:name w:val="font11"/>
    <w:basedOn w:val="9"/>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2051</Words>
  <Characters>2356</Characters>
  <Lines>15</Lines>
  <Paragraphs>4</Paragraphs>
  <TotalTime>17</TotalTime>
  <ScaleCrop>false</ScaleCrop>
  <LinksUpToDate>false</LinksUpToDate>
  <CharactersWithSpaces>2454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2023-06-07T08:47:00Z</dcterms:created>
  <dc:creator>b15-db</dc:creator>
  <cp:lastModifiedBy>Administrator</cp:lastModifiedBy>
  <dcterms:modified xsi:type="dcterms:W3CDTF">2023-08-18T07:23:21Z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9A84EBD998BA435099D6E92FF0082846_13</vt:lpwstr>
  </property>
</Properties>
</file>