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lang w:val="en-US" w:eastAsia="zh-CN"/>
              </w:rPr>
              <w:t>55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adjustRightInd w:val="0"/>
              <w:snapToGrid w:val="0"/>
              <w:jc w:val="center"/>
              <w:rPr>
                <w:rFonts w:ascii="宋体" w:hAnsi="宋体"/>
                <w:sz w:val="24"/>
                <w:szCs w:val="24"/>
              </w:rPr>
            </w:pPr>
            <w:r>
              <w:rPr>
                <w:rFonts w:hint="eastAsia" w:ascii="宋体" w:hAnsi="宋体" w:cs="宋体"/>
              </w:rPr>
              <w:t>《用户需求书》技术参数响应情况</w:t>
            </w:r>
          </w:p>
        </w:tc>
        <w:tc>
          <w:tcPr>
            <w:tcW w:w="699" w:type="dxa"/>
            <w:noWrap w:val="0"/>
            <w:vAlign w:val="center"/>
          </w:tcPr>
          <w:p>
            <w:pPr>
              <w:adjustRightInd w:val="0"/>
              <w:snapToGrid w:val="0"/>
              <w:jc w:val="center"/>
              <w:rPr>
                <w:rFonts w:hint="eastAsia" w:ascii="宋体" w:hAnsi="宋体" w:eastAsia="宋体"/>
                <w:sz w:val="24"/>
                <w:szCs w:val="24"/>
                <w:lang w:val="en-US" w:eastAsia="zh-CN"/>
              </w:rPr>
            </w:pPr>
            <w:r>
              <w:rPr>
                <w:rFonts w:hint="eastAsia" w:ascii="宋体" w:hAnsi="宋体" w:cs="宋体"/>
                <w:lang w:val="en-US" w:eastAsia="zh-CN"/>
              </w:rPr>
              <w:t>30分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adjustRightInd w:val="0"/>
              <w:snapToGrid w:val="0"/>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adjustRightInd w:val="0"/>
              <w:snapToGrid w:val="0"/>
              <w:jc w:val="center"/>
              <w:rPr>
                <w:rFonts w:ascii="宋体" w:hAnsi="宋体"/>
                <w:sz w:val="24"/>
                <w:szCs w:val="24"/>
              </w:rPr>
            </w:pPr>
            <w:r>
              <w:rPr>
                <w:rFonts w:hint="eastAsia"/>
              </w:rPr>
              <w:t>实施方案</w:t>
            </w:r>
          </w:p>
        </w:tc>
        <w:tc>
          <w:tcPr>
            <w:tcW w:w="699" w:type="dxa"/>
            <w:noWrap w:val="0"/>
            <w:vAlign w:val="center"/>
          </w:tcPr>
          <w:p>
            <w:pPr>
              <w:adjustRightInd w:val="0"/>
              <w:snapToGrid w:val="0"/>
              <w:jc w:val="center"/>
              <w:rPr>
                <w:rFonts w:ascii="宋体" w:hAnsi="宋体"/>
                <w:sz w:val="24"/>
                <w:szCs w:val="24"/>
              </w:rPr>
            </w:pPr>
            <w:r>
              <w:rPr>
                <w:rFonts w:hint="eastAsia" w:ascii="宋体" w:hAnsi="宋体" w:cs="宋体"/>
                <w:lang w:val="en-US" w:eastAsia="zh-CN"/>
              </w:rPr>
              <w:t>5分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adjustRightInd w:val="0"/>
              <w:snapToGrid w:val="0"/>
              <w:jc w:val="left"/>
            </w:pPr>
            <w:r>
              <w:rPr>
                <w:rFonts w:hint="eastAsia"/>
              </w:rPr>
              <w:t>按照项目实施时间要求，实施计划及人员安排合理，根据计划编制合理可行的实施方案，包括但不限于详细的人员配置、实施、进度安排等内容，并对</w:t>
            </w:r>
            <w:bookmarkStart w:id="15" w:name="_GoBack"/>
            <w:bookmarkEnd w:id="15"/>
            <w:r>
              <w:rPr>
                <w:rFonts w:hint="eastAsia"/>
              </w:rPr>
              <w:t>不可预见因素进行预测：</w:t>
            </w:r>
          </w:p>
          <w:p>
            <w:pPr>
              <w:widowControl/>
              <w:autoSpaceDE w:val="0"/>
              <w:autoSpaceDN w:val="0"/>
              <w:adjustRightInd w:val="0"/>
              <w:snapToGrid w:val="0"/>
              <w:jc w:val="left"/>
              <w:rPr>
                <w:rFonts w:ascii="宋体" w:hAnsi="宋体"/>
                <w:kern w:val="0"/>
              </w:rPr>
            </w:pPr>
            <w:r>
              <w:rPr>
                <w:rFonts w:ascii="宋体" w:hAnsi="宋体"/>
                <w:kern w:val="0"/>
              </w:rPr>
              <w:t>1）满足项目实施时间要求、实施计划及人员安排合理、实施方案合理可行的，得</w:t>
            </w:r>
            <w:r>
              <w:rPr>
                <w:rFonts w:hint="eastAsia" w:ascii="宋体" w:hAnsi="宋体"/>
                <w:kern w:val="0"/>
              </w:rPr>
              <w:t>10</w:t>
            </w:r>
            <w:r>
              <w:rPr>
                <w:rFonts w:ascii="宋体" w:hAnsi="宋体"/>
                <w:kern w:val="0"/>
              </w:rPr>
              <w:t>分；</w:t>
            </w:r>
          </w:p>
          <w:p>
            <w:pPr>
              <w:widowControl/>
              <w:autoSpaceDE w:val="0"/>
              <w:autoSpaceDN w:val="0"/>
              <w:adjustRightInd w:val="0"/>
              <w:snapToGrid w:val="0"/>
              <w:jc w:val="left"/>
              <w:rPr>
                <w:rFonts w:ascii="宋体" w:hAnsi="宋体"/>
                <w:kern w:val="0"/>
              </w:rPr>
            </w:pPr>
            <w:r>
              <w:rPr>
                <w:rFonts w:ascii="宋体" w:hAnsi="宋体"/>
                <w:kern w:val="0"/>
              </w:rPr>
              <w:t>2）基本满足项目实施时间要求、实施计划及人员安排较合理、实施方案较合理可行的，得</w:t>
            </w:r>
            <w:r>
              <w:rPr>
                <w:rFonts w:hint="eastAsia" w:ascii="宋体" w:hAnsi="宋体"/>
                <w:kern w:val="0"/>
              </w:rPr>
              <w:t>5</w:t>
            </w:r>
            <w:r>
              <w:rPr>
                <w:rFonts w:ascii="宋体" w:hAnsi="宋体"/>
                <w:kern w:val="0"/>
              </w:rPr>
              <w:t>分；</w:t>
            </w:r>
          </w:p>
          <w:p>
            <w:pPr>
              <w:adjustRightInd w:val="0"/>
              <w:snapToGrid w:val="0"/>
              <w:jc w:val="left"/>
              <w:rPr>
                <w:rFonts w:ascii="宋体" w:hAnsi="宋体"/>
                <w:kern w:val="0"/>
              </w:rPr>
            </w:pPr>
            <w:r>
              <w:rPr>
                <w:rFonts w:ascii="宋体" w:hAnsi="宋体"/>
                <w:kern w:val="0"/>
              </w:rPr>
              <w:t>3）与要求的项目实施时间要求差距大、实施计划及人员安排不合理、实施方案差的</w:t>
            </w:r>
            <w:r>
              <w:rPr>
                <w:rFonts w:hint="eastAsia" w:ascii="宋体" w:hAnsi="宋体"/>
                <w:kern w:val="0"/>
              </w:rPr>
              <w:t>,</w:t>
            </w:r>
            <w:r>
              <w:rPr>
                <w:rFonts w:ascii="宋体" w:hAnsi="宋体"/>
                <w:kern w:val="0"/>
              </w:rPr>
              <w:t>得</w:t>
            </w:r>
            <w:r>
              <w:rPr>
                <w:rFonts w:hint="eastAsia" w:ascii="宋体" w:hAnsi="宋体"/>
                <w:kern w:val="0"/>
              </w:rPr>
              <w:t>1</w:t>
            </w:r>
            <w:r>
              <w:rPr>
                <w:rFonts w:ascii="宋体" w:hAnsi="宋体"/>
                <w:kern w:val="0"/>
              </w:rPr>
              <w:t>分。</w:t>
            </w:r>
          </w:p>
          <w:p>
            <w:pPr>
              <w:adjustRightInd w:val="0"/>
              <w:snapToGrid w:val="0"/>
              <w:jc w:val="left"/>
              <w:rPr>
                <w:rFonts w:ascii="宋体" w:hAnsi="宋体" w:cs="宋体"/>
                <w:b/>
                <w:color w:val="auto"/>
                <w:sz w:val="24"/>
                <w:szCs w:val="24"/>
              </w:rPr>
            </w:pPr>
            <w:r>
              <w:rPr>
                <w:rFonts w:hint="eastAsia" w:ascii="宋体" w:hAnsi="宋体"/>
                <w:kern w:val="0"/>
              </w:rPr>
              <w:t>4)</w:t>
            </w:r>
            <w:r>
              <w:rPr>
                <w:rFonts w:ascii="宋体" w:hAnsi="宋体"/>
                <w:kern w:val="0"/>
              </w:rPr>
              <w:t>未提供实施方案的，得</w:t>
            </w:r>
            <w:r>
              <w:rPr>
                <w:rFonts w:hint="eastAsia" w:ascii="宋体" w:hAnsi="宋体"/>
                <w:kern w:val="0"/>
              </w:rPr>
              <w:t>0</w:t>
            </w:r>
            <w:r>
              <w:rPr>
                <w:rFonts w:ascii="宋体" w:hAnsi="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noWrap w:val="0"/>
            <w:vAlign w:val="center"/>
          </w:tcPr>
          <w:p>
            <w:pPr>
              <w:jc w:val="center"/>
              <w:rPr>
                <w:rFonts w:ascii="宋体" w:hAnsi="宋体"/>
                <w:sz w:val="24"/>
                <w:szCs w:val="24"/>
              </w:rPr>
            </w:pPr>
          </w:p>
        </w:tc>
        <w:tc>
          <w:tcPr>
            <w:tcW w:w="646"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260" w:type="dxa"/>
            <w:gridSpan w:val="2"/>
            <w:noWrap w:val="0"/>
            <w:vAlign w:val="center"/>
          </w:tcPr>
          <w:p>
            <w:pPr>
              <w:adjustRightInd w:val="0"/>
              <w:snapToGrid w:val="0"/>
              <w:jc w:val="center"/>
              <w:rPr>
                <w:rFonts w:hint="eastAsia" w:ascii="宋体" w:hAnsi="宋体"/>
                <w:sz w:val="24"/>
                <w:szCs w:val="24"/>
              </w:rPr>
            </w:pPr>
            <w:r>
              <w:rPr>
                <w:rFonts w:hint="eastAsia"/>
              </w:rPr>
              <w:t>冷库设计</w:t>
            </w:r>
          </w:p>
        </w:tc>
        <w:tc>
          <w:tcPr>
            <w:tcW w:w="699" w:type="dxa"/>
            <w:noWrap w:val="0"/>
            <w:vAlign w:val="center"/>
          </w:tcPr>
          <w:p>
            <w:pPr>
              <w:adjustRightInd w:val="0"/>
              <w:snapToGrid w:val="0"/>
              <w:jc w:val="center"/>
              <w:rPr>
                <w:rFonts w:hint="eastAsia" w:ascii="宋体" w:hAnsi="宋体" w:eastAsia="宋体"/>
                <w:sz w:val="24"/>
                <w:szCs w:val="24"/>
                <w:lang w:eastAsia="zh-CN"/>
              </w:rPr>
            </w:pPr>
            <w:r>
              <w:rPr>
                <w:rFonts w:hint="eastAsia" w:ascii="宋体" w:hAnsi="宋体" w:cs="宋体"/>
              </w:rPr>
              <w:t>5</w:t>
            </w:r>
            <w:r>
              <w:rPr>
                <w:rFonts w:hint="eastAsia" w:ascii="宋体" w:hAnsi="宋体" w:cs="宋体"/>
                <w:lang w:eastAsia="zh-CN"/>
              </w:rPr>
              <w:t>分</w:t>
            </w:r>
          </w:p>
        </w:tc>
        <w:tc>
          <w:tcPr>
            <w:tcW w:w="770" w:type="dxa"/>
            <w:gridSpan w:val="2"/>
            <w:noWrap w:val="0"/>
            <w:vAlign w:val="center"/>
          </w:tcPr>
          <w:p>
            <w:pPr>
              <w:spacing w:line="240" w:lineRule="exact"/>
              <w:jc w:val="center"/>
              <w:rPr>
                <w:rFonts w:hint="eastAsia" w:ascii="宋体" w:hAnsi="宋体"/>
                <w:sz w:val="24"/>
                <w:szCs w:val="24"/>
              </w:rPr>
            </w:pPr>
          </w:p>
        </w:tc>
        <w:tc>
          <w:tcPr>
            <w:tcW w:w="5500" w:type="dxa"/>
            <w:noWrap w:val="0"/>
            <w:vAlign w:val="center"/>
          </w:tcPr>
          <w:p>
            <w:pPr>
              <w:adjustRightInd w:val="0"/>
              <w:snapToGrid w:val="0"/>
              <w:jc w:val="left"/>
            </w:pPr>
            <w:r>
              <w:rPr>
                <w:rFonts w:hint="eastAsia"/>
              </w:rPr>
              <w:t>横向比较各响应供应商提供的各安装点的房间布置图纸、注明需要改动的位置（如拆墙、拆窗、新砌墙等）、注明后补式的安装位置及开门方式 、需预留合理的工作人员通道。</w:t>
            </w:r>
          </w:p>
          <w:p>
            <w:pPr>
              <w:adjustRightInd w:val="0"/>
              <w:snapToGrid w:val="0"/>
              <w:jc w:val="left"/>
            </w:pPr>
            <w:r>
              <w:rPr>
                <w:rFonts w:hint="eastAsia"/>
              </w:rPr>
              <w:t>1、设计方案最为合理与安装现场最吻合的得 5 分；</w:t>
            </w:r>
          </w:p>
          <w:p>
            <w:pPr>
              <w:adjustRightInd w:val="0"/>
              <w:snapToGrid w:val="0"/>
              <w:jc w:val="left"/>
            </w:pPr>
            <w:r>
              <w:rPr>
                <w:rFonts w:hint="eastAsia"/>
              </w:rPr>
              <w:t>2、设计方案较为合理与安装现场较吻合的得 3分；</w:t>
            </w:r>
          </w:p>
          <w:p>
            <w:pPr>
              <w:adjustRightInd w:val="0"/>
              <w:snapToGrid w:val="0"/>
              <w:jc w:val="left"/>
              <w:rPr>
                <w:rFonts w:hint="eastAsia" w:ascii="宋体" w:hAnsi="宋体" w:cs="宋体"/>
                <w:color w:val="auto"/>
                <w:kern w:val="0"/>
                <w:sz w:val="24"/>
                <w:szCs w:val="24"/>
              </w:rPr>
            </w:pPr>
            <w:r>
              <w:rPr>
                <w:rFonts w:hint="eastAsia"/>
              </w:rPr>
              <w:t>3、设计方案不合理与安装现场不吻合的得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noWrap w:val="0"/>
            <w:vAlign w:val="center"/>
          </w:tcPr>
          <w:p>
            <w:pPr>
              <w:jc w:val="center"/>
              <w:rPr>
                <w:rFonts w:ascii="宋体" w:hAnsi="宋体"/>
                <w:sz w:val="24"/>
                <w:szCs w:val="24"/>
              </w:rPr>
            </w:pPr>
          </w:p>
        </w:tc>
        <w:tc>
          <w:tcPr>
            <w:tcW w:w="646"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260" w:type="dxa"/>
            <w:gridSpan w:val="2"/>
            <w:noWrap w:val="0"/>
            <w:vAlign w:val="center"/>
          </w:tcPr>
          <w:p>
            <w:pPr>
              <w:adjustRightInd w:val="0"/>
              <w:snapToGrid w:val="0"/>
              <w:jc w:val="center"/>
              <w:rPr>
                <w:rFonts w:hint="eastAsia" w:ascii="宋体" w:hAnsi="宋体"/>
                <w:sz w:val="24"/>
                <w:szCs w:val="24"/>
              </w:rPr>
            </w:pPr>
            <w:r>
              <w:rPr>
                <w:rFonts w:hint="eastAsia"/>
              </w:rPr>
              <w:t>应急方案</w:t>
            </w:r>
          </w:p>
        </w:tc>
        <w:tc>
          <w:tcPr>
            <w:tcW w:w="699" w:type="dxa"/>
            <w:noWrap w:val="0"/>
            <w:vAlign w:val="center"/>
          </w:tcPr>
          <w:p>
            <w:pPr>
              <w:adjustRightInd w:val="0"/>
              <w:snapToGrid w:val="0"/>
              <w:jc w:val="center"/>
              <w:rPr>
                <w:rFonts w:hint="eastAsia" w:ascii="宋体" w:hAnsi="宋体"/>
                <w:sz w:val="24"/>
                <w:szCs w:val="24"/>
              </w:rPr>
            </w:pPr>
            <w:r>
              <w:rPr>
                <w:rFonts w:hint="eastAsia" w:ascii="宋体" w:hAnsi="宋体" w:cs="宋体"/>
                <w:lang w:val="en-US" w:eastAsia="zh-CN"/>
              </w:rPr>
              <w:t>5分</w:t>
            </w:r>
          </w:p>
        </w:tc>
        <w:tc>
          <w:tcPr>
            <w:tcW w:w="770" w:type="dxa"/>
            <w:gridSpan w:val="2"/>
            <w:noWrap w:val="0"/>
            <w:vAlign w:val="center"/>
          </w:tcPr>
          <w:p>
            <w:pPr>
              <w:spacing w:line="240" w:lineRule="exact"/>
              <w:jc w:val="center"/>
              <w:rPr>
                <w:rFonts w:hint="eastAsia" w:ascii="宋体" w:hAnsi="宋体"/>
                <w:sz w:val="24"/>
                <w:szCs w:val="24"/>
              </w:rPr>
            </w:pPr>
          </w:p>
        </w:tc>
        <w:tc>
          <w:tcPr>
            <w:tcW w:w="5500" w:type="dxa"/>
            <w:noWrap w:val="0"/>
            <w:vAlign w:val="center"/>
          </w:tcPr>
          <w:p>
            <w:pPr>
              <w:adjustRightInd w:val="0"/>
              <w:snapToGrid w:val="0"/>
              <w:ind w:left="-63" w:leftChars="-30" w:right="-88" w:rightChars="-42"/>
              <w:rPr>
                <w:rFonts w:ascii="宋体" w:hAnsi="宋体" w:cs="宋体"/>
              </w:rPr>
            </w:pPr>
            <w:r>
              <w:rPr>
                <w:rFonts w:ascii="宋体" w:hAnsi="宋体" w:cs="宋体"/>
              </w:rPr>
              <w:t>1</w:t>
            </w:r>
            <w:r>
              <w:rPr>
                <w:rFonts w:hint="eastAsia" w:ascii="宋体" w:hAnsi="宋体" w:cs="宋体"/>
              </w:rPr>
              <w:t>）风险应急</w:t>
            </w:r>
            <w:r>
              <w:rPr>
                <w:rFonts w:ascii="宋体" w:hAnsi="宋体" w:cs="宋体"/>
              </w:rPr>
              <w:t>控制方案</w:t>
            </w:r>
            <w:r>
              <w:rPr>
                <w:rFonts w:hint="eastAsia" w:ascii="宋体" w:hAnsi="宋体" w:cs="宋体"/>
              </w:rPr>
              <w:t>完备，对应急资源准备、应急救援等事故有专项的科学的、完整的、高效的及可行的应急预案，得10</w:t>
            </w:r>
            <w:r>
              <w:rPr>
                <w:rFonts w:ascii="宋体" w:hAnsi="宋体" w:cs="宋体"/>
              </w:rPr>
              <w:t>分；</w:t>
            </w:r>
          </w:p>
          <w:p>
            <w:pPr>
              <w:adjustRightInd w:val="0"/>
              <w:snapToGrid w:val="0"/>
              <w:ind w:left="-63" w:leftChars="-30" w:right="-88" w:rightChars="-42"/>
              <w:rPr>
                <w:rFonts w:ascii="宋体" w:hAnsi="宋体" w:cs="宋体"/>
              </w:rPr>
            </w:pPr>
            <w:r>
              <w:rPr>
                <w:rFonts w:ascii="宋体" w:hAnsi="宋体" w:cs="宋体"/>
              </w:rPr>
              <w:t>2</w:t>
            </w:r>
            <w:r>
              <w:rPr>
                <w:rFonts w:hint="eastAsia" w:ascii="宋体" w:hAnsi="宋体" w:cs="宋体"/>
              </w:rPr>
              <w:t>）风险应急控制方案基本完整，应急预案的科学性、高效性及可行性一般，得5</w:t>
            </w:r>
            <w:r>
              <w:rPr>
                <w:rFonts w:ascii="宋体" w:hAnsi="宋体" w:cs="宋体"/>
              </w:rPr>
              <w:t>分</w:t>
            </w:r>
            <w:r>
              <w:rPr>
                <w:rFonts w:hint="eastAsia" w:ascii="宋体" w:hAnsi="宋体" w:cs="宋体"/>
              </w:rPr>
              <w:t>；</w:t>
            </w:r>
          </w:p>
          <w:p>
            <w:pPr>
              <w:adjustRightInd w:val="0"/>
              <w:snapToGrid w:val="0"/>
              <w:rPr>
                <w:rFonts w:ascii="宋体" w:hAnsi="宋体" w:cs="宋体"/>
              </w:rPr>
            </w:pPr>
            <w:r>
              <w:rPr>
                <w:rFonts w:ascii="宋体" w:hAnsi="宋体" w:cs="宋体"/>
              </w:rPr>
              <w:t>3</w:t>
            </w:r>
            <w:r>
              <w:rPr>
                <w:rFonts w:hint="eastAsia" w:ascii="宋体" w:hAnsi="宋体" w:cs="宋体"/>
              </w:rPr>
              <w:t>）</w:t>
            </w:r>
            <w:r>
              <w:rPr>
                <w:rFonts w:ascii="宋体" w:hAnsi="宋体" w:cs="宋体"/>
              </w:rPr>
              <w:t>风险</w:t>
            </w:r>
            <w:r>
              <w:rPr>
                <w:rFonts w:hint="eastAsia" w:ascii="宋体" w:hAnsi="宋体" w:cs="宋体"/>
              </w:rPr>
              <w:t>应急</w:t>
            </w:r>
            <w:r>
              <w:rPr>
                <w:rFonts w:ascii="宋体" w:hAnsi="宋体" w:cs="宋体"/>
              </w:rPr>
              <w:t>控制方案编制不完备，应急预案</w:t>
            </w:r>
            <w:r>
              <w:rPr>
                <w:rFonts w:hint="eastAsia" w:ascii="宋体" w:hAnsi="宋体" w:cs="宋体"/>
              </w:rPr>
              <w:t>欠缺</w:t>
            </w:r>
            <w:r>
              <w:rPr>
                <w:rFonts w:ascii="宋体" w:hAnsi="宋体" w:cs="宋体"/>
              </w:rPr>
              <w:t>的，得</w:t>
            </w:r>
            <w:r>
              <w:rPr>
                <w:rFonts w:hint="eastAsia" w:ascii="宋体" w:hAnsi="宋体" w:cs="宋体"/>
              </w:rPr>
              <w:t>1</w:t>
            </w:r>
            <w:r>
              <w:rPr>
                <w:rFonts w:ascii="宋体" w:hAnsi="宋体" w:cs="宋体"/>
              </w:rPr>
              <w:t>分。</w:t>
            </w:r>
          </w:p>
          <w:p>
            <w:pPr>
              <w:adjustRightInd w:val="0"/>
              <w:snapToGrid w:val="0"/>
              <w:rPr>
                <w:rFonts w:hint="eastAsia" w:ascii="宋体" w:hAnsi="宋体" w:cs="宋体"/>
                <w:color w:val="auto"/>
                <w:kern w:val="0"/>
                <w:sz w:val="24"/>
                <w:szCs w:val="24"/>
              </w:rPr>
            </w:pPr>
            <w:r>
              <w:rPr>
                <w:rFonts w:hint="eastAsia" w:ascii="宋体" w:hAnsi="宋体" w:cs="宋体"/>
              </w:rPr>
              <w:t>4）未提供应急方案的得0分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noWrap w:val="0"/>
            <w:vAlign w:val="center"/>
          </w:tcPr>
          <w:p>
            <w:pPr>
              <w:jc w:val="center"/>
              <w:rPr>
                <w:rFonts w:ascii="宋体" w:hAnsi="宋体"/>
                <w:sz w:val="24"/>
                <w:szCs w:val="24"/>
              </w:rPr>
            </w:pPr>
          </w:p>
        </w:tc>
        <w:tc>
          <w:tcPr>
            <w:tcW w:w="646"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260" w:type="dxa"/>
            <w:gridSpan w:val="2"/>
            <w:noWrap w:val="0"/>
            <w:vAlign w:val="center"/>
          </w:tcPr>
          <w:p>
            <w:pPr>
              <w:adjustRightInd w:val="0"/>
              <w:snapToGrid w:val="0"/>
              <w:jc w:val="center"/>
              <w:rPr>
                <w:rFonts w:hint="eastAsia" w:ascii="宋体" w:hAnsi="宋体"/>
                <w:sz w:val="24"/>
                <w:szCs w:val="24"/>
              </w:rPr>
            </w:pPr>
            <w:r>
              <w:rPr>
                <w:rFonts w:hint="eastAsia"/>
              </w:rPr>
              <w:t>设备制造商实力</w:t>
            </w:r>
          </w:p>
        </w:tc>
        <w:tc>
          <w:tcPr>
            <w:tcW w:w="699" w:type="dxa"/>
            <w:noWrap w:val="0"/>
            <w:vAlign w:val="center"/>
          </w:tcPr>
          <w:p>
            <w:pPr>
              <w:adjustRightInd w:val="0"/>
              <w:snapToGrid w:val="0"/>
              <w:jc w:val="center"/>
              <w:rPr>
                <w:rFonts w:hint="eastAsia" w:ascii="宋体" w:hAnsi="宋体"/>
                <w:sz w:val="24"/>
                <w:szCs w:val="24"/>
              </w:rPr>
            </w:pPr>
            <w:r>
              <w:rPr>
                <w:rFonts w:hint="eastAsia" w:ascii="宋体" w:hAnsi="宋体"/>
                <w:lang w:val="en-US" w:eastAsia="zh-CN"/>
              </w:rPr>
              <w:t>5分</w:t>
            </w:r>
          </w:p>
        </w:tc>
        <w:tc>
          <w:tcPr>
            <w:tcW w:w="770" w:type="dxa"/>
            <w:gridSpan w:val="2"/>
            <w:noWrap w:val="0"/>
            <w:vAlign w:val="center"/>
          </w:tcPr>
          <w:p>
            <w:pPr>
              <w:spacing w:line="240" w:lineRule="exact"/>
              <w:jc w:val="center"/>
              <w:rPr>
                <w:rFonts w:hint="eastAsia" w:ascii="宋体" w:hAnsi="宋体"/>
                <w:sz w:val="24"/>
                <w:szCs w:val="24"/>
              </w:rPr>
            </w:pPr>
          </w:p>
        </w:tc>
        <w:tc>
          <w:tcPr>
            <w:tcW w:w="5500" w:type="dxa"/>
            <w:noWrap w:val="0"/>
            <w:vAlign w:val="center"/>
          </w:tcPr>
          <w:p>
            <w:pPr>
              <w:numPr>
                <w:ilvl w:val="0"/>
                <w:numId w:val="1"/>
              </w:numPr>
              <w:adjustRightInd w:val="0"/>
              <w:snapToGrid w:val="0"/>
              <w:rPr>
                <w:rFonts w:ascii="宋体" w:hAnsi="宋体"/>
              </w:rPr>
            </w:pPr>
            <w:r>
              <w:rPr>
                <w:rFonts w:hint="eastAsia" w:ascii="宋体" w:hAnsi="宋体"/>
              </w:rPr>
              <w:t>所投制冷机组设备制造商获得I</w:t>
            </w:r>
            <w:r>
              <w:rPr>
                <w:rFonts w:ascii="宋体" w:hAnsi="宋体"/>
              </w:rPr>
              <w:t>SO9001</w:t>
            </w:r>
            <w:r>
              <w:rPr>
                <w:rFonts w:hint="eastAsia" w:ascii="宋体" w:hAnsi="宋体"/>
              </w:rPr>
              <w:t>质量管理体系认证证书；</w:t>
            </w:r>
          </w:p>
          <w:p>
            <w:pPr>
              <w:numPr>
                <w:ilvl w:val="0"/>
                <w:numId w:val="1"/>
              </w:numPr>
              <w:adjustRightInd w:val="0"/>
              <w:snapToGrid w:val="0"/>
              <w:rPr>
                <w:rFonts w:ascii="宋体" w:hAnsi="宋体"/>
              </w:rPr>
            </w:pPr>
            <w:r>
              <w:rPr>
                <w:rFonts w:hint="eastAsia" w:ascii="宋体" w:hAnsi="宋体"/>
              </w:rPr>
              <w:t>所投制冷机组设备能提供核心部件完整的第三方质量校验报告；</w:t>
            </w:r>
          </w:p>
          <w:p>
            <w:pPr>
              <w:adjustRightInd w:val="0"/>
              <w:snapToGrid w:val="0"/>
              <w:rPr>
                <w:rFonts w:ascii="宋体" w:hAnsi="宋体"/>
              </w:rPr>
            </w:pPr>
            <w:r>
              <w:rPr>
                <w:rFonts w:ascii="宋体" w:hAnsi="宋体"/>
              </w:rPr>
              <w:t>3</w:t>
            </w:r>
            <w:r>
              <w:rPr>
                <w:rFonts w:hint="eastAsia" w:ascii="宋体" w:hAnsi="宋体"/>
              </w:rPr>
              <w:t>）所投冷库监控系统制造商获得高新技术企业认证证书；</w:t>
            </w:r>
          </w:p>
          <w:p>
            <w:pPr>
              <w:adjustRightInd w:val="0"/>
              <w:snapToGrid w:val="0"/>
              <w:rPr>
                <w:rFonts w:ascii="宋体" w:hAnsi="宋体"/>
              </w:rPr>
            </w:pPr>
            <w:r>
              <w:rPr>
                <w:rFonts w:ascii="宋体" w:hAnsi="宋体"/>
              </w:rPr>
              <w:t>4</w:t>
            </w:r>
            <w:r>
              <w:rPr>
                <w:rFonts w:hint="eastAsia" w:ascii="宋体" w:hAnsi="宋体"/>
              </w:rPr>
              <w:t>）所投疫苗冷链监测系统制造商获得质量管理体系认证证书；</w:t>
            </w:r>
          </w:p>
          <w:p>
            <w:pPr>
              <w:adjustRightInd w:val="0"/>
              <w:snapToGrid w:val="0"/>
              <w:rPr>
                <w:rFonts w:ascii="宋体" w:hAnsi="宋体"/>
              </w:rPr>
            </w:pPr>
            <w:r>
              <w:rPr>
                <w:rFonts w:hint="eastAsia" w:ascii="宋体" w:hAnsi="宋体"/>
              </w:rPr>
              <w:t>5）所投疫苗冷链监测系统制造商获得</w:t>
            </w:r>
            <w:r>
              <w:rPr>
                <w:rFonts w:hint="eastAsia" w:ascii="宋体" w:hAnsi="宋体"/>
                <w:spacing w:val="-2"/>
                <w:kern w:val="0"/>
              </w:rPr>
              <w:t>校准实验室证书</w:t>
            </w:r>
            <w:r>
              <w:rPr>
                <w:rFonts w:hint="eastAsia" w:ascii="宋体" w:hAnsi="宋体"/>
              </w:rPr>
              <w:t>；</w:t>
            </w:r>
          </w:p>
          <w:p>
            <w:pPr>
              <w:adjustRightInd w:val="0"/>
              <w:snapToGrid w:val="0"/>
              <w:rPr>
                <w:rFonts w:ascii="宋体" w:hAnsi="宋体"/>
              </w:rPr>
            </w:pPr>
            <w:r>
              <w:rPr>
                <w:rFonts w:hint="eastAsia" w:ascii="宋体" w:hAnsi="宋体"/>
                <w:spacing w:val="-2"/>
              </w:rPr>
              <w:t>6</w:t>
            </w:r>
            <w:r>
              <w:rPr>
                <w:rFonts w:ascii="宋体" w:hAnsi="宋体"/>
                <w:spacing w:val="-2"/>
              </w:rPr>
              <w:t xml:space="preserve">) </w:t>
            </w:r>
            <w:r>
              <w:rPr>
                <w:rFonts w:hint="eastAsia" w:ascii="宋体" w:hAnsi="宋体"/>
              </w:rPr>
              <w:t>所投疫苗冷链监测系统的</w:t>
            </w:r>
            <w:r>
              <w:rPr>
                <w:rFonts w:hint="eastAsia" w:ascii="宋体" w:hAnsi="宋体"/>
                <w:spacing w:val="-2"/>
              </w:rPr>
              <w:t>软件产品具有</w:t>
            </w:r>
            <w:r>
              <w:rPr>
                <w:rFonts w:hint="eastAsia" w:ascii="宋体" w:hAnsi="宋体"/>
              </w:rPr>
              <w:t>中华人民共和国国家版权局计算机软件著作权登记证书。</w:t>
            </w:r>
          </w:p>
          <w:p>
            <w:pPr>
              <w:adjustRightInd w:val="0"/>
              <w:snapToGrid w:val="0"/>
              <w:rPr>
                <w:rFonts w:ascii="宋体" w:hAnsi="宋体"/>
              </w:rPr>
            </w:pPr>
            <w:r>
              <w:rPr>
                <w:rFonts w:hint="eastAsia" w:ascii="宋体" w:hAnsi="宋体"/>
                <w:spacing w:val="-2"/>
              </w:rPr>
              <w:t>7）</w:t>
            </w:r>
            <w:r>
              <w:rPr>
                <w:rFonts w:hint="eastAsia" w:ascii="宋体" w:hAnsi="宋体"/>
              </w:rPr>
              <w:t>所投冷库监控系统制造商获得职业健康安全管理体系认证证书；</w:t>
            </w:r>
          </w:p>
          <w:p>
            <w:pPr>
              <w:adjustRightInd w:val="0"/>
              <w:snapToGrid w:val="0"/>
              <w:rPr>
                <w:rFonts w:hint="eastAsia" w:ascii="宋体" w:hAnsi="宋体" w:cs="宋体"/>
                <w:color w:val="auto"/>
                <w:kern w:val="0"/>
                <w:sz w:val="24"/>
                <w:szCs w:val="24"/>
              </w:rPr>
            </w:pPr>
            <w:r>
              <w:rPr>
                <w:rFonts w:hint="eastAsia" w:ascii="宋体" w:hAnsi="宋体"/>
              </w:rPr>
              <w:t>以上证书每提供一个得2分，共4分。（提供有效的证书复印件作为评审依据）。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lang w:val="en-US" w:eastAsia="zh-CN"/>
              </w:rPr>
              <w:t>4</w:t>
            </w:r>
            <w:r>
              <w:rPr>
                <w:rFonts w:hint="eastAsia" w:ascii="宋体" w:hAnsi="宋体" w:cs="宋体"/>
                <w:sz w:val="24"/>
                <w:szCs w:val="24"/>
              </w:rPr>
              <w:t>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adjustRightInd w:val="0"/>
              <w:snapToGrid w:val="0"/>
              <w:ind w:left="-63" w:leftChars="-30" w:right="-88" w:rightChars="-42"/>
              <w:rPr>
                <w:rFonts w:ascii="宋体" w:hAnsi="宋体" w:cs="宋体"/>
              </w:rPr>
            </w:pPr>
            <w:r>
              <w:rPr>
                <w:rFonts w:ascii="宋体" w:hAnsi="宋体" w:cs="宋体"/>
              </w:rPr>
              <w:t>1</w:t>
            </w:r>
            <w:r>
              <w:rPr>
                <w:rFonts w:hint="eastAsia" w:ascii="宋体" w:hAnsi="宋体" w:cs="宋体"/>
              </w:rPr>
              <w:t>）售后服务</w:t>
            </w:r>
            <w:r>
              <w:rPr>
                <w:rFonts w:hint="eastAsia" w:ascii="宋体" w:hAnsi="宋体"/>
              </w:rPr>
              <w:t>承诺、故障响应、培训方案详细且切实可行</w:t>
            </w:r>
            <w:r>
              <w:rPr>
                <w:rFonts w:hint="eastAsia" w:ascii="宋体" w:hAnsi="宋体" w:cs="宋体"/>
              </w:rPr>
              <w:t>的，得</w:t>
            </w:r>
            <w:r>
              <w:rPr>
                <w:rFonts w:hint="eastAsia" w:ascii="宋体" w:hAnsi="宋体" w:cs="宋体"/>
                <w:color w:val="000000"/>
              </w:rPr>
              <w:t>4</w:t>
            </w:r>
            <w:r>
              <w:rPr>
                <w:rFonts w:hint="eastAsia" w:ascii="宋体" w:hAnsi="宋体" w:cs="宋体"/>
              </w:rPr>
              <w:t>分；</w:t>
            </w:r>
          </w:p>
          <w:p>
            <w:pPr>
              <w:adjustRightInd w:val="0"/>
              <w:snapToGrid w:val="0"/>
              <w:ind w:left="-63" w:leftChars="-30" w:right="-88" w:rightChars="-42"/>
              <w:rPr>
                <w:rFonts w:ascii="宋体" w:hAnsi="宋体" w:cs="宋体"/>
              </w:rPr>
            </w:pPr>
            <w:r>
              <w:rPr>
                <w:rFonts w:ascii="宋体" w:hAnsi="宋体" w:cs="宋体"/>
              </w:rPr>
              <w:t>2</w:t>
            </w:r>
            <w:r>
              <w:rPr>
                <w:rFonts w:hint="eastAsia" w:ascii="宋体" w:hAnsi="宋体" w:cs="宋体"/>
              </w:rPr>
              <w:t>）售后服务</w:t>
            </w:r>
            <w:r>
              <w:rPr>
                <w:rFonts w:hint="eastAsia" w:ascii="宋体" w:hAnsi="宋体"/>
              </w:rPr>
              <w:t>承诺、故障响应、培训方案欠缺</w:t>
            </w:r>
            <w:r>
              <w:rPr>
                <w:rFonts w:hint="eastAsia" w:ascii="宋体" w:hAnsi="宋体" w:cs="宋体"/>
              </w:rPr>
              <w:t>的，得</w:t>
            </w:r>
            <w:r>
              <w:rPr>
                <w:rFonts w:hint="eastAsia" w:ascii="宋体" w:hAnsi="宋体" w:cs="宋体"/>
                <w:color w:val="000000"/>
              </w:rPr>
              <w:t>2</w:t>
            </w:r>
            <w:r>
              <w:rPr>
                <w:rFonts w:hint="eastAsia" w:ascii="宋体" w:hAnsi="宋体" w:cs="宋体"/>
              </w:rPr>
              <w:t>分</w:t>
            </w:r>
          </w:p>
          <w:p>
            <w:pPr>
              <w:spacing w:line="280" w:lineRule="exact"/>
              <w:rPr>
                <w:rFonts w:ascii="宋体" w:hAnsi="宋体"/>
                <w:sz w:val="24"/>
                <w:szCs w:val="24"/>
              </w:rPr>
            </w:pPr>
            <w:r>
              <w:rPr>
                <w:rFonts w:hint="eastAsia" w:ascii="宋体" w:hAnsi="宋体" w:cs="宋体"/>
              </w:rPr>
              <w:t>3）未提供</w:t>
            </w:r>
            <w:r>
              <w:rPr>
                <w:rFonts w:hint="eastAsia" w:ascii="宋体" w:hAnsi="宋体"/>
              </w:rPr>
              <w:t>售后服务方案</w:t>
            </w:r>
            <w:r>
              <w:rPr>
                <w:rFonts w:hint="eastAsia" w:ascii="宋体" w:hAnsi="宋体" w:cs="宋体"/>
              </w:rPr>
              <w:t>的，得</w:t>
            </w:r>
            <w:r>
              <w:rPr>
                <w:rFonts w:ascii="宋体" w:hAnsi="宋体" w:cs="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43116"/>
      <w:bookmarkStart w:id="4" w:name="_Toc201997946"/>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cs="宋体"/>
                <w:kern w:val="0"/>
                <w:sz w:val="24"/>
                <w:szCs w:val="24"/>
              </w:rPr>
            </w:pPr>
            <w:r>
              <w:rPr>
                <w:rStyle w:val="39"/>
                <w:rFonts w:ascii="宋体" w:hAnsi="宋体" w:cs="宋体"/>
                <w:b/>
                <w:bCs/>
                <w:i w:val="0"/>
                <w:caps w:val="0"/>
                <w:spacing w:val="0"/>
                <w:w w:val="100"/>
                <w:kern w:val="0"/>
                <w:sz w:val="24"/>
                <w:szCs w:val="24"/>
                <w:lang w:val="en-US" w:eastAsia="zh-CN" w:bidi="ar-SA"/>
              </w:rPr>
              <w:t>货物清单</w:t>
            </w:r>
            <w:r>
              <w:rPr>
                <w:rStyle w:val="39"/>
                <w:rFonts w:ascii="宋体" w:hAnsi="宋体"/>
                <w:b w:val="0"/>
                <w:i w:val="0"/>
                <w:caps w:val="0"/>
                <w:spacing w:val="0"/>
                <w:w w:val="100"/>
                <w:kern w:val="0"/>
                <w:sz w:val="24"/>
                <w:szCs w:val="24"/>
                <w:lang w:val="en-US" w:eastAsia="zh-CN" w:bidi="ar-SA"/>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627"/>
              <w:gridCol w:w="1344"/>
              <w:gridCol w:w="1311"/>
              <w:gridCol w:w="1770"/>
              <w:gridCol w:w="17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tblHeader/>
              </w:trPr>
              <w:tc>
                <w:tcPr>
                  <w:tcW w:w="2627"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 xml:space="preserve">设备名称 </w:t>
                  </w:r>
                </w:p>
              </w:tc>
              <w:tc>
                <w:tcPr>
                  <w:tcW w:w="1344"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数量</w:t>
                  </w:r>
                </w:p>
              </w:tc>
              <w:tc>
                <w:tcPr>
                  <w:tcW w:w="1311"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单位</w:t>
                  </w:r>
                </w:p>
              </w:tc>
              <w:tc>
                <w:tcPr>
                  <w:tcW w:w="1770"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总预算金额(元)</w:t>
                  </w:r>
                </w:p>
              </w:tc>
              <w:tc>
                <w:tcPr>
                  <w:tcW w:w="1775"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627"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hint="eastAsia" w:ascii="宋体" w:hAnsi="宋体" w:eastAsia="宋体"/>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智能化后补式冷库</w:t>
                  </w:r>
                </w:p>
              </w:tc>
              <w:tc>
                <w:tcPr>
                  <w:tcW w:w="1344"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1</w:t>
                  </w:r>
                </w:p>
              </w:tc>
              <w:tc>
                <w:tcPr>
                  <w:tcW w:w="1311"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套</w:t>
                  </w:r>
                </w:p>
              </w:tc>
              <w:tc>
                <w:tcPr>
                  <w:tcW w:w="1770"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16</w:t>
                  </w:r>
                  <w:r>
                    <w:rPr>
                      <w:rStyle w:val="39"/>
                      <w:rFonts w:ascii="宋体" w:hAnsi="宋体"/>
                      <w:b w:val="0"/>
                      <w:i w:val="0"/>
                      <w:caps w:val="0"/>
                      <w:color w:val="FF0000"/>
                      <w:spacing w:val="0"/>
                      <w:w w:val="100"/>
                      <w:kern w:val="0"/>
                      <w:sz w:val="24"/>
                      <w:szCs w:val="24"/>
                      <w:lang w:val="en-US" w:eastAsia="zh-CN" w:bidi="ar-SA"/>
                    </w:rPr>
                    <w:t>0</w:t>
                  </w:r>
                  <w:r>
                    <w:rPr>
                      <w:rStyle w:val="39"/>
                      <w:rFonts w:hint="eastAsia" w:ascii="宋体" w:hAnsi="宋体"/>
                      <w:b w:val="0"/>
                      <w:i w:val="0"/>
                      <w:caps w:val="0"/>
                      <w:color w:val="FF0000"/>
                      <w:spacing w:val="0"/>
                      <w:w w:val="100"/>
                      <w:kern w:val="0"/>
                      <w:sz w:val="24"/>
                      <w:szCs w:val="24"/>
                      <w:lang w:val="en-US" w:eastAsia="zh-CN" w:bidi="ar-SA"/>
                    </w:rPr>
                    <w:t>0</w:t>
                  </w:r>
                  <w:r>
                    <w:rPr>
                      <w:rStyle w:val="39"/>
                      <w:rFonts w:ascii="宋体" w:hAnsi="宋体"/>
                      <w:b w:val="0"/>
                      <w:i w:val="0"/>
                      <w:caps w:val="0"/>
                      <w:color w:val="FF0000"/>
                      <w:spacing w:val="0"/>
                      <w:w w:val="100"/>
                      <w:kern w:val="0"/>
                      <w:sz w:val="24"/>
                      <w:szCs w:val="24"/>
                      <w:lang w:val="en-US" w:eastAsia="zh-CN" w:bidi="ar-SA"/>
                    </w:rPr>
                    <w:t>00.00</w:t>
                  </w:r>
                </w:p>
              </w:tc>
              <w:tc>
                <w:tcPr>
                  <w:tcW w:w="1775"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w:t>
                  </w:r>
                  <w:r>
                    <w:rPr>
                      <w:rStyle w:val="39"/>
                      <w:rFonts w:hint="eastAsia" w:ascii="宋体" w:hAnsi="宋体"/>
                      <w:b w:val="0"/>
                      <w:i w:val="0"/>
                      <w:caps w:val="0"/>
                      <w:color w:val="FF0000"/>
                      <w:spacing w:val="0"/>
                      <w:w w:val="100"/>
                      <w:kern w:val="0"/>
                      <w:sz w:val="24"/>
                      <w:szCs w:val="24"/>
                      <w:lang w:val="en-US" w:eastAsia="zh-CN" w:bidi="ar-SA"/>
                    </w:rPr>
                    <w:t>拒绝</w:t>
                  </w:r>
                  <w:r>
                    <w:rPr>
                      <w:rStyle w:val="39"/>
                      <w:rFonts w:ascii="宋体" w:hAnsi="宋体"/>
                      <w:b w:val="0"/>
                      <w:i w:val="0"/>
                      <w:caps w:val="0"/>
                      <w:color w:val="FF0000"/>
                      <w:spacing w:val="0"/>
                      <w:w w:val="100"/>
                      <w:kern w:val="0"/>
                      <w:sz w:val="24"/>
                      <w:szCs w:val="24"/>
                      <w:lang w:val="en-US" w:eastAsia="zh-CN" w:bidi="ar-SA"/>
                    </w:rPr>
                    <w:t>进口）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27" w:type="dxa"/>
                  <w:gridSpan w:val="5"/>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left"/>
                    <w:textAlignment w:val="baseline"/>
                    <w:rPr>
                      <w:rStyle w:val="39"/>
                      <w:rFonts w:ascii="宋体" w:hAnsi="宋体"/>
                      <w:b w:val="0"/>
                      <w:i w:val="0"/>
                      <w:caps w:val="0"/>
                      <w:color w:val="FF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ascii="宋体" w:hAnsi="宋体" w:cs="宋体"/>
                <w:b/>
                <w:kern w:val="0"/>
                <w:sz w:val="24"/>
                <w:szCs w:val="24"/>
              </w:rPr>
            </w:pPr>
            <w:r>
              <w:rPr>
                <w:rStyle w:val="39"/>
                <w:rFonts w:ascii="宋体" w:hAnsi="宋体"/>
                <w:b/>
                <w:i w:val="0"/>
                <w:caps w:val="0"/>
                <w:spacing w:val="0"/>
                <w:w w:val="100"/>
                <w:kern w:val="0"/>
                <w:sz w:val="24"/>
                <w:szCs w:val="24"/>
                <w:lang w:val="en-US" w:eastAsia="zh-CN" w:bidi="ar-SA"/>
              </w:rPr>
              <w:t>技术要求</w:t>
            </w: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rPr>
            </w:pPr>
            <w:r>
              <w:rPr>
                <w:rStyle w:val="39"/>
                <w:rFonts w:ascii="宋体" w:hAnsi="宋体" w:cs="宋体"/>
                <w:b/>
                <w:bCs/>
                <w:i w:val="0"/>
                <w:caps w:val="0"/>
                <w:color w:val="FF0000"/>
                <w:spacing w:val="0"/>
                <w:w w:val="100"/>
                <w:kern w:val="0"/>
                <w:sz w:val="24"/>
                <w:szCs w:val="24"/>
                <w:lang w:val="en-US" w:eastAsia="zh-CN" w:bidi="ar-SA"/>
              </w:rPr>
              <w:t>序号</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具体参数要求</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评分分值（合计</w:t>
            </w:r>
            <w:r>
              <w:rPr>
                <w:rStyle w:val="39"/>
                <w:rFonts w:hint="eastAsia" w:ascii="宋体" w:hAnsi="宋体" w:cs="宋体"/>
                <w:b/>
                <w:bCs/>
                <w:i w:val="0"/>
                <w:caps w:val="0"/>
                <w:color w:val="FF0000"/>
                <w:spacing w:val="0"/>
                <w:w w:val="100"/>
                <w:kern w:val="0"/>
                <w:sz w:val="24"/>
                <w:szCs w:val="24"/>
                <w:lang w:val="en-US" w:eastAsia="zh-CN" w:bidi="ar-SA"/>
              </w:rPr>
              <w:t>30</w:t>
            </w:r>
            <w:r>
              <w:rPr>
                <w:rStyle w:val="39"/>
                <w:rFonts w:ascii="宋体" w:hAnsi="宋体" w:cs="宋体"/>
                <w:b/>
                <w:bCs/>
                <w:i w:val="0"/>
                <w:caps w:val="0"/>
                <w:color w:val="FF0000"/>
                <w:spacing w:val="0"/>
                <w:w w:val="100"/>
                <w:kern w:val="0"/>
                <w:sz w:val="24"/>
                <w:szCs w:val="24"/>
                <w:lang w:val="en-US" w:eastAsia="zh-CN" w:bidi="ar-SA"/>
              </w:rPr>
              <w:t>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sz w:val="24"/>
                <w:szCs w:val="24"/>
                <w:lang w:val="en-US" w:eastAsia="zh-CN"/>
              </w:rPr>
            </w:pPr>
            <w:r>
              <w:rPr>
                <w:rFonts w:hint="eastAsia" w:ascii="宋体" w:hAnsi="宋体"/>
                <w:bCs/>
                <w:color w:val="FF0000"/>
                <w:sz w:val="24"/>
                <w:szCs w:val="24"/>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符合我国GSP管理规范和《广东省进一步加强疫苗接种管理的行动方案》【粤卫(2019)75号】关于疫苗冷链管理的要求，冷库配置2套完全独立的制冷机组，一用一备，互为备用（2套系统配置一样，每套均包括压缩机、冷凝器、蒸发器、各类铜管、电缆、制冷配件等），两套机组可轮流运转、发生故障自动切换、超温自动启用备用机组。具有自动定时和强制除霜功能，库温控制均匀，冷库可在0℃~25℃任意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冷库的控制系统应是全自动控制系统。</w:t>
            </w:r>
            <w:r>
              <w:rPr>
                <w:rFonts w:hint="eastAsia" w:ascii="宋体" w:hAnsi="宋体" w:cs="宋体"/>
                <w:sz w:val="24"/>
                <w:szCs w:val="24"/>
              </w:rPr>
              <w:t>具备24小时专人值守功能，</w:t>
            </w:r>
            <w:r>
              <w:rPr>
                <w:rFonts w:hint="eastAsia" w:ascii="宋体" w:hAnsi="宋体" w:cs="宋体"/>
                <w:sz w:val="24"/>
              </w:rPr>
              <w:t>可根据冷库设定的温度自动调节库房的冷风机运行,自动监视、调节和控制各压缩机组、化霜系统、冷风机、冷凝器、蒸发器工作运行状态，并对异常状况（高温、低温限度）故障报警。系统可设置手动调节和启闭开关，便于维护、检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sz w:val="24"/>
                <w:szCs w:val="24"/>
                <w:lang w:val="en-US" w:eastAsia="zh-CN"/>
              </w:rPr>
            </w:pPr>
            <w:r>
              <w:rPr>
                <w:rFonts w:hint="eastAsia" w:ascii="宋体" w:hAnsi="宋体"/>
                <w:bCs/>
                <w:color w:val="FF0000"/>
                <w:sz w:val="24"/>
                <w:szCs w:val="24"/>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冷库监控系统采用不少于6寸的触控屏幕，采用人机界面分体设计，</w:t>
            </w:r>
            <w:r>
              <w:rPr>
                <w:rFonts w:hint="eastAsia" w:ascii="宋体" w:hAnsi="宋体" w:cs="宋体"/>
                <w:sz w:val="24"/>
              </w:rPr>
              <w:t>以图像和数据方式显示系统当前的工作状态。如待机状态、故障、启动、工作中的数据（如温度、时间）等，可随时观察库区的温度情况，了解、记录当前温度与设定温度的偏差。有关状态的所有数据存储记录后可供追溯不少于5年查询，提供信息统计分析并能随时导出功能（</w:t>
            </w:r>
            <w:r>
              <w:rPr>
                <w:rFonts w:hint="eastAsia" w:ascii="宋体" w:hAnsi="宋体" w:cs="宋体"/>
                <w:sz w:val="24"/>
                <w:szCs w:val="24"/>
              </w:rPr>
              <w:t>ECXEL、PDF 格式</w:t>
            </w:r>
            <w:r>
              <w:rPr>
                <w:rFonts w:hint="eastAsia" w:ascii="宋体" w:hAnsi="宋体" w:cs="宋体"/>
                <w:sz w:val="28"/>
                <w:szCs w:val="28"/>
              </w:rPr>
              <w:t>）</w:t>
            </w:r>
            <w:r>
              <w:rPr>
                <w:rFonts w:hint="eastAsia" w:ascii="宋体" w:hAnsi="宋体" w:cs="宋体"/>
                <w:sz w:val="24"/>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bCs/>
                <w:color w:val="FF0000"/>
                <w:sz w:val="24"/>
                <w:szCs w:val="24"/>
              </w:rPr>
              <w:t>▲</w:t>
            </w: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系统能提供手机监控程序APP，</w:t>
            </w:r>
            <w:r>
              <w:rPr>
                <w:rFonts w:hint="eastAsia" w:ascii="宋体" w:hAnsi="宋体" w:cs="宋体"/>
                <w:sz w:val="24"/>
                <w:szCs w:val="24"/>
              </w:rPr>
              <w:t>具有</w:t>
            </w:r>
            <w:r>
              <w:rPr>
                <w:rFonts w:hint="eastAsia" w:ascii="宋体" w:hAnsi="宋体" w:cs="宋体"/>
                <w:sz w:val="24"/>
              </w:rPr>
              <w:t>远程集中监控功能，可实时显示冷库温、湿度、各设备网络连接信息情况，实时了解冷库运行状态。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需配置与控制系统同一品牌或系统平台的温湿度监控系统及必要的器件，并保证可在冷库环境下长期稳定工作，冷库内需配置带屏幕显示的温湿度监测终端，分散分布设置，根据实时测试结果，采购人可对温度探测点位置进行任意的调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温湿度监控系统中温湿度数据采集和中继传输的关键设备，均需内置可充电电池，保证突发断电的情况下的数据保存和传输等要求。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监控系统须保证对温湿度采集终端的兼容性和扩展性，保证在不增加现有设备的前提下后续变更或新增后采集终端的达30个以上。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监控系统须采用低功耗高传输覆盖距离的LORA数据通信传输技术。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rPr>
              <w:t>监控系统采用符合FDA认证要求的数字签名技术，符合的电子信息化建设及办公无纸化趋势要求。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bCs/>
                <w:color w:val="FF0000"/>
                <w:sz w:val="24"/>
                <w:szCs w:val="24"/>
              </w:rPr>
              <w:t>▲</w:t>
            </w: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color w:val="000000"/>
                <w:kern w:val="0"/>
                <w:sz w:val="24"/>
                <w:szCs w:val="24"/>
              </w:rPr>
              <w:t>库板整体</w:t>
            </w:r>
            <w:r>
              <w:rPr>
                <w:rFonts w:hint="eastAsia" w:ascii="宋体" w:hAnsi="宋体" w:cs="宋体"/>
                <w:color w:val="000000"/>
                <w:kern w:val="0"/>
                <w:sz w:val="24"/>
                <w:szCs w:val="24"/>
                <w:shd w:val="clear" w:color="auto" w:fill="EEECE1"/>
              </w:rPr>
              <w:t>厚度，密度</w:t>
            </w:r>
            <w:r>
              <w:rPr>
                <w:rFonts w:hint="eastAsia" w:ascii="宋体" w:hAnsi="宋体" w:cs="宋体"/>
                <w:color w:val="000000"/>
                <w:kern w:val="0"/>
                <w:sz w:val="24"/>
                <w:szCs w:val="24"/>
              </w:rPr>
              <w:t>、B2级或以上级别阻燃压筋板</w:t>
            </w:r>
            <w:r>
              <w:rPr>
                <w:rFonts w:hint="eastAsia" w:ascii="宋体" w:hAnsi="宋体" w:cs="宋体"/>
                <w:sz w:val="24"/>
                <w:szCs w:val="24"/>
              </w:rPr>
              <w:t>。</w:t>
            </w:r>
            <w:r>
              <w:rPr>
                <w:rFonts w:hint="eastAsia" w:ascii="宋体" w:hAnsi="宋体" w:cs="宋体"/>
                <w:color w:val="000000"/>
                <w:kern w:val="0"/>
                <w:sz w:val="24"/>
                <w:szCs w:val="24"/>
              </w:rPr>
              <w:t>冷库底板预埋防滑压花铝板</w:t>
            </w:r>
            <w:r>
              <w:rPr>
                <w:rFonts w:hint="eastAsia" w:ascii="宋体" w:hAnsi="宋体" w:cs="宋体"/>
                <w:color w:val="000000"/>
                <w:kern w:val="0"/>
                <w:sz w:val="24"/>
                <w:szCs w:val="24"/>
                <w:lang w:eastAsia="zh-CN"/>
              </w:rPr>
              <w:t>，</w:t>
            </w:r>
            <w:r>
              <w:rPr>
                <w:rFonts w:hint="eastAsia" w:ascii="宋体" w:hAnsi="宋体" w:cs="宋体"/>
                <w:sz w:val="24"/>
                <w:szCs w:val="24"/>
              </w:rPr>
              <w:t>库体外周采用</w:t>
            </w:r>
            <w:r>
              <w:rPr>
                <w:rFonts w:hint="eastAsia" w:ascii="宋体" w:hAnsi="宋体" w:cs="宋体"/>
                <w:color w:val="000000"/>
                <w:kern w:val="0"/>
                <w:sz w:val="24"/>
                <w:szCs w:val="24"/>
              </w:rPr>
              <w:t>铝角收边及玻璃胶密缝处理。库体设置合理的</w:t>
            </w:r>
            <w:r>
              <w:rPr>
                <w:rFonts w:hint="eastAsia" w:ascii="宋体" w:hAnsi="宋体" w:cs="宋体"/>
                <w:bCs/>
                <w:color w:val="000000"/>
                <w:kern w:val="0"/>
                <w:sz w:val="24"/>
                <w:szCs w:val="24"/>
              </w:rPr>
              <w:t>置物架，</w:t>
            </w:r>
            <w:r>
              <w:rPr>
                <w:rFonts w:hint="eastAsia" w:ascii="宋体" w:hAnsi="宋体" w:cs="宋体"/>
                <w:color w:val="000000"/>
                <w:kern w:val="0"/>
                <w:sz w:val="24"/>
                <w:szCs w:val="24"/>
              </w:rPr>
              <w:t>要求有铝立柱+塑钢层板*4层</w:t>
            </w:r>
            <w:r>
              <w:rPr>
                <w:rFonts w:hint="eastAsia" w:ascii="宋体" w:hAnsi="宋体" w:cs="宋体"/>
                <w:b/>
                <w:sz w:val="24"/>
                <w:szCs w:val="24"/>
              </w:rPr>
              <w:t>，</w:t>
            </w:r>
            <w:r>
              <w:rPr>
                <w:rFonts w:hint="eastAsia" w:ascii="宋体" w:hAnsi="宋体" w:cs="宋体"/>
                <w:color w:val="000000"/>
                <w:kern w:val="0"/>
                <w:sz w:val="24"/>
                <w:szCs w:val="24"/>
              </w:rPr>
              <w:t>库体</w:t>
            </w:r>
            <w:r>
              <w:rPr>
                <w:rFonts w:hint="eastAsia" w:ascii="宋体" w:hAnsi="宋体" w:cs="宋体"/>
                <w:bCs/>
                <w:color w:val="000000"/>
                <w:kern w:val="0"/>
                <w:sz w:val="24"/>
                <w:szCs w:val="24"/>
              </w:rPr>
              <w:t>配置LED冷库灯（20-30W）。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sz w:val="28"/>
                <w:szCs w:val="28"/>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Cs/>
                <w:szCs w:val="15"/>
              </w:rPr>
            </w:pPr>
            <w:r>
              <w:rPr>
                <w:rFonts w:hint="eastAsia" w:ascii="宋体" w:hAnsi="宋体" w:cs="宋体"/>
                <w:b/>
                <w:bCs/>
                <w:color w:val="000000"/>
                <w:sz w:val="24"/>
                <w:szCs w:val="24"/>
              </w:rPr>
              <w:t>展示玻璃门</w:t>
            </w:r>
            <w:r>
              <w:rPr>
                <w:rFonts w:hint="eastAsia" w:ascii="宋体" w:hAnsi="宋体" w:cs="宋体"/>
                <w:b/>
                <w:bCs/>
                <w:color w:val="000000"/>
                <w:sz w:val="24"/>
                <w:szCs w:val="24"/>
                <w:lang w:eastAsia="zh-CN"/>
              </w:rPr>
              <w:t>，</w:t>
            </w:r>
            <w:r>
              <w:rPr>
                <w:rFonts w:hint="eastAsia" w:ascii="宋体" w:hAnsi="宋体" w:cs="宋体"/>
                <w:color w:val="000000"/>
                <w:sz w:val="24"/>
                <w:szCs w:val="24"/>
              </w:rPr>
              <w:t>门框玻璃，含发热丝，自动除雾，自动回弹设计。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sz w:val="28"/>
                <w:szCs w:val="28"/>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Cs/>
                <w:szCs w:val="15"/>
              </w:rPr>
            </w:pPr>
            <w:r>
              <w:rPr>
                <w:rFonts w:hint="eastAsia" w:ascii="宋体" w:hAnsi="宋体" w:cs="宋体"/>
                <w:b/>
                <w:bCs/>
                <w:color w:val="000000"/>
                <w:sz w:val="24"/>
                <w:szCs w:val="24"/>
              </w:rPr>
              <w:t>补货门</w:t>
            </w:r>
            <w:r>
              <w:rPr>
                <w:rFonts w:hint="eastAsia" w:ascii="宋体" w:hAnsi="宋体" w:cs="宋体"/>
                <w:color w:val="000000"/>
                <w:sz w:val="24"/>
                <w:szCs w:val="24"/>
              </w:rPr>
              <w:t>采用</w:t>
            </w:r>
            <w:r>
              <w:rPr>
                <w:rFonts w:hint="eastAsia" w:ascii="宋体" w:hAnsi="宋体" w:cs="宋体"/>
                <w:color w:val="000000"/>
                <w:kern w:val="0"/>
                <w:sz w:val="24"/>
                <w:szCs w:val="24"/>
              </w:rPr>
              <w:t>全掩门设计，须与</w:t>
            </w:r>
            <w:r>
              <w:rPr>
                <w:rFonts w:hint="eastAsia" w:ascii="宋体" w:hAnsi="宋体" w:cs="宋体"/>
                <w:color w:val="000000"/>
                <w:sz w:val="24"/>
                <w:szCs w:val="24"/>
              </w:rPr>
              <w:t>库板同厂出品。，有门槛设计，自动回弹设计，门框自带防凝露加热丝，门内有应急逃生装置，若有人员被困时可在库内将门打开。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sz w:val="28"/>
                <w:szCs w:val="28"/>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Cs/>
                <w:szCs w:val="15"/>
              </w:rPr>
            </w:pPr>
            <w:r>
              <w:rPr>
                <w:rFonts w:hint="eastAsia" w:ascii="宋体" w:hAnsi="宋体" w:cs="宋体"/>
                <w:color w:val="000000"/>
                <w:sz w:val="24"/>
                <w:szCs w:val="24"/>
              </w:rPr>
              <w:t>供应商需按照各冷库的具体尺寸要求匹配合理的控制电箱、压缩机组、冷风机、膨胀阀等设备。机组高压氮气抽真空保压处理。采用冷媒相当于或优于R404的制冷剂。电缆和电线类型由供应商按照需求选择并确定所需的电缆种类，所有电缆和导线必须采用阻燃、低烟、无毒型。其选材、安装要符合中国国家标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sz w:val="28"/>
                <w:szCs w:val="28"/>
              </w:rPr>
            </w:pP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Cs/>
                <w:szCs w:val="15"/>
              </w:rPr>
            </w:pPr>
            <w:r>
              <w:rPr>
                <w:rFonts w:hint="eastAsia" w:ascii="宋体" w:hAnsi="宋体" w:cs="宋体"/>
                <w:color w:val="000000"/>
                <w:sz w:val="24"/>
                <w:szCs w:val="24"/>
              </w:rPr>
              <w:t>冷风机采用侧出风方式机组，保存良好的冷风循环。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sz w:val="28"/>
                <w:szCs w:val="28"/>
              </w:rPr>
            </w:pPr>
            <w:r>
              <w:rPr>
                <w:rFonts w:hint="eastAsia" w:ascii="宋体" w:hAnsi="宋体" w:cs="宋体"/>
                <w:color w:val="000000"/>
                <w:kern w:val="0"/>
                <w:sz w:val="24"/>
                <w:szCs w:val="24"/>
              </w:rPr>
              <w:t>15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Cs/>
                <w:szCs w:val="15"/>
              </w:rPr>
            </w:pPr>
            <w:r>
              <w:rPr>
                <w:rFonts w:hint="eastAsia" w:ascii="宋体" w:hAnsi="宋体" w:cs="宋体"/>
                <w:color w:val="000000"/>
                <w:sz w:val="24"/>
                <w:szCs w:val="24"/>
              </w:rPr>
              <w:t>冷风机采用冷库除霜专用发热丝，并合理安排外排水到的合理位置。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Narrow">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218C2"/>
    <w:multiLevelType w:val="multilevel"/>
    <w:tmpl w:val="0A5218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72249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BB8351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47834"/>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9E213FD"/>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BodyText"/>
    <w:basedOn w:val="1"/>
    <w:qFormat/>
    <w:uiPriority w:val="0"/>
    <w:pPr>
      <w:jc w:val="center"/>
      <w:textAlignment w:val="baseline"/>
    </w:pPr>
    <w:rPr>
      <w:rFonts w:ascii="宋体" w:hAnsi="宋体"/>
      <w:color w:val="FF0000"/>
      <w:kern w:val="2"/>
      <w:sz w:val="21"/>
      <w:szCs w:val="24"/>
      <w:lang w:val="en-US" w:eastAsia="zh-CN" w:bidi="ar-SA"/>
    </w:rPr>
  </w:style>
  <w:style w:type="character" w:customStyle="1" w:styleId="18">
    <w:name w:val="标题 3 Char"/>
    <w:basedOn w:val="14"/>
    <w:link w:val="5"/>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4"/>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2021-05-25T00:28:55Z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EC1F6F0523614CFDAE5A68E70005E742</vt:lpwstr>
  </property>
</Properties>
</file>