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8.8</w:t>
      </w:r>
      <w:r>
        <w:rPr>
          <w:rFonts w:hint="eastAsia" w:ascii="宋体" w:hAnsi="宋体"/>
          <w:color w:val="auto"/>
          <w:sz w:val="40"/>
          <w:szCs w:val="40"/>
        </w:rPr>
        <w:t>万元</w:t>
      </w:r>
    </w:p>
    <w:p>
      <w:pPr>
        <w:spacing w:after="78"/>
        <w:jc w:val="center"/>
        <w:outlineLvl w:val="0"/>
        <w:rPr>
          <w:rFonts w:ascii="宋体" w:hAnsi="宋体"/>
          <w:sz w:val="40"/>
          <w:szCs w:val="40"/>
        </w:rPr>
      </w:pPr>
      <w:r>
        <w:rPr>
          <w:rFonts w:hint="eastAsia" w:ascii="宋体" w:hAnsi="宋体"/>
          <w:sz w:val="40"/>
          <w:szCs w:val="40"/>
        </w:rPr>
        <w:t>招标参数</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495"/>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kern w:val="0"/>
                <w:sz w:val="22"/>
                <w:szCs w:val="22"/>
              </w:rPr>
            </w:pPr>
            <w:r>
              <w:rPr>
                <w:rFonts w:hint="eastAsia" w:ascii="宋体" w:hAnsi="宋体"/>
                <w:kern w:val="0"/>
                <w:sz w:val="22"/>
                <w:szCs w:val="22"/>
              </w:rPr>
              <w:t>项目名称</w:t>
            </w:r>
          </w:p>
        </w:tc>
        <w:tc>
          <w:tcPr>
            <w:tcW w:w="7750" w:type="dxa"/>
            <w:gridSpan w:val="2"/>
            <w:tcBorders>
              <w:top w:val="single" w:color="auto" w:sz="4" w:space="0"/>
              <w:left w:val="single" w:color="auto" w:sz="4" w:space="0"/>
              <w:bottom w:val="single" w:color="auto" w:sz="4" w:space="0"/>
              <w:right w:val="single" w:color="auto" w:sz="4" w:space="0"/>
            </w:tcBorders>
          </w:tcPr>
          <w:p>
            <w:pPr>
              <w:spacing w:after="78"/>
              <w:jc w:val="center"/>
              <w:rPr>
                <w:rFonts w:ascii="仿宋_GB2312" w:eastAsia="仿宋_GB2312"/>
                <w:sz w:val="22"/>
                <w:szCs w:val="22"/>
              </w:rPr>
            </w:pPr>
            <w:r>
              <w:rPr>
                <w:rFonts w:hint="eastAsia"/>
                <w:sz w:val="22"/>
                <w:szCs w:val="22"/>
              </w:rPr>
              <w:t>全自动细胞形态分析仪（</w:t>
            </w:r>
            <w:r>
              <w:rPr>
                <w:sz w:val="22"/>
                <w:szCs w:val="22"/>
              </w:rPr>
              <w:t>DI-60</w:t>
            </w:r>
            <w:r>
              <w:rPr>
                <w:rFonts w:hint="eastAsia"/>
                <w:sz w:val="22"/>
                <w:szCs w:val="22"/>
              </w:rPr>
              <w:t>）年保项目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kern w:val="0"/>
                <w:sz w:val="22"/>
                <w:szCs w:val="22"/>
              </w:rPr>
            </w:pPr>
            <w:r>
              <w:rPr>
                <w:rFonts w:hint="eastAsia" w:ascii="宋体" w:hAnsi="宋体"/>
                <w:kern w:val="0"/>
                <w:sz w:val="22"/>
                <w:szCs w:val="22"/>
              </w:rPr>
              <w:t>用途</w:t>
            </w:r>
          </w:p>
        </w:tc>
        <w:tc>
          <w:tcPr>
            <w:tcW w:w="7750" w:type="dxa"/>
            <w:gridSpan w:val="2"/>
            <w:tcBorders>
              <w:top w:val="single" w:color="auto" w:sz="4" w:space="0"/>
              <w:left w:val="single" w:color="auto" w:sz="4" w:space="0"/>
              <w:bottom w:val="single" w:color="auto" w:sz="4" w:space="0"/>
              <w:right w:val="single" w:color="auto" w:sz="4" w:space="0"/>
            </w:tcBorders>
          </w:tcPr>
          <w:p>
            <w:pPr>
              <w:spacing w:after="78"/>
              <w:rPr>
                <w:rFonts w:ascii="宋体" w:hAnsi="宋体"/>
                <w:kern w:val="0"/>
                <w:sz w:val="22"/>
                <w:szCs w:val="22"/>
              </w:rPr>
            </w:pPr>
            <w:r>
              <w:rPr>
                <w:rFonts w:hint="eastAsia"/>
                <w:sz w:val="22"/>
                <w:szCs w:val="22"/>
              </w:rPr>
              <w:t>希森美康全自动细胞形态分析仪（</w:t>
            </w:r>
            <w:r>
              <w:rPr>
                <w:sz w:val="22"/>
                <w:szCs w:val="22"/>
              </w:rPr>
              <w:t>DI-60</w:t>
            </w:r>
            <w:r>
              <w:rPr>
                <w:rFonts w:hint="eastAsia"/>
                <w:sz w:val="22"/>
                <w:szCs w:val="22"/>
              </w:rPr>
              <w:t>）年保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kern w:val="0"/>
                <w:sz w:val="22"/>
                <w:szCs w:val="22"/>
              </w:rPr>
            </w:pPr>
            <w:r>
              <w:rPr>
                <w:rFonts w:hint="eastAsia" w:ascii="宋体" w:hAnsi="宋体"/>
                <w:kern w:val="0"/>
                <w:sz w:val="22"/>
                <w:szCs w:val="22"/>
              </w:rPr>
              <w:t>保修内容</w:t>
            </w:r>
          </w:p>
        </w:tc>
        <w:tc>
          <w:tcPr>
            <w:tcW w:w="7750" w:type="dxa"/>
            <w:gridSpan w:val="2"/>
            <w:tcBorders>
              <w:top w:val="single" w:color="auto" w:sz="4" w:space="0"/>
              <w:left w:val="single" w:color="auto" w:sz="4" w:space="0"/>
              <w:bottom w:val="single" w:color="auto" w:sz="4" w:space="0"/>
              <w:right w:val="single" w:color="auto" w:sz="4" w:space="0"/>
            </w:tcBorders>
          </w:tcPr>
          <w:p>
            <w:pPr>
              <w:numPr>
                <w:ilvl w:val="0"/>
                <w:numId w:val="1"/>
              </w:numPr>
              <w:spacing w:after="78"/>
              <w:rPr>
                <w:sz w:val="22"/>
                <w:szCs w:val="22"/>
              </w:rPr>
            </w:pPr>
            <w:r>
              <w:rPr>
                <w:rFonts w:hint="eastAsia"/>
                <w:sz w:val="22"/>
                <w:szCs w:val="22"/>
              </w:rPr>
              <w:t>内容包括：</w:t>
            </w:r>
            <w:r>
              <w:rPr>
                <w:sz w:val="22"/>
                <w:szCs w:val="22"/>
              </w:rPr>
              <w:t>4</w:t>
            </w:r>
            <w:r>
              <w:rPr>
                <w:rFonts w:hint="eastAsia"/>
                <w:sz w:val="22"/>
                <w:szCs w:val="22"/>
              </w:rPr>
              <w:t>次初级保养，</w:t>
            </w:r>
            <w:r>
              <w:rPr>
                <w:sz w:val="22"/>
                <w:szCs w:val="22"/>
              </w:rPr>
              <w:t>1</w:t>
            </w:r>
            <w:r>
              <w:rPr>
                <w:rFonts w:hint="eastAsia"/>
                <w:sz w:val="22"/>
                <w:szCs w:val="22"/>
              </w:rPr>
              <w:t>次大保养，不限次数维修，维修不含配件。</w:t>
            </w:r>
          </w:p>
          <w:p>
            <w:pPr>
              <w:numPr>
                <w:ilvl w:val="0"/>
                <w:numId w:val="1"/>
              </w:numPr>
              <w:spacing w:after="78"/>
              <w:rPr>
                <w:sz w:val="22"/>
                <w:szCs w:val="22"/>
              </w:rPr>
            </w:pPr>
            <w:r>
              <w:rPr>
                <w:rFonts w:hint="eastAsia"/>
                <w:sz w:val="22"/>
                <w:szCs w:val="22"/>
              </w:rPr>
              <w:t>合同期：1年。</w:t>
            </w:r>
          </w:p>
          <w:p>
            <w:pPr>
              <w:spacing w:after="78"/>
              <w:ind w:left="72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4"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bCs/>
                <w:color w:val="000000"/>
                <w:sz w:val="22"/>
                <w:szCs w:val="22"/>
              </w:rPr>
            </w:pPr>
            <w:r>
              <w:rPr>
                <w:rFonts w:hint="eastAsia" w:ascii="宋体" w:hAnsi="宋体"/>
                <w:color w:val="000000"/>
                <w:kern w:val="0"/>
                <w:sz w:val="22"/>
                <w:szCs w:val="22"/>
              </w:rPr>
              <w:t>商务参数</w:t>
            </w:r>
          </w:p>
        </w:tc>
        <w:tc>
          <w:tcPr>
            <w:tcW w:w="7750" w:type="dxa"/>
            <w:gridSpan w:val="2"/>
            <w:tcBorders>
              <w:top w:val="single" w:color="auto" w:sz="4" w:space="0"/>
              <w:left w:val="single" w:color="auto" w:sz="4" w:space="0"/>
              <w:bottom w:val="single" w:color="auto" w:sz="4" w:space="0"/>
              <w:right w:val="single" w:color="auto" w:sz="4" w:space="0"/>
            </w:tcBorders>
          </w:tcPr>
          <w:tbl>
            <w:tblPr>
              <w:tblStyle w:val="11"/>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p>
                  <w:pPr>
                    <w:spacing w:line="480" w:lineRule="auto"/>
                    <w:ind w:left="587" w:leftChars="192" w:hanging="184" w:hangingChars="88"/>
                    <w:contextualSpacing/>
                    <w:rPr>
                      <w:rFonts w:ascii="宋体" w:hAnsi="宋体"/>
                    </w:rPr>
                  </w:pPr>
                  <w:r>
                    <w:rPr>
                      <w:rFonts w:hint="eastAsia" w:ascii="宋体" w:hAnsi="宋体"/>
                    </w:rPr>
                    <w:t>1、</w:t>
                  </w:r>
                  <w:r>
                    <w:rPr>
                      <w:rFonts w:ascii="宋体" w:hAnsi="宋体"/>
                    </w:rPr>
                    <w:t>服务期限内，在接到客户电话后</w:t>
                  </w:r>
                  <w:r>
                    <w:rPr>
                      <w:rFonts w:hint="eastAsia" w:ascii="宋体" w:hAnsi="宋体"/>
                    </w:rPr>
                    <w:t>2分钟</w:t>
                  </w:r>
                  <w:r>
                    <w:rPr>
                      <w:rFonts w:ascii="宋体" w:hAnsi="宋体"/>
                    </w:rPr>
                    <w:t>内响应，</w:t>
                  </w:r>
                  <w:r>
                    <w:rPr>
                      <w:rFonts w:hint="eastAsia" w:ascii="宋体" w:hAnsi="宋体"/>
                    </w:rPr>
                    <w:t>要求用A</w:t>
                  </w:r>
                  <w:r>
                    <w:rPr>
                      <w:rFonts w:ascii="宋体" w:hAnsi="宋体"/>
                    </w:rPr>
                    <w:t>PP</w:t>
                  </w:r>
                  <w:r>
                    <w:rPr>
                      <w:rFonts w:hint="eastAsia" w:ascii="宋体" w:hAnsi="宋体"/>
                    </w:rPr>
                    <w:t>或电话联系报修人员，4小时候</w:t>
                  </w:r>
                  <w:r>
                    <w:rPr>
                      <w:rFonts w:ascii="宋体" w:hAnsi="宋体"/>
                    </w:rPr>
                    <w:t>内到达仪器所在地，进行服务</w:t>
                  </w:r>
                  <w:r>
                    <w:rPr>
                      <w:rFonts w:hint="eastAsia" w:ascii="宋体" w:hAnsi="宋体"/>
                    </w:rPr>
                    <w:t>（包括维修或应用问题技术支持）</w:t>
                  </w:r>
                  <w:r>
                    <w:rPr>
                      <w:rFonts w:ascii="宋体" w:hAnsi="宋体"/>
                    </w:rPr>
                    <w:t>。本项服务在服务期限内不限次数。</w:t>
                  </w:r>
                  <w:r>
                    <w:rPr>
                      <w:rFonts w:hint="eastAsia" w:ascii="宋体" w:hAnsi="宋体"/>
                    </w:rPr>
                    <w:t>无论在何种情况下，服务费金额均不会根据服务次数的最终实施数量而进行调整。</w:t>
                  </w:r>
                </w:p>
                <w:p>
                  <w:pPr>
                    <w:spacing w:line="480" w:lineRule="auto"/>
                    <w:ind w:left="587" w:leftChars="192" w:hanging="184" w:hangingChars="88"/>
                    <w:contextualSpacing/>
                    <w:rPr>
                      <w:rFonts w:ascii="宋体" w:hAnsi="宋体"/>
                    </w:rPr>
                  </w:pPr>
                  <w:r>
                    <w:rPr>
                      <w:rFonts w:hint="eastAsia" w:ascii="宋体" w:hAnsi="宋体"/>
                    </w:rPr>
                    <w:t>2、</w:t>
                  </w:r>
                  <w:r>
                    <w:rPr>
                      <w:rFonts w:ascii="宋体" w:hAnsi="宋体"/>
                    </w:rPr>
                    <w:t>在服务期内提供</w:t>
                  </w:r>
                  <w:r>
                    <w:rPr>
                      <w:rFonts w:hint="eastAsia" w:ascii="宋体" w:hAnsi="宋体"/>
                    </w:rPr>
                    <w:t>一次软件升级（高级红细胞应用）。 升级后可对异常红细胞进行形态分级和分类，预分类21类红细胞形态，分类显示并提供参考细胞库，供临床报告异常红细胞类型和百分比。</w:t>
                  </w:r>
                </w:p>
              </w:tc>
            </w:tr>
            <w:tr>
              <w:tblPrEx>
                <w:tblCellMar>
                  <w:top w:w="0" w:type="dxa"/>
                  <w:left w:w="108" w:type="dxa"/>
                  <w:bottom w:w="0" w:type="dxa"/>
                  <w:right w:w="108" w:type="dxa"/>
                </w:tblCellMar>
              </w:tblPrEx>
              <w:trPr>
                <w:trHeight w:val="90" w:hRule="atLeast"/>
                <w:jc w:val="center"/>
              </w:trPr>
              <w:tc>
                <w:tcPr>
                  <w:tcW w:w="7766" w:type="dxa"/>
                </w:tcPr>
                <w:p>
                  <w:pPr>
                    <w:spacing w:line="480" w:lineRule="auto"/>
                    <w:contextualSpacing/>
                    <w:rPr>
                      <w:rFonts w:ascii="宋体" w:hAnsi="宋体"/>
                    </w:rPr>
                  </w:pPr>
                </w:p>
              </w:tc>
            </w:tr>
            <w:tr>
              <w:tblPrEx>
                <w:tblCellMar>
                  <w:top w:w="0" w:type="dxa"/>
                  <w:left w:w="108" w:type="dxa"/>
                  <w:bottom w:w="0" w:type="dxa"/>
                  <w:right w:w="108" w:type="dxa"/>
                </w:tblCellMar>
              </w:tblPrEx>
              <w:trPr>
                <w:trHeight w:val="1363" w:hRule="atLeast"/>
                <w:jc w:val="center"/>
              </w:trPr>
              <w:tc>
                <w:tcPr>
                  <w:tcW w:w="7766" w:type="dxa"/>
                </w:tcPr>
                <w:p>
                  <w:pPr>
                    <w:spacing w:line="480" w:lineRule="auto"/>
                    <w:ind w:left="275" w:leftChars="131"/>
                    <w:contextualSpacing/>
                    <w:rPr>
                      <w:rFonts w:ascii="宋体" w:hAnsi="宋体"/>
                    </w:rPr>
                  </w:pPr>
                  <w:r>
                    <w:rPr>
                      <w:rFonts w:hint="eastAsia" w:ascii="宋体" w:hAnsi="宋体"/>
                    </w:rPr>
                    <w:t>3、工程师24小时开机，为用户提供快速诊断和技术支持服务，必要时提供远程诊断服务。</w:t>
                  </w:r>
                </w:p>
              </w:tc>
            </w:tr>
          </w:tbl>
          <w:p>
            <w:pPr>
              <w:snapToGrid w:val="0"/>
              <w:spacing w:after="78"/>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495" w:type="dxa"/>
            <w:tcBorders>
              <w:top w:val="single" w:color="auto" w:sz="4" w:space="0"/>
              <w:left w:val="single" w:color="auto" w:sz="4" w:space="0"/>
              <w:bottom w:val="single" w:color="auto" w:sz="4" w:space="0"/>
              <w:right w:val="single" w:color="auto" w:sz="4" w:space="0"/>
            </w:tcBorders>
          </w:tcPr>
          <w:p>
            <w:pPr>
              <w:pStyle w:val="37"/>
              <w:rPr>
                <w:rFonts w:ascii="宋体" w:hAnsi="宋体" w:eastAsia="宋体" w:cs="Times New Roman"/>
                <w:kern w:val="2"/>
                <w:sz w:val="21"/>
                <w:szCs w:val="20"/>
                <w:lang w:val="en-AU"/>
              </w:rPr>
            </w:pPr>
          </w:p>
        </w:tc>
        <w:tc>
          <w:tcPr>
            <w:tcW w:w="7255" w:type="dxa"/>
            <w:tcBorders>
              <w:top w:val="single" w:color="auto" w:sz="4" w:space="0"/>
              <w:left w:val="single" w:color="auto" w:sz="4" w:space="0"/>
              <w:bottom w:val="single" w:color="auto" w:sz="4" w:space="0"/>
              <w:right w:val="single" w:color="auto" w:sz="4" w:space="0"/>
            </w:tcBorders>
          </w:tcPr>
          <w:p>
            <w:pPr>
              <w:tabs>
                <w:tab w:val="left" w:pos="-720"/>
              </w:tabs>
              <w:suppressAutoHyphens/>
              <w:spacing w:before="100" w:beforeAutospacing="1" w:after="100" w:afterAutospacing="1" w:line="360" w:lineRule="auto"/>
              <w:rPr>
                <w:rFonts w:asciiTheme="minorEastAsia" w:hAnsiTheme="minorEastAsia" w:eastAsiaTheme="minorEastAsia"/>
                <w:b/>
                <w:color w:val="000000"/>
                <w:spacing w:val="-2"/>
                <w:sz w:val="22"/>
                <w:szCs w:val="22"/>
                <w:lang w:val="en-AU"/>
              </w:rPr>
            </w:pPr>
            <w:r>
              <w:rPr>
                <w:rFonts w:asciiTheme="minorEastAsia" w:hAnsiTheme="minorEastAsia" w:eastAsiaTheme="minorEastAsia"/>
                <w:b/>
                <w:color w:val="000000"/>
                <w:sz w:val="22"/>
                <w:szCs w:val="22"/>
              </w:rPr>
              <w:t>DI</w:t>
            </w:r>
            <w:r>
              <w:rPr>
                <w:rFonts w:hint="eastAsia" w:asciiTheme="minorEastAsia" w:hAnsiTheme="minorEastAsia" w:eastAsiaTheme="minorEastAsia"/>
                <w:b/>
                <w:color w:val="000000"/>
                <w:sz w:val="22"/>
                <w:szCs w:val="22"/>
              </w:rPr>
              <w:t>-60</w:t>
            </w:r>
            <w:r>
              <w:rPr>
                <w:rFonts w:hint="eastAsia" w:cs="微软雅黑" w:asciiTheme="minorEastAsia" w:hAnsiTheme="minorEastAsia" w:eastAsiaTheme="minorEastAsia"/>
                <w:b/>
                <w:bCs/>
                <w:color w:val="000000"/>
                <w:sz w:val="22"/>
                <w:szCs w:val="22"/>
              </w:rPr>
              <w:t>年保</w:t>
            </w:r>
            <w:r>
              <w:rPr>
                <w:rFonts w:hint="eastAsia" w:asciiTheme="minorEastAsia" w:hAnsiTheme="minorEastAsia" w:eastAsiaTheme="minorEastAsia"/>
                <w:b/>
                <w:color w:val="000000"/>
                <w:spacing w:val="-2"/>
                <w:sz w:val="22"/>
                <w:szCs w:val="22"/>
                <w:lang w:val="en-AU"/>
              </w:rPr>
              <w:t>要求：</w:t>
            </w:r>
          </w:p>
          <w:p>
            <w:pPr>
              <w:tabs>
                <w:tab w:val="left" w:pos="-720"/>
              </w:tabs>
              <w:suppressAutoHyphens/>
              <w:spacing w:before="100" w:beforeAutospacing="1" w:after="100" w:afterAutospacing="1" w:line="360" w:lineRule="auto"/>
              <w:rPr>
                <w:rFonts w:asciiTheme="minorEastAsia" w:hAnsiTheme="minorEastAsia" w:eastAsiaTheme="minorEastAsia"/>
                <w:b/>
                <w:color w:val="000000"/>
                <w:spacing w:val="-2"/>
                <w:sz w:val="22"/>
                <w:szCs w:val="22"/>
                <w:lang w:val="en-AU"/>
              </w:rPr>
            </w:pPr>
            <w:r>
              <w:rPr>
                <w:rFonts w:hint="eastAsia" w:asciiTheme="minorEastAsia" w:hAnsiTheme="minorEastAsia" w:eastAsiaTheme="minorEastAsia"/>
                <w:b/>
                <w:color w:val="000000"/>
                <w:spacing w:val="-2"/>
                <w:sz w:val="22"/>
                <w:szCs w:val="22"/>
                <w:lang w:val="en-AU"/>
              </w:rPr>
              <w:t>一、初级保养要求：</w:t>
            </w:r>
          </w:p>
          <w:p>
            <w:pPr>
              <w:autoSpaceDE w:val="0"/>
              <w:autoSpaceDN w:val="0"/>
              <w:adjustRightInd w:val="0"/>
              <w:spacing w:before="312" w:beforeAutospacing="1" w:after="100" w:afterAutospacing="1" w:line="360" w:lineRule="auto"/>
              <w:jc w:val="left"/>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1、仪器工作环境的检查：</w:t>
            </w:r>
          </w:p>
          <w:p>
            <w:pPr>
              <w:tabs>
                <w:tab w:val="left" w:pos="312"/>
              </w:tabs>
              <w:autoSpaceDE w:val="0"/>
              <w:autoSpaceDN w:val="0"/>
              <w:adjustRightInd w:val="0"/>
              <w:spacing w:before="100" w:beforeAutospacing="1" w:after="100" w:afterAutospacing="1" w:line="360" w:lineRule="auto"/>
              <w:jc w:val="left"/>
              <w:rPr>
                <w:rFonts w:asciiTheme="minorEastAsia" w:hAnsiTheme="minorEastAsia" w:eastAsiaTheme="minorEastAsia"/>
                <w:sz w:val="22"/>
                <w:szCs w:val="22"/>
              </w:rPr>
            </w:pPr>
            <w:r>
              <w:rPr>
                <w:rFonts w:hint="eastAsia" w:asciiTheme="minorEastAsia" w:hAnsiTheme="minorEastAsia" w:eastAsiaTheme="minorEastAsia"/>
                <w:sz w:val="22"/>
                <w:szCs w:val="22"/>
              </w:rPr>
              <w:t>1.1检查仪器电源电压要求是否在</w:t>
            </w:r>
            <w:r>
              <w:rPr>
                <w:rFonts w:asciiTheme="minorEastAsia" w:hAnsiTheme="minorEastAsia" w:eastAsiaTheme="minorEastAsia"/>
                <w:sz w:val="22"/>
                <w:szCs w:val="22"/>
              </w:rPr>
              <w:t>100-240V</w:t>
            </w:r>
            <w:r>
              <w:rPr>
                <w:rFonts w:hint="eastAsia" w:asciiTheme="minorEastAsia" w:hAnsiTheme="minorEastAsia" w:eastAsiaTheme="minorEastAsia"/>
                <w:sz w:val="22"/>
                <w:szCs w:val="22"/>
              </w:rPr>
              <w:t>范围内</w:t>
            </w:r>
          </w:p>
          <w:p>
            <w:pPr>
              <w:tabs>
                <w:tab w:val="left" w:pos="312"/>
              </w:tabs>
              <w:autoSpaceDE w:val="0"/>
              <w:autoSpaceDN w:val="0"/>
              <w:adjustRightInd w:val="0"/>
              <w:spacing w:before="100" w:beforeAutospacing="1" w:after="100" w:afterAutospacing="1" w:line="360" w:lineRule="auto"/>
              <w:jc w:val="left"/>
              <w:rPr>
                <w:rFonts w:asciiTheme="minorEastAsia" w:hAnsiTheme="minorEastAsia" w:eastAsiaTheme="minorEastAsia"/>
                <w:bCs/>
                <w:sz w:val="22"/>
                <w:szCs w:val="22"/>
              </w:rPr>
            </w:pPr>
            <w:r>
              <w:rPr>
                <w:rFonts w:hint="eastAsia" w:asciiTheme="minorEastAsia" w:hAnsiTheme="minorEastAsia" w:eastAsiaTheme="minorEastAsia"/>
                <w:sz w:val="22"/>
                <w:szCs w:val="22"/>
              </w:rPr>
              <w:t>1.2检查仪器工作环境的温度、湿度</w:t>
            </w:r>
          </w:p>
          <w:p>
            <w:pPr>
              <w:tabs>
                <w:tab w:val="left" w:pos="312"/>
              </w:tabs>
              <w:autoSpaceDE w:val="0"/>
              <w:autoSpaceDN w:val="0"/>
              <w:adjustRightInd w:val="0"/>
              <w:spacing w:before="100" w:beforeAutospacing="1" w:after="100" w:afterAutospacing="1" w:line="360" w:lineRule="auto"/>
              <w:jc w:val="left"/>
              <w:rPr>
                <w:rFonts w:asciiTheme="minorEastAsia" w:hAnsiTheme="minorEastAsia" w:eastAsiaTheme="minorEastAsia"/>
                <w:bCs/>
                <w:sz w:val="22"/>
                <w:szCs w:val="22"/>
              </w:rPr>
            </w:pPr>
            <w:r>
              <w:rPr>
                <w:rFonts w:hint="eastAsia" w:asciiTheme="minorEastAsia" w:hAnsiTheme="minorEastAsia" w:eastAsiaTheme="minorEastAsia"/>
                <w:b/>
                <w:sz w:val="22"/>
                <w:szCs w:val="22"/>
              </w:rPr>
              <w:t>2、</w:t>
            </w:r>
            <w:r>
              <w:rPr>
                <w:rFonts w:hint="eastAsia" w:asciiTheme="minorEastAsia" w:hAnsiTheme="minorEastAsia" w:eastAsiaTheme="minorEastAsia"/>
                <w:b/>
                <w:bCs/>
                <w:sz w:val="22"/>
                <w:szCs w:val="22"/>
              </w:rPr>
              <w:t>仪器</w:t>
            </w:r>
            <w:r>
              <w:rPr>
                <w:rFonts w:hint="eastAsia" w:asciiTheme="minorEastAsia" w:hAnsiTheme="minorEastAsia" w:eastAsiaTheme="minorEastAsia"/>
                <w:b/>
                <w:sz w:val="22"/>
                <w:szCs w:val="22"/>
              </w:rPr>
              <w:t>整体性能、</w:t>
            </w:r>
            <w:r>
              <w:rPr>
                <w:rFonts w:hint="eastAsia" w:asciiTheme="minorEastAsia" w:hAnsiTheme="minorEastAsia" w:eastAsiaTheme="minorEastAsia"/>
                <w:b/>
                <w:bCs/>
                <w:sz w:val="22"/>
                <w:szCs w:val="22"/>
              </w:rPr>
              <w:t>工作状态的检查：</w:t>
            </w:r>
            <w:r>
              <w:rPr>
                <w:rFonts w:hint="eastAsia" w:asciiTheme="minorEastAsia" w:hAnsiTheme="minorEastAsia" w:eastAsiaTheme="minorEastAsia"/>
                <w:bCs/>
                <w:sz w:val="22"/>
                <w:szCs w:val="22"/>
              </w:rPr>
              <w:t>包括电路、光路、各机械部件检查</w:t>
            </w:r>
          </w:p>
          <w:p>
            <w:pPr>
              <w:spacing w:before="100" w:beforeAutospacing="1" w:after="100" w:afterAutospacing="1"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3、仪器重要检测部件的检查：</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3.1光学系统的定标和测定</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3.2显微镜转轮的定位重复性测定</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3.3照相机的实时检测</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b/>
                <w:sz w:val="22"/>
                <w:szCs w:val="22"/>
              </w:rPr>
              <w:t>4、</w:t>
            </w:r>
            <w:r>
              <w:rPr>
                <w:rFonts w:asciiTheme="minorEastAsia" w:hAnsiTheme="minorEastAsia" w:eastAsiaTheme="minorEastAsia"/>
                <w:b/>
                <w:sz w:val="22"/>
                <w:szCs w:val="22"/>
              </w:rPr>
              <w:t>试验数据</w:t>
            </w:r>
            <w:r>
              <w:rPr>
                <w:rFonts w:hint="eastAsia" w:asciiTheme="minorEastAsia" w:hAnsiTheme="minorEastAsia" w:eastAsiaTheme="minorEastAsia"/>
                <w:b/>
                <w:sz w:val="22"/>
                <w:szCs w:val="22"/>
              </w:rPr>
              <w:t>检查：</w:t>
            </w:r>
            <w:r>
              <w:rPr>
                <w:rFonts w:hint="eastAsia" w:asciiTheme="minorEastAsia" w:hAnsiTheme="minorEastAsia" w:eastAsiaTheme="minorEastAsia"/>
                <w:sz w:val="22"/>
                <w:szCs w:val="22"/>
              </w:rPr>
              <w:t>细胞定位测试（QC）</w:t>
            </w:r>
          </w:p>
          <w:p>
            <w:pPr>
              <w:spacing w:before="100" w:beforeAutospacing="1" w:after="100" w:afterAutospacing="1"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5、轨道CF-60检测：</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5.1 CF-60传感器状态确认</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5.2 CF/DI位置确认</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5.3 CF-60抓手状态确认</w:t>
            </w:r>
          </w:p>
          <w:p>
            <w:pPr>
              <w:spacing w:before="100" w:beforeAutospacing="1" w:after="100" w:afterAutospacing="1"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5.4 CF-60轨道皮带确认</w:t>
            </w:r>
          </w:p>
          <w:p>
            <w:pPr>
              <w:spacing w:before="100" w:beforeAutospacing="1" w:after="100" w:afterAutospacing="1"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二、大保养要求</w:t>
            </w:r>
          </w:p>
          <w:p>
            <w:pPr>
              <w:spacing w:before="100" w:beforeAutospacing="1" w:after="100" w:afterAutospacing="1" w:line="360" w:lineRule="auto"/>
              <w:rPr>
                <w:sz w:val="22"/>
                <w:szCs w:val="22"/>
              </w:rPr>
            </w:pPr>
            <w:r>
              <w:rPr>
                <w:rFonts w:hint="eastAsia" w:asciiTheme="minorEastAsia" w:hAnsiTheme="minorEastAsia" w:eastAsiaTheme="minorEastAsia"/>
                <w:sz w:val="22"/>
                <w:szCs w:val="22"/>
              </w:rPr>
              <w:t>除上述初级保养外，升级一次软件，增加高级红细胞应用模块。</w:t>
            </w: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22" w:name="_GoBack"/>
      <w:bookmarkEnd w:id="22"/>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8240;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ZAHftcA&#10;AAAKAQAADwAAAAAAAAABACAAAAAiAAAAZHJzL2Rvd25yZXYueG1sUEsBAhQAFAAAAAgAh07iQDHK&#10;0nIgAgAAOwQAAA4AAAAAAAAAAQAgAAAAJgEAAGRycy9lMm9Eb2MueG1sUEsFBgAAAAAGAAYAWQEA&#10;ALg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59264;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wtR&#10;MdoAAAALAQAADwAAAAAAAAABACAAAAAiAAAAZHJzL2Rvd25yZXYueG1sUEsBAhQAFAAAAAgAh07i&#10;QNJewz4gAgAAOwQAAA4AAAAAAAAAAQAgAAAAKQ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0288;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Z6&#10;GBHZAAAACgEAAA8AAAAAAAAAAQAgAAAAIgAAAGRycy9kb3ducmV2LnhtbFBLAQIUABQAAAAIAIdO&#10;4kArAPmYIgIAADsEAAAOAAAAAAAAAAEAIAAAACgBAABkcnMvZTJvRG9jLnhtbFBLBQYAAAAABgAG&#10;AFkBAAC8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1312;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qqi&#10;kdcAAAAJAQAADwAAAAAAAAABACAAAAAiAAAAZHJzL2Rvd25yZXYueG1sUEsBAhQAFAAAAAgAh07i&#10;QMo9CTgjAgAAOwQAAA4AAAAAAAAAAQAgAAAAJgEAAGRycy9lMm9Eb2MueG1sUEsFBgAAAAAGAAYA&#10;WQEAALs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47462F"/>
    <w:multiLevelType w:val="multilevel"/>
    <w:tmpl w:val="2947462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2076E1"/>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3"/>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2020-06-11T00:08:00Z</cp:lastPrinted>
  <dcterms:modified xsi:type="dcterms:W3CDTF">2020-08-03T08:06:13Z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