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C90" w:rsidRDefault="00AC5ED2">
      <w:pPr>
        <w:jc w:val="left"/>
        <w:rPr>
          <w:rFonts w:ascii="宋体" w:hAnsi="宋体" w:cs="宋体"/>
          <w:b/>
          <w:bCs/>
          <w:kern w:val="0"/>
          <w:sz w:val="24"/>
        </w:rPr>
      </w:pPr>
      <w:r>
        <w:rPr>
          <w:rFonts w:ascii="宋体" w:hAnsi="宋体" w:cs="宋体" w:hint="eastAsia"/>
          <w:b/>
          <w:bCs/>
          <w:kern w:val="0"/>
          <w:sz w:val="24"/>
        </w:rPr>
        <w:t>参数</w:t>
      </w:r>
      <w:bookmarkStart w:id="0" w:name="_GoBack"/>
      <w:bookmarkEnd w:id="0"/>
    </w:p>
    <w:tbl>
      <w:tblPr>
        <w:tblW w:w="98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6480"/>
      </w:tblGrid>
      <w:tr w:rsidR="00CB0C90" w:rsidTr="00AD048A">
        <w:trPr>
          <w:trHeight w:val="494"/>
        </w:trPr>
        <w:tc>
          <w:tcPr>
            <w:tcW w:w="710" w:type="dxa"/>
            <w:vAlign w:val="center"/>
          </w:tcPr>
          <w:p w:rsidR="00CB0C90" w:rsidRDefault="00AC5ED2">
            <w:pPr>
              <w:jc w:val="center"/>
              <w:rPr>
                <w:rFonts w:ascii="Times New Roman" w:hAnsi="Times New Roman"/>
                <w:szCs w:val="21"/>
              </w:rPr>
            </w:pPr>
            <w:r>
              <w:rPr>
                <w:rFonts w:ascii="Times New Roman" w:hAnsi="Times New Roman" w:hint="eastAsia"/>
                <w:szCs w:val="21"/>
              </w:rPr>
              <w:t>序号</w:t>
            </w:r>
          </w:p>
        </w:tc>
        <w:tc>
          <w:tcPr>
            <w:tcW w:w="2693" w:type="dxa"/>
            <w:vAlign w:val="center"/>
          </w:tcPr>
          <w:p w:rsidR="00CB0C90" w:rsidRDefault="00AC5ED2">
            <w:pPr>
              <w:widowControl/>
              <w:jc w:val="center"/>
              <w:rPr>
                <w:rFonts w:ascii="Times New Roman" w:hAnsi="Times New Roman"/>
                <w:szCs w:val="21"/>
              </w:rPr>
            </w:pPr>
            <w:r>
              <w:rPr>
                <w:rFonts w:ascii="Times New Roman" w:hAnsi="Times New Roman" w:hint="eastAsia"/>
                <w:szCs w:val="21"/>
              </w:rPr>
              <w:t>货物名称</w:t>
            </w:r>
          </w:p>
        </w:tc>
        <w:tc>
          <w:tcPr>
            <w:tcW w:w="6480" w:type="dxa"/>
            <w:vAlign w:val="center"/>
          </w:tcPr>
          <w:p w:rsidR="00CB0C90" w:rsidRDefault="00AC5ED2">
            <w:pPr>
              <w:jc w:val="center"/>
              <w:rPr>
                <w:rFonts w:ascii="Times New Roman" w:hAnsi="Times New Roman"/>
                <w:szCs w:val="21"/>
              </w:rPr>
            </w:pPr>
            <w:r>
              <w:rPr>
                <w:rFonts w:ascii="Times New Roman" w:hAnsi="Times New Roman" w:hint="eastAsia"/>
                <w:szCs w:val="21"/>
              </w:rPr>
              <w:t>招标技术要求</w:t>
            </w:r>
          </w:p>
        </w:tc>
      </w:tr>
      <w:tr w:rsidR="00CB0C90" w:rsidTr="00AD048A">
        <w:trPr>
          <w:trHeight w:val="474"/>
        </w:trPr>
        <w:tc>
          <w:tcPr>
            <w:tcW w:w="710" w:type="dxa"/>
            <w:vMerge w:val="restart"/>
            <w:vAlign w:val="center"/>
          </w:tcPr>
          <w:p w:rsidR="00CB0C90" w:rsidRDefault="00AC5ED2">
            <w:pPr>
              <w:jc w:val="center"/>
              <w:rPr>
                <w:rFonts w:ascii="Times New Roman" w:hAnsi="Times New Roman"/>
                <w:b/>
                <w:szCs w:val="21"/>
              </w:rPr>
            </w:pPr>
            <w:r>
              <w:rPr>
                <w:rFonts w:ascii="Times New Roman" w:hAnsi="Times New Roman" w:hint="eastAsia"/>
                <w:b/>
                <w:szCs w:val="21"/>
              </w:rPr>
              <w:t>1</w:t>
            </w:r>
          </w:p>
        </w:tc>
        <w:tc>
          <w:tcPr>
            <w:tcW w:w="2693" w:type="dxa"/>
            <w:vMerge w:val="restart"/>
            <w:vAlign w:val="center"/>
          </w:tcPr>
          <w:p w:rsidR="00CB0C90" w:rsidRDefault="00AC5ED2" w:rsidP="00AD048A">
            <w:pPr>
              <w:rPr>
                <w:sz w:val="22"/>
                <w:szCs w:val="28"/>
              </w:rPr>
            </w:pPr>
            <w:r>
              <w:rPr>
                <w:rFonts w:hint="eastAsia"/>
                <w:sz w:val="22"/>
                <w:szCs w:val="28"/>
              </w:rPr>
              <w:t>一次性使用支气管堵塞器</w:t>
            </w:r>
          </w:p>
          <w:p w:rsidR="00CB0C90" w:rsidRPr="00AD048A" w:rsidRDefault="00AC5ED2" w:rsidP="00AD048A">
            <w:pPr>
              <w:rPr>
                <w:sz w:val="22"/>
                <w:szCs w:val="28"/>
              </w:rPr>
            </w:pPr>
            <w:r>
              <w:rPr>
                <w:rFonts w:hint="eastAsia"/>
                <w:sz w:val="22"/>
                <w:szCs w:val="28"/>
              </w:rPr>
              <w:t>型号：</w:t>
            </w:r>
            <w:r>
              <w:rPr>
                <w:rFonts w:hint="eastAsia"/>
                <w:sz w:val="22"/>
                <w:szCs w:val="28"/>
              </w:rPr>
              <w:t xml:space="preserve"> 5Fr</w:t>
            </w:r>
            <w:r>
              <w:rPr>
                <w:rFonts w:hint="eastAsia"/>
                <w:sz w:val="22"/>
                <w:szCs w:val="28"/>
              </w:rPr>
              <w:t>，</w:t>
            </w:r>
            <w:r>
              <w:rPr>
                <w:rFonts w:hint="eastAsia"/>
                <w:sz w:val="22"/>
                <w:szCs w:val="28"/>
              </w:rPr>
              <w:t>7Fr</w:t>
            </w:r>
            <w:r>
              <w:rPr>
                <w:rFonts w:hint="eastAsia"/>
                <w:sz w:val="22"/>
                <w:szCs w:val="28"/>
              </w:rPr>
              <w:t>，</w:t>
            </w:r>
            <w:r>
              <w:rPr>
                <w:rFonts w:hint="eastAsia"/>
                <w:sz w:val="22"/>
                <w:szCs w:val="28"/>
              </w:rPr>
              <w:t>9Fr</w:t>
            </w:r>
          </w:p>
        </w:tc>
        <w:tc>
          <w:tcPr>
            <w:tcW w:w="6480" w:type="dxa"/>
          </w:tcPr>
          <w:p w:rsidR="00CB0C90" w:rsidRDefault="00AC5ED2">
            <w:pPr>
              <w:rPr>
                <w:rFonts w:ascii="Times New Roman" w:hAnsi="Times New Roman"/>
                <w:b/>
                <w:szCs w:val="21"/>
              </w:rPr>
            </w:pPr>
            <w:r>
              <w:rPr>
                <w:rFonts w:hint="eastAsia"/>
                <w:sz w:val="22"/>
                <w:szCs w:val="28"/>
              </w:rPr>
              <w:t>1</w:t>
            </w:r>
            <w:r>
              <w:rPr>
                <w:rFonts w:hint="eastAsia"/>
                <w:sz w:val="22"/>
                <w:szCs w:val="28"/>
              </w:rPr>
              <w:t>、</w:t>
            </w:r>
            <w:r>
              <w:rPr>
                <w:rFonts w:hint="eastAsia"/>
                <w:sz w:val="22"/>
                <w:szCs w:val="28"/>
              </w:rPr>
              <w:t>PU</w:t>
            </w:r>
            <w:r>
              <w:rPr>
                <w:rFonts w:hint="eastAsia"/>
                <w:sz w:val="22"/>
                <w:szCs w:val="28"/>
              </w:rPr>
              <w:t>超薄球囊设计，超薄球囊为预塑型，高容量，低压力，对目标肺段的压迫损伤小。皱褶少，容易通过气管插管，封堵效果理想。不需要对球囊进行补气。</w:t>
            </w:r>
          </w:p>
        </w:tc>
      </w:tr>
      <w:tr w:rsidR="00CB0C90" w:rsidTr="00AD048A">
        <w:trPr>
          <w:trHeight w:val="474"/>
        </w:trPr>
        <w:tc>
          <w:tcPr>
            <w:tcW w:w="710" w:type="dxa"/>
            <w:vMerge/>
            <w:vAlign w:val="center"/>
          </w:tcPr>
          <w:p w:rsidR="00CB0C90" w:rsidRDefault="00CB0C90">
            <w:pPr>
              <w:jc w:val="center"/>
              <w:rPr>
                <w:rFonts w:ascii="Times New Roman" w:hAnsi="Times New Roman"/>
                <w:b/>
                <w:szCs w:val="21"/>
              </w:rPr>
            </w:pPr>
          </w:p>
        </w:tc>
        <w:tc>
          <w:tcPr>
            <w:tcW w:w="2693" w:type="dxa"/>
            <w:vMerge/>
          </w:tcPr>
          <w:p w:rsidR="00CB0C90" w:rsidRDefault="00CB0C90">
            <w:pPr>
              <w:rPr>
                <w:rFonts w:ascii="Times New Roman" w:hAnsi="Times New Roman"/>
                <w:b/>
                <w:szCs w:val="21"/>
              </w:rPr>
            </w:pPr>
          </w:p>
        </w:tc>
        <w:tc>
          <w:tcPr>
            <w:tcW w:w="6480" w:type="dxa"/>
          </w:tcPr>
          <w:p w:rsidR="00CB0C90" w:rsidRDefault="00AC5ED2">
            <w:pPr>
              <w:rPr>
                <w:sz w:val="22"/>
                <w:szCs w:val="28"/>
              </w:rPr>
            </w:pPr>
            <w:r>
              <w:rPr>
                <w:rFonts w:hint="eastAsia"/>
                <w:sz w:val="22"/>
                <w:szCs w:val="28"/>
              </w:rPr>
              <w:t>2</w:t>
            </w:r>
            <w:r>
              <w:rPr>
                <w:rFonts w:hint="eastAsia"/>
                <w:sz w:val="22"/>
                <w:szCs w:val="28"/>
              </w:rPr>
              <w:t>、多功能腔设计，操作方便，死腔量小；堵塞管旋盖固定，固定更牢靠；纤支镜入口盖帽柔软，纤支镜进出通畅，避免损伤。</w:t>
            </w:r>
          </w:p>
        </w:tc>
      </w:tr>
      <w:tr w:rsidR="00CB0C90" w:rsidTr="00AD048A">
        <w:trPr>
          <w:trHeight w:val="404"/>
        </w:trPr>
        <w:tc>
          <w:tcPr>
            <w:tcW w:w="710" w:type="dxa"/>
            <w:vMerge/>
            <w:vAlign w:val="center"/>
          </w:tcPr>
          <w:p w:rsidR="00CB0C90" w:rsidRDefault="00CB0C90">
            <w:pPr>
              <w:jc w:val="center"/>
              <w:rPr>
                <w:rFonts w:ascii="Times New Roman" w:hAnsi="Times New Roman"/>
                <w:b/>
                <w:szCs w:val="21"/>
              </w:rPr>
            </w:pPr>
          </w:p>
        </w:tc>
        <w:tc>
          <w:tcPr>
            <w:tcW w:w="2693" w:type="dxa"/>
            <w:vMerge/>
          </w:tcPr>
          <w:p w:rsidR="00CB0C90" w:rsidRDefault="00CB0C90">
            <w:pPr>
              <w:rPr>
                <w:rFonts w:ascii="Times New Roman" w:hAnsi="Times New Roman"/>
                <w:b/>
                <w:szCs w:val="21"/>
              </w:rPr>
            </w:pPr>
          </w:p>
        </w:tc>
        <w:tc>
          <w:tcPr>
            <w:tcW w:w="6480" w:type="dxa"/>
          </w:tcPr>
          <w:p w:rsidR="00CB0C90" w:rsidRPr="00AD048A" w:rsidRDefault="00AC5ED2">
            <w:pPr>
              <w:rPr>
                <w:sz w:val="22"/>
                <w:szCs w:val="28"/>
              </w:rPr>
            </w:pPr>
            <w:r>
              <w:rPr>
                <w:rFonts w:hint="eastAsia"/>
                <w:sz w:val="22"/>
                <w:szCs w:val="28"/>
              </w:rPr>
              <w:t>3</w:t>
            </w:r>
            <w:r>
              <w:rPr>
                <w:rFonts w:hint="eastAsia"/>
                <w:sz w:val="22"/>
                <w:szCs w:val="28"/>
              </w:rPr>
              <w:t>、头端弯角设计，管身较硬，可在纤支镜视野下选择左侧或者右侧。</w:t>
            </w:r>
          </w:p>
        </w:tc>
      </w:tr>
      <w:tr w:rsidR="00CB0C90" w:rsidTr="00AD048A">
        <w:trPr>
          <w:trHeight w:val="409"/>
        </w:trPr>
        <w:tc>
          <w:tcPr>
            <w:tcW w:w="710" w:type="dxa"/>
            <w:vMerge/>
            <w:vAlign w:val="center"/>
          </w:tcPr>
          <w:p w:rsidR="00CB0C90" w:rsidRDefault="00CB0C90">
            <w:pPr>
              <w:jc w:val="center"/>
              <w:rPr>
                <w:rFonts w:ascii="Times New Roman" w:hAnsi="Times New Roman"/>
                <w:b/>
                <w:szCs w:val="21"/>
              </w:rPr>
            </w:pPr>
          </w:p>
        </w:tc>
        <w:tc>
          <w:tcPr>
            <w:tcW w:w="2693" w:type="dxa"/>
            <w:vMerge/>
          </w:tcPr>
          <w:p w:rsidR="00CB0C90" w:rsidRDefault="00CB0C90">
            <w:pPr>
              <w:rPr>
                <w:rFonts w:ascii="Times New Roman" w:hAnsi="Times New Roman"/>
                <w:b/>
                <w:szCs w:val="21"/>
              </w:rPr>
            </w:pPr>
          </w:p>
        </w:tc>
        <w:tc>
          <w:tcPr>
            <w:tcW w:w="6480" w:type="dxa"/>
          </w:tcPr>
          <w:p w:rsidR="00CB0C90" w:rsidRPr="00AD048A" w:rsidRDefault="00AC5ED2">
            <w:pPr>
              <w:rPr>
                <w:sz w:val="22"/>
                <w:szCs w:val="28"/>
              </w:rPr>
            </w:pPr>
            <w:r>
              <w:rPr>
                <w:rFonts w:hint="eastAsia"/>
                <w:sz w:val="22"/>
                <w:szCs w:val="28"/>
              </w:rPr>
              <w:t>4</w:t>
            </w:r>
            <w:r>
              <w:rPr>
                <w:rFonts w:hint="eastAsia"/>
                <w:sz w:val="22"/>
                <w:szCs w:val="28"/>
              </w:rPr>
              <w:t>、配有无墨菲孔的气管插管，方便纤支镜和封堵器进出供医疗部门作胸科手术时实施单肺通气时一次性使用</w:t>
            </w:r>
          </w:p>
        </w:tc>
      </w:tr>
    </w:tbl>
    <w:p w:rsidR="00CB0C90" w:rsidRDefault="00CB0C90" w:rsidP="00AD048A">
      <w:pPr>
        <w:rPr>
          <w:rFonts w:ascii="宋体" w:hAnsi="宋体"/>
          <w:bCs/>
          <w:sz w:val="24"/>
        </w:rPr>
      </w:pPr>
    </w:p>
    <w:sectPr w:rsidR="00CB0C90">
      <w:pgSz w:w="11907" w:h="16840"/>
      <w:pgMar w:top="1134" w:right="1304" w:bottom="1134" w:left="1304"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831" w:rsidRDefault="003C6831" w:rsidP="00AD048A">
      <w:r>
        <w:separator/>
      </w:r>
    </w:p>
  </w:endnote>
  <w:endnote w:type="continuationSeparator" w:id="0">
    <w:p w:rsidR="003C6831" w:rsidRDefault="003C6831" w:rsidP="00AD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831" w:rsidRDefault="003C6831" w:rsidP="00AD048A">
      <w:r>
        <w:separator/>
      </w:r>
    </w:p>
  </w:footnote>
  <w:footnote w:type="continuationSeparator" w:id="0">
    <w:p w:rsidR="003C6831" w:rsidRDefault="003C6831" w:rsidP="00AD04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A5A"/>
    <w:multiLevelType w:val="multilevel"/>
    <w:tmpl w:val="24714A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2" w15:restartNumberingAfterBreak="0">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72"/>
    <w:rsid w:val="0001717B"/>
    <w:rsid w:val="000865FB"/>
    <w:rsid w:val="000D196D"/>
    <w:rsid w:val="001C020B"/>
    <w:rsid w:val="001D4F49"/>
    <w:rsid w:val="00203F52"/>
    <w:rsid w:val="002D4BC7"/>
    <w:rsid w:val="003C6831"/>
    <w:rsid w:val="00546B4C"/>
    <w:rsid w:val="005708F0"/>
    <w:rsid w:val="005B3A63"/>
    <w:rsid w:val="005E3E42"/>
    <w:rsid w:val="007C5B24"/>
    <w:rsid w:val="00816F83"/>
    <w:rsid w:val="008412B4"/>
    <w:rsid w:val="00912FAE"/>
    <w:rsid w:val="00917972"/>
    <w:rsid w:val="009B58B3"/>
    <w:rsid w:val="009B7588"/>
    <w:rsid w:val="009F6854"/>
    <w:rsid w:val="00AC5ED2"/>
    <w:rsid w:val="00AD048A"/>
    <w:rsid w:val="00B16D72"/>
    <w:rsid w:val="00B202D7"/>
    <w:rsid w:val="00B34EC8"/>
    <w:rsid w:val="00B703C8"/>
    <w:rsid w:val="00CB0C90"/>
    <w:rsid w:val="00CE5B0C"/>
    <w:rsid w:val="00D64BE1"/>
    <w:rsid w:val="00DB386B"/>
    <w:rsid w:val="00E9378D"/>
    <w:rsid w:val="00F90903"/>
    <w:rsid w:val="00F92D50"/>
    <w:rsid w:val="00FA07B8"/>
    <w:rsid w:val="063C618E"/>
    <w:rsid w:val="1A2C7DEE"/>
    <w:rsid w:val="1E5A403C"/>
    <w:rsid w:val="237625C7"/>
    <w:rsid w:val="269C2E17"/>
    <w:rsid w:val="26EE059E"/>
    <w:rsid w:val="288B5A00"/>
    <w:rsid w:val="47164442"/>
    <w:rsid w:val="54D57D13"/>
    <w:rsid w:val="5C926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9382B"/>
  <w15:docId w15:val="{8CC64C09-7CE0-45BD-99AB-FCCBD813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2020-10-12T03:04:00Z</cp:lastPrinted>
  <dcterms:created xsi:type="dcterms:W3CDTF">2020-10-19T13:28:00Z</dcterms:created>
  <dcterms:modified xsi:type="dcterms:W3CDTF">2020-10-19T13:28:00Z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