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A4" w:rsidRDefault="009775A4" w:rsidP="009775A4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最终参数</w:t>
      </w:r>
      <w:r>
        <w:rPr>
          <w:rFonts w:ascii="Times New Roman" w:hAnsi="Times New Roman" w:hint="eastAsia"/>
          <w:b/>
          <w:bCs/>
          <w:sz w:val="24"/>
        </w:rPr>
        <w:t>由相关职能部门汇总（在用试剂合同到期重新招标，参考现用试剂规格及参数要求）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5811"/>
      </w:tblGrid>
      <w:tr w:rsidR="009775A4" w:rsidTr="00274CB2">
        <w:trPr>
          <w:trHeight w:val="494"/>
        </w:trPr>
        <w:tc>
          <w:tcPr>
            <w:tcW w:w="568" w:type="dxa"/>
            <w:vAlign w:val="center"/>
          </w:tcPr>
          <w:p w:rsidR="009775A4" w:rsidRDefault="009775A4" w:rsidP="00274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:rsidR="009775A4" w:rsidRDefault="009775A4" w:rsidP="00274CB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试剂名称</w:t>
            </w:r>
          </w:p>
        </w:tc>
        <w:tc>
          <w:tcPr>
            <w:tcW w:w="5811" w:type="dxa"/>
            <w:vAlign w:val="center"/>
          </w:tcPr>
          <w:p w:rsidR="009775A4" w:rsidRDefault="009775A4" w:rsidP="00274C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招标技术要求</w:t>
            </w:r>
          </w:p>
        </w:tc>
      </w:tr>
      <w:tr w:rsidR="00B3402A" w:rsidTr="002118B0">
        <w:trPr>
          <w:trHeight w:val="941"/>
        </w:trPr>
        <w:tc>
          <w:tcPr>
            <w:tcW w:w="568" w:type="dxa"/>
            <w:vAlign w:val="center"/>
          </w:tcPr>
          <w:p w:rsidR="00B3402A" w:rsidRPr="00DD12EA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 (BCR-ABL定量)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试剂盒对各精密度质控品，在相应的反应液中重复做10次，均能检出，且其实验数据CV值均小于10%。</w:t>
            </w:r>
          </w:p>
        </w:tc>
      </w:tr>
      <w:tr w:rsidR="00B3402A" w:rsidTr="002118B0">
        <w:trPr>
          <w:trHeight w:val="1054"/>
        </w:trPr>
        <w:tc>
          <w:tcPr>
            <w:tcW w:w="568" w:type="dxa"/>
            <w:vAlign w:val="center"/>
          </w:tcPr>
          <w:p w:rsidR="00B3402A" w:rsidRPr="00DD12EA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 (AML1-ETO定量)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</w:t>
            </w:r>
            <w:bookmarkStart w:id="0" w:name="_GoBack"/>
            <w:bookmarkEnd w:id="0"/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，在相应的反应液中重复做10次，均能检出，且其实验数据CV值均小于10%。</w:t>
            </w:r>
          </w:p>
        </w:tc>
      </w:tr>
      <w:tr w:rsidR="00B3402A" w:rsidTr="002118B0">
        <w:trPr>
          <w:trHeight w:val="984"/>
        </w:trPr>
        <w:tc>
          <w:tcPr>
            <w:tcW w:w="568" w:type="dxa"/>
            <w:vAlign w:val="center"/>
          </w:tcPr>
          <w:p w:rsidR="00B3402A" w:rsidRPr="00DD12EA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 (PML-RARa定量)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试剂盒对各精密度质控品，在相应的反应液中重复做10次，均能检出，且其实验数据CV值均小于10%。。</w:t>
            </w:r>
          </w:p>
        </w:tc>
      </w:tr>
      <w:tr w:rsidR="00B3402A" w:rsidTr="002118B0">
        <w:trPr>
          <w:trHeight w:val="1042"/>
        </w:trPr>
        <w:tc>
          <w:tcPr>
            <w:tcW w:w="568" w:type="dxa"/>
            <w:vAlign w:val="center"/>
          </w:tcPr>
          <w:p w:rsidR="00B3402A" w:rsidRPr="00DD12EA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人B-raf基因突变检测试剂盒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PCR荧光探针法,在低至5ng/ul野生型基因组DNA背景下，对含1% B-raf基因突变DNA的样本，均能检出。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试剂盒对各精密度质控品，在相应的反应液中重复做10次，均能检出，且其实验数据CV值均小于10%。</w:t>
            </w:r>
          </w:p>
        </w:tc>
      </w:tr>
      <w:tr w:rsidR="00B3402A" w:rsidTr="002118B0">
        <w:trPr>
          <w:trHeight w:val="986"/>
        </w:trPr>
        <w:tc>
          <w:tcPr>
            <w:tcW w:w="568" w:type="dxa"/>
            <w:vAlign w:val="center"/>
          </w:tcPr>
          <w:p w:rsidR="00B3402A" w:rsidRPr="00DD12EA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人K-ras基因突变检测试剂盒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PCR荧光探针法,在低至5ng/ul野生型基因组DNA背景下，对含1% K-ras基因突变DNA的样本，均能检出。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试剂盒对各精密度质控品，在相应的反应液中重复做10次，均能检出，且其实验数据CV值均小于10%。</w:t>
            </w:r>
          </w:p>
        </w:tc>
      </w:tr>
      <w:tr w:rsidR="00B3402A" w:rsidTr="002118B0">
        <w:trPr>
          <w:trHeight w:val="930"/>
        </w:trPr>
        <w:tc>
          <w:tcPr>
            <w:tcW w:w="568" w:type="dxa"/>
            <w:vAlign w:val="center"/>
          </w:tcPr>
          <w:p w:rsidR="00B3402A" w:rsidRPr="00DD12EA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基因重排检测试剂盒（IG5）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一代测序，检测覆盖13个区域。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试剂盒对各精密度质控品，在相应的反应液中重复做10次，均能检出，且其实验数据CV值均小于10%。</w:t>
            </w:r>
          </w:p>
        </w:tc>
      </w:tr>
      <w:tr w:rsidR="00B3402A" w:rsidTr="002118B0">
        <w:trPr>
          <w:trHeight w:val="1045"/>
        </w:trPr>
        <w:tc>
          <w:tcPr>
            <w:tcW w:w="568" w:type="dxa"/>
            <w:vAlign w:val="center"/>
          </w:tcPr>
          <w:p w:rsidR="00B3402A" w:rsidRPr="00DD12EA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 (43种筛查-3光)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实时荧光定量PCR法,从抗凝骨髓提取的RNA转录cDNA中检测白血病相关43种融合基因，最低检出量达到1000拷贝/反应。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试剂盒对各精密度质控品，在相应的反应液中重复做10次，均能检出，且其实验数据CV值≦5%。</w:t>
            </w:r>
          </w:p>
        </w:tc>
      </w:tr>
      <w:tr w:rsidR="00B3402A" w:rsidTr="002118B0">
        <w:trPr>
          <w:trHeight w:val="988"/>
        </w:trPr>
        <w:tc>
          <w:tcPr>
            <w:tcW w:w="568" w:type="dxa"/>
            <w:vAlign w:val="center"/>
          </w:tcPr>
          <w:p w:rsidR="00B3402A" w:rsidRPr="00DD12EA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 (CBFβ-MYH11定量)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118B0">
        <w:trPr>
          <w:trHeight w:val="960"/>
        </w:trPr>
        <w:tc>
          <w:tcPr>
            <w:tcW w:w="568" w:type="dxa"/>
            <w:vAlign w:val="center"/>
          </w:tcPr>
          <w:p w:rsidR="00B3402A" w:rsidRPr="00DD12EA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白血病相关融合基因检测试剂盒（WT-1定量）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118B0">
        <w:trPr>
          <w:trHeight w:val="790"/>
        </w:trPr>
        <w:tc>
          <w:tcPr>
            <w:tcW w:w="568" w:type="dxa"/>
            <w:vAlign w:val="center"/>
          </w:tcPr>
          <w:p w:rsidR="00B3402A" w:rsidRPr="00DD12EA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 (DEK-CAN定量)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74CB2">
        <w:trPr>
          <w:trHeight w:val="1046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白血病相关融合基因检测试剂盒(MLL-AF9定量)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74CB2">
        <w:trPr>
          <w:trHeight w:val="1114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白血病相关融合基因检测试剂盒(BCR-ABL分型定量)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从抗凝骨髓提取的RNA中检测出白血病融合基因的BCR-ABL190、BCR-ABL210和BCR-ABL230，最低检出量达到100拷贝/反应。</w:t>
            </w:r>
          </w:p>
        </w:tc>
      </w:tr>
      <w:tr w:rsidR="00B3402A" w:rsidTr="00274CB2">
        <w:trPr>
          <w:trHeight w:val="983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白血病预后基因检测试剂盒(NPM1)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一代测序法，在低至50ng/ul基因组DNA背景下，均能检出。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试剂盒对各精密度质控品，在相应的反应液中重复做10次，均能检出，且其实验数据CV值均小于10%。</w:t>
            </w:r>
          </w:p>
        </w:tc>
      </w:tr>
      <w:tr w:rsidR="00B3402A" w:rsidTr="00274CB2">
        <w:trPr>
          <w:trHeight w:val="83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白血病预后基因检测试剂盒(</w:t>
            </w:r>
            <w:r w:rsidRPr="00441E2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CEBPa</w:t>
            </w: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一代测序法，在低至50ng/ul基因组DNA背景下，均能检出。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试剂盒对各精密度质控品，在相应的反应液中重复做10次，均能检出，且其实验数据CV值均小于10%。</w:t>
            </w:r>
          </w:p>
        </w:tc>
      </w:tr>
      <w:tr w:rsidR="00B3402A" w:rsidTr="00274CB2">
        <w:trPr>
          <w:trHeight w:val="1036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白血病预后基因检测试剂盒(FLT3-ITD)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一代测序法，在低至50ng/ul基因组DNA背景下，均能检出。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试剂盒对各精密度质控品，在相应的反应液中重复做10次，均能检出，且其实验数据CV值均小于10%。</w:t>
            </w:r>
          </w:p>
        </w:tc>
      </w:tr>
      <w:tr w:rsidR="00B3402A" w:rsidTr="00274CB2">
        <w:trPr>
          <w:trHeight w:val="83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白血病预后基因检测试剂盒(C-Kit exon8)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一代测序法，在低至50ng/ul基因组DNA背景下，均能检出。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试剂盒对各精密度质控品，在相应的反应液中重复做10次，均能检出，且其实验数据CV值均小于10%。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白血病预后基因检测试剂盒(C-Kit exon17)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一代测序法，在低至50ng/ul基因组DNA背景下，均能检出。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试剂盒对各精密度质控品，在相应的反应液中重复做10次，均能检出，且其实验数据CV值均小于10%。</w:t>
            </w:r>
          </w:p>
        </w:tc>
      </w:tr>
      <w:tr w:rsidR="00B3402A" w:rsidTr="00274CB2">
        <w:trPr>
          <w:trHeight w:val="60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白血病预后基因检测试剂盒 (ASXL1)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一代测序法，在低至50ng/ul基因组DNA背景下，均能检出。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试剂盒对各精密度质控品，在相应的反应液中重复做10次，均能检出，且其实验数据CV值均小于10%。</w:t>
            </w:r>
          </w:p>
        </w:tc>
      </w:tr>
      <w:tr w:rsidR="00B3402A" w:rsidTr="00274CB2">
        <w:trPr>
          <w:trHeight w:val="547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 (BCR-ABL210定量)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74CB2">
        <w:trPr>
          <w:trHeight w:val="56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 (BCR-ABL190定量)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74CB2">
        <w:trPr>
          <w:trHeight w:val="54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 (BCR-ABL230定量)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74CB2">
        <w:trPr>
          <w:trHeight w:val="557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白血病相关融合基因检测试剂盒(PML-RARa L定量)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白血病相关融合基因检测试剂盒(PML-RARa S定量)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白血病相关融合基因检测试剂盒(PML-RARa V定量)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白血病相关融合基因检测试剂盒(PML-RARa分型定量)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从抗凝骨髓提取的RNA中检测出白血病融合基因的PML-RARa L、PML-RARa S和PML-RARa V，最低检出量达到100拷贝/反应。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白血病相关融合基因检测试剂盒(SIL-TAL1定量)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白血病相关融合基因检测试剂盒(E2A-PBX1定量)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白血病相关融合基因检测试剂盒(TEL-AML1定量)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白血病相关融合基因检测试剂盒(MLL-AF4定量)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实时荧光定量PCR法, 从抗凝骨髓提取的RNA中检测白血病相关融合基因，最低检出量达到100拷贝/反应。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白血病BCR-ABL融合基因ABL激酶区基因突变检测试剂盒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PCR实时荧光探针法,从人抗凝外周血或骨髓血中提取的DNA 中检测ABL激酶区相关Y253H、E255K/V、V299L、T315I/A、317V/I/C/L、359V/C/I的突变，最低检出量达到100拷贝/反应。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骨髓增殖性肿瘤相关基因突变检测试剂盒 (Jak2 A、B、C，MPL A、B，CALR A、B)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PCR实时荧光探针法,能从人抗凝外周血或骨髓血中提取的 DNA 中检测 Jak2(Exon12、14)、MPL(Exon10)和 CALR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(Exon9)相关基因的突变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PH样ALL相关融合基因检测试剂盒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PCR实时荧光探针法,从抗凝骨髓提取的RNA转录cDNA中检测相关融合基因，最低检出量达到1000拷贝/反应。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试剂盒对各精密度质控品，在相应的反应液中重复做10次，均能检出，且其实验数据CV值≦5%。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白血病相关融合基因检测试剂盒 (56种筛查-3光)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PCR实时荧光探针法,从抗凝骨髓提取的RNA转录cDNA中检测相关融合基因，最低检出量达到1000拷贝/反应。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</w:t>
            </w: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且其实验数据CV值≦5%。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基因重排检测试剂盒(IGHA+IGHB+IGHC+IGHD+IGHE+IGKA+IGKB+IGL)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一代测序，检测覆盖16个区域。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试剂盒对各精密度质控品，在相应的反应液中重复做10次，均能检出，且其实验数据CV值均小于10%。</w:t>
            </w:r>
          </w:p>
        </w:tc>
      </w:tr>
      <w:tr w:rsidR="00B3402A" w:rsidTr="00274CB2">
        <w:trPr>
          <w:trHeight w:val="689"/>
        </w:trPr>
        <w:tc>
          <w:tcPr>
            <w:tcW w:w="568" w:type="dxa"/>
            <w:vAlign w:val="center"/>
          </w:tcPr>
          <w:p w:rsidR="00B3402A" w:rsidRPr="00441E2E" w:rsidRDefault="00B3402A" w:rsidP="00B3402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544" w:type="dxa"/>
            <w:vAlign w:val="center"/>
          </w:tcPr>
          <w:p w:rsidR="00B3402A" w:rsidRPr="00441E2E" w:rsidRDefault="00B3402A" w:rsidP="00B3402A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基因重排检测试剂盒(TCRBA+TCRBB+TCRBC+TCRGA+TCRG B+TCRD）</w:t>
            </w:r>
          </w:p>
        </w:tc>
        <w:tc>
          <w:tcPr>
            <w:tcW w:w="5811" w:type="dxa"/>
            <w:vAlign w:val="center"/>
          </w:tcPr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一代测序，检测覆盖12个区域。</w:t>
            </w:r>
          </w:p>
          <w:p w:rsidR="00B3402A" w:rsidRPr="00441E2E" w:rsidRDefault="00B3402A" w:rsidP="00B3402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41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试剂盒对各精密度质控品，在相应的反应液中重复做10次，均能检出，且其实验数据CV值均小于10%。</w:t>
            </w:r>
          </w:p>
        </w:tc>
      </w:tr>
    </w:tbl>
    <w:p w:rsidR="0064078D" w:rsidRDefault="0064078D" w:rsidP="006806FC">
      <w:pPr>
        <w:rPr>
          <w:rFonts w:ascii="宋体" w:hAnsi="宋体"/>
          <w:bCs/>
          <w:sz w:val="24"/>
        </w:rPr>
      </w:pPr>
    </w:p>
    <w:sectPr w:rsidR="0064078D" w:rsidSect="0064078D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A4" w:rsidRDefault="009E6DA4" w:rsidP="00334700">
      <w:r>
        <w:separator/>
      </w:r>
    </w:p>
  </w:endnote>
  <w:endnote w:type="continuationSeparator" w:id="0">
    <w:p w:rsidR="009E6DA4" w:rsidRDefault="009E6DA4" w:rsidP="0033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A4" w:rsidRDefault="009E6DA4" w:rsidP="00334700">
      <w:r>
        <w:separator/>
      </w:r>
    </w:p>
  </w:footnote>
  <w:footnote w:type="continuationSeparator" w:id="0">
    <w:p w:rsidR="009E6DA4" w:rsidRDefault="009E6DA4" w:rsidP="0033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8D"/>
    <w:rsid w:val="000E0864"/>
    <w:rsid w:val="00106B26"/>
    <w:rsid w:val="001860FB"/>
    <w:rsid w:val="001D3702"/>
    <w:rsid w:val="002F7135"/>
    <w:rsid w:val="00317BF2"/>
    <w:rsid w:val="003260E0"/>
    <w:rsid w:val="00334700"/>
    <w:rsid w:val="00340F4C"/>
    <w:rsid w:val="00373FFB"/>
    <w:rsid w:val="00383C36"/>
    <w:rsid w:val="00436C9D"/>
    <w:rsid w:val="00441E2E"/>
    <w:rsid w:val="004718EC"/>
    <w:rsid w:val="004755B5"/>
    <w:rsid w:val="00486906"/>
    <w:rsid w:val="00507E66"/>
    <w:rsid w:val="00550FA6"/>
    <w:rsid w:val="005D6EFD"/>
    <w:rsid w:val="005F7DCE"/>
    <w:rsid w:val="0064078D"/>
    <w:rsid w:val="006806FC"/>
    <w:rsid w:val="006B223B"/>
    <w:rsid w:val="00713E4E"/>
    <w:rsid w:val="00747724"/>
    <w:rsid w:val="00772BCE"/>
    <w:rsid w:val="00774A6B"/>
    <w:rsid w:val="00796189"/>
    <w:rsid w:val="00797FC7"/>
    <w:rsid w:val="007C4B82"/>
    <w:rsid w:val="007F4C55"/>
    <w:rsid w:val="007F6005"/>
    <w:rsid w:val="00807F09"/>
    <w:rsid w:val="00864177"/>
    <w:rsid w:val="008830E0"/>
    <w:rsid w:val="008863CA"/>
    <w:rsid w:val="008C6059"/>
    <w:rsid w:val="008F7D4E"/>
    <w:rsid w:val="00916CBE"/>
    <w:rsid w:val="00942459"/>
    <w:rsid w:val="00971A03"/>
    <w:rsid w:val="009775A4"/>
    <w:rsid w:val="00977EB5"/>
    <w:rsid w:val="009E6DA4"/>
    <w:rsid w:val="009F7899"/>
    <w:rsid w:val="00A858D4"/>
    <w:rsid w:val="00AD5DBD"/>
    <w:rsid w:val="00B206F6"/>
    <w:rsid w:val="00B2573E"/>
    <w:rsid w:val="00B27BE6"/>
    <w:rsid w:val="00B33A8F"/>
    <w:rsid w:val="00B3402A"/>
    <w:rsid w:val="00B87039"/>
    <w:rsid w:val="00C44EB7"/>
    <w:rsid w:val="00CC2A72"/>
    <w:rsid w:val="00D61F48"/>
    <w:rsid w:val="00DD12EA"/>
    <w:rsid w:val="00E65D2E"/>
    <w:rsid w:val="00ED0F92"/>
    <w:rsid w:val="00EE5818"/>
    <w:rsid w:val="00FB621F"/>
    <w:rsid w:val="00FF0DB8"/>
    <w:rsid w:val="460116AF"/>
    <w:rsid w:val="543E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F055A"/>
  <w15:docId w15:val="{7683CF11-12E3-4B6D-9C12-810AC86C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8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4078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407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4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sid w:val="0064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sid w:val="006407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sid w:val="0064078D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4078D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407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2</cp:revision>
  <cp:lastPrinted>2020-09-09T08:47:00Z</cp:lastPrinted>
  <dcterms:created xsi:type="dcterms:W3CDTF">2020-09-10T09:20:00Z</dcterms:created>
  <dcterms:modified xsi:type="dcterms:W3CDTF">2020-09-10T09:20:00Z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