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1"/>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30</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分，其他参数每负偏离一项扣</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分，扣完为止。正偏离不加分。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注：</w:t>
            </w:r>
            <w:r>
              <w:rPr>
                <w:rFonts w:cs="宋体" w:asciiTheme="minorEastAsia" w:hAnsiTheme="minorEastAsia" w:eastAsiaTheme="minorEastAsia"/>
                <w:kern w:val="0"/>
                <w:sz w:val="24"/>
                <w:szCs w:val="24"/>
              </w:rPr>
              <w:t>对带三角号（</w:t>
            </w:r>
            <w:r>
              <w:rPr>
                <w:rFonts w:hint="eastAsia" w:cs="宋体" w:asciiTheme="minorEastAsia" w:hAnsiTheme="minorEastAsia" w:eastAsiaTheme="minorEastAsia"/>
                <w:sz w:val="24"/>
                <w:szCs w:val="24"/>
              </w:rPr>
              <w:t>“</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w:t>
            </w:r>
            <w:r>
              <w:rPr>
                <w:rFonts w:cs="宋体" w:asciiTheme="minorEastAsia" w:hAnsiTheme="minorEastAsia" w:eastAsiaTheme="minorEastAsia"/>
                <w:kern w:val="0"/>
                <w:sz w:val="24"/>
                <w:szCs w:val="24"/>
              </w:rPr>
              <w:t>）的重要技术参数投标人必须提供相关证明材料（技术白皮书、彩页、产品说明书或检测报告等），否则按负偏离进行扣分。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免费保修期内售后服务条款偏离情况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(1)投标人应如实填写《免费保修期内售后服务条款偏离表》，评审委员会根据响应情况进行打分。满足免费保修期的得2分。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(2)其他要求全部满足要求的得2分，每负偏离一项扣1分。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免费保修期外售后服务条款偏离情况</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投标人应如实填写《免费保修期外售后服务条款偏离表》，评审委员会根据响应情况进行打分，每负偏离一项扣2分，扣完为止。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45"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其他商务要求偏离情况</w:t>
            </w:r>
          </w:p>
        </w:tc>
        <w:tc>
          <w:tcPr>
            <w:tcW w:w="760" w:type="dxa"/>
            <w:gridSpan w:val="2"/>
            <w:shd w:val="clear" w:color="auto" w:fill="auto"/>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709"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投标人应如实填写《其他商务条款偏离表》，评审委员会根据响应情况进行打分，</w:t>
            </w:r>
            <w:r>
              <w:rPr>
                <w:rFonts w:hint="eastAsia" w:asciiTheme="minorEastAsia" w:hAnsiTheme="minorEastAsia" w:eastAsiaTheme="minorEastAsia"/>
                <w:sz w:val="24"/>
                <w:szCs w:val="24"/>
              </w:rPr>
              <w:t>全部满足要求的得4分，每负偏离一项扣2分,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评审标准：依据深财购[2013]27号文的有关规定，本项目将对投标人诚信进行评审：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1"/>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743116"/>
      <w:bookmarkStart w:id="5" w:name="_Toc201401658"/>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6"/>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8"/>
        <w:jc w:val="left"/>
        <w:rPr>
          <w:rFonts w:asciiTheme="minorEastAsia" w:hAnsiTheme="minorEastAsia" w:eastAsiaTheme="minorEastAsia"/>
          <w:sz w:val="24"/>
          <w:szCs w:val="24"/>
        </w:rPr>
      </w:pPr>
    </w:p>
    <w:tbl>
      <w:tblPr>
        <w:tblStyle w:val="11"/>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8"/>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1"/>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1"/>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1"/>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9"/>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6"/>
        <w:jc w:val="left"/>
        <w:rPr>
          <w:rFonts w:asciiTheme="minorEastAsia" w:hAnsiTheme="minorEastAsia" w:eastAsiaTheme="minorEastAsia"/>
          <w:sz w:val="24"/>
          <w:szCs w:val="24"/>
        </w:rPr>
      </w:pPr>
    </w:p>
    <w:tbl>
      <w:tblPr>
        <w:tblStyle w:val="11"/>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bl>
    <w:p>
      <w:pPr>
        <w:pStyle w:val="6"/>
        <w:jc w:val="left"/>
        <w:rPr>
          <w:rFonts w:asciiTheme="minorEastAsia" w:hAnsiTheme="minorEastAsia" w:eastAsiaTheme="minorEastAsia"/>
          <w:sz w:val="24"/>
          <w:szCs w:val="24"/>
        </w:rPr>
      </w:pPr>
    </w:p>
    <w:p>
      <w:pPr>
        <w:pStyle w:val="6"/>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9"/>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1"/>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pStyle w:val="23"/>
              <w:ind w:left="480" w:firstLine="0" w:firstLineChars="0"/>
              <w:rPr>
                <w:rFonts w:ascii="宋体" w:hAnsi="宋体" w:cs="宋体"/>
                <w:kern w:val="0"/>
                <w:sz w:val="24"/>
                <w:szCs w:val="24"/>
              </w:rPr>
            </w:pPr>
            <w:r>
              <w:rPr>
                <w:rFonts w:hint="eastAsia" w:asciiTheme="minorEastAsia" w:hAnsiTheme="minorEastAsia" w:eastAsiaTheme="minorEastAsia"/>
                <w:sz w:val="24"/>
              </w:rPr>
              <w:t>为各种生物医学和生物化学操作提供了无菌环境</w:t>
            </w:r>
            <w:r>
              <w:rPr>
                <w:rFonts w:hint="eastAsia" w:asciiTheme="minorEastAsia" w:hAnsiTheme="minorEastAsia" w:eastAsiaTheme="minorEastAsia"/>
                <w:sz w:val="24"/>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货物清单</w:t>
            </w:r>
          </w:p>
        </w:tc>
        <w:tc>
          <w:tcPr>
            <w:tcW w:w="8880" w:type="dxa"/>
            <w:tcBorders>
              <w:top w:val="single" w:color="auto" w:sz="6" w:space="0"/>
              <w:left w:val="single" w:color="auto" w:sz="6" w:space="0"/>
              <w:bottom w:val="nil"/>
              <w:right w:val="nil"/>
            </w:tcBorders>
            <w:noWrap w:val="0"/>
            <w:vAlign w:val="center"/>
          </w:tcPr>
          <w:tbl>
            <w:tblPr>
              <w:tblStyle w:val="11"/>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设备名称</w:t>
                  </w:r>
                </w:p>
              </w:tc>
              <w:tc>
                <w:tcPr>
                  <w:tcW w:w="1344"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数量</w:t>
                  </w:r>
                </w:p>
              </w:tc>
              <w:tc>
                <w:tcPr>
                  <w:tcW w:w="1311"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单位</w:t>
                  </w:r>
                </w:p>
              </w:tc>
              <w:tc>
                <w:tcPr>
                  <w:tcW w:w="1770"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总预算金额(元)</w:t>
                  </w:r>
                </w:p>
              </w:tc>
              <w:tc>
                <w:tcPr>
                  <w:tcW w:w="1775" w:type="dxa"/>
                  <w:tcBorders>
                    <w:top w:val="nil"/>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PCR操作台</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个</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70000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val="en-US" w:eastAsia="zh-CN"/>
                    </w:rPr>
                  </w:pPr>
                </w:p>
              </w:tc>
            </w:tr>
          </w:tbl>
          <w:p>
            <w:pPr>
              <w:widowControl/>
              <w:jc w:val="center"/>
              <w:rPr>
                <w:rFonts w:hint="eastAsia" w:ascii="宋体" w:hAnsi="宋体" w:cs="宋体"/>
                <w:color w:val="FF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ascii="宋体" w:hAnsi="宋体" w:cs="宋体"/>
                <w:b/>
                <w:bCs/>
                <w:color w:val="FF0000"/>
                <w:kern w:val="0"/>
                <w:sz w:val="24"/>
                <w:szCs w:val="24"/>
              </w:rPr>
              <w:t>具体技术</w:t>
            </w:r>
            <w:r>
              <w:rPr>
                <w:rFonts w:hint="eastAsia" w:ascii="宋体" w:hAnsi="宋体" w:cs="宋体"/>
                <w:b/>
                <w:bCs/>
                <w:color w:val="FF0000"/>
                <w:kern w:val="0"/>
                <w:sz w:val="24"/>
                <w:szCs w:val="24"/>
              </w:rPr>
              <w:t>参数</w:t>
            </w:r>
            <w:r>
              <w:rPr>
                <w:rFonts w:ascii="宋体" w:hAnsi="宋体" w:cs="宋体"/>
                <w:b/>
                <w:bCs/>
                <w:color w:val="FF0000"/>
                <w:kern w:val="0"/>
                <w:sz w:val="24"/>
                <w:szCs w:val="24"/>
              </w:rPr>
              <w:t>要求</w:t>
            </w:r>
            <w:r>
              <w:rPr>
                <w:rFonts w:hint="eastAsia" w:ascii="宋体" w:hAnsi="宋体" w:cs="宋体"/>
                <w:b/>
                <w:bCs/>
                <w:color w:val="FF0000"/>
                <w:kern w:val="0"/>
                <w:sz w:val="24"/>
                <w:szCs w:val="24"/>
              </w:rPr>
              <w:t>：</w:t>
            </w:r>
          </w:p>
          <w:p>
            <w:pPr>
              <w:widowControl/>
              <w:numPr>
                <w:ilvl w:val="0"/>
                <w:numId w:val="3"/>
              </w:numPr>
              <w:spacing w:before="100" w:beforeAutospacing="1" w:after="100" w:afterAutospacing="1"/>
              <w:jc w:val="left"/>
              <w:rPr>
                <w:rFonts w:hint="eastAsia" w:asciiTheme="minorEastAsia" w:hAnsiTheme="minorEastAsia" w:eastAsiaTheme="minorEastAsia"/>
              </w:rPr>
            </w:pPr>
            <w:r>
              <w:rPr>
                <w:rFonts w:hint="eastAsia" w:ascii="宋体" w:hAnsi="宋体" w:cs="宋体" w:eastAsiaTheme="minorEastAsia"/>
                <w:b/>
                <w:bCs/>
                <w:color w:val="FF0000"/>
                <w:kern w:val="0"/>
                <w:sz w:val="24"/>
                <w:szCs w:val="24"/>
                <w:lang w:val="en-US" w:eastAsia="zh-CN"/>
              </w:rPr>
              <w:t>应用范围：</w:t>
            </w:r>
            <w:r>
              <w:rPr>
                <w:rFonts w:hint="eastAsia" w:asciiTheme="minorEastAsia" w:hAnsiTheme="minorEastAsia" w:eastAsiaTheme="minorEastAsia"/>
                <w:sz w:val="24"/>
                <w:lang w:eastAsia="zh-CN"/>
              </w:rPr>
              <w:t>需</w:t>
            </w:r>
            <w:r>
              <w:rPr>
                <w:rFonts w:hint="eastAsia" w:asciiTheme="minorEastAsia" w:hAnsiTheme="minorEastAsia" w:eastAsiaTheme="minorEastAsia"/>
              </w:rPr>
              <w:t>生命科学-杀菌灭活，消毒和D</w:t>
            </w:r>
            <w:r>
              <w:rPr>
                <w:rFonts w:asciiTheme="minorEastAsia" w:hAnsiTheme="minorEastAsia" w:eastAsiaTheme="minorEastAsia"/>
              </w:rPr>
              <w:t>NA</w:t>
            </w:r>
            <w:r>
              <w:rPr>
                <w:rFonts w:hint="eastAsia" w:asciiTheme="minorEastAsia" w:hAnsiTheme="minorEastAsia" w:eastAsiaTheme="minorEastAsia"/>
              </w:rPr>
              <w:t>和R</w:t>
            </w:r>
            <w:r>
              <w:rPr>
                <w:rFonts w:asciiTheme="minorEastAsia" w:hAnsiTheme="minorEastAsia" w:eastAsiaTheme="minorEastAsia"/>
              </w:rPr>
              <w:t>NA</w:t>
            </w:r>
            <w:r>
              <w:rPr>
                <w:rFonts w:hint="eastAsia" w:asciiTheme="minorEastAsia" w:hAnsiTheme="minorEastAsia" w:eastAsiaTheme="minorEastAsia"/>
              </w:rPr>
              <w:t>扩增及微生物研究等操作等要求无污染残留的应用</w:t>
            </w:r>
          </w:p>
          <w:p>
            <w:pPr>
              <w:widowControl/>
              <w:numPr>
                <w:ilvl w:val="0"/>
                <w:numId w:val="3"/>
              </w:numPr>
              <w:spacing w:before="100" w:beforeAutospacing="1" w:after="100" w:afterAutospacing="1"/>
              <w:jc w:val="left"/>
              <w:rPr>
                <w:sz w:val="24"/>
                <w:szCs w:val="24"/>
              </w:rPr>
            </w:pPr>
            <w:r>
              <w:rPr>
                <w:rFonts w:hint="eastAsia"/>
                <w:sz w:val="24"/>
                <w:szCs w:val="24"/>
              </w:rPr>
              <w:t>工作区域尺寸不小于</w:t>
            </w:r>
            <w:r>
              <w:rPr>
                <w:rFonts w:asciiTheme="minorEastAsia" w:hAnsiTheme="minorEastAsia" w:eastAsiaTheme="minorEastAsia"/>
                <w:sz w:val="24"/>
              </w:rPr>
              <w:t>650 x 475</w:t>
            </w:r>
            <w:r>
              <w:rPr>
                <w:rFonts w:hint="eastAsia" w:asciiTheme="minorEastAsia" w:hAnsiTheme="minorEastAsia" w:eastAsiaTheme="minorEastAsia"/>
                <w:sz w:val="24"/>
              </w:rPr>
              <w:t>m</w:t>
            </w:r>
            <w:r>
              <w:rPr>
                <w:rFonts w:asciiTheme="minorEastAsia" w:hAnsiTheme="minorEastAsia" w:eastAsiaTheme="minorEastAsia"/>
                <w:sz w:val="24"/>
              </w:rPr>
              <w:t>m</w:t>
            </w:r>
          </w:p>
          <w:p>
            <w:pPr>
              <w:widowControl/>
              <w:numPr>
                <w:ilvl w:val="0"/>
                <w:numId w:val="3"/>
              </w:numPr>
              <w:spacing w:before="100" w:beforeAutospacing="1" w:after="100" w:afterAutospacing="1"/>
              <w:jc w:val="left"/>
              <w:rPr>
                <w:sz w:val="24"/>
                <w:szCs w:val="24"/>
              </w:rPr>
            </w:pPr>
            <w:r>
              <w:rPr>
                <w:rFonts w:hint="eastAsia" w:asciiTheme="minorEastAsia" w:hAnsiTheme="minorEastAsia" w:eastAsiaTheme="minorEastAsia"/>
                <w:sz w:val="24"/>
              </w:rPr>
              <w:t>结构：采用不锈钢框架和台面</w:t>
            </w:r>
          </w:p>
          <w:p>
            <w:pPr>
              <w:widowControl/>
              <w:numPr>
                <w:ilvl w:val="0"/>
                <w:numId w:val="3"/>
              </w:numPr>
              <w:spacing w:before="100" w:beforeAutospacing="1" w:after="100" w:afterAutospacing="1"/>
              <w:jc w:val="left"/>
              <w:rPr>
                <w:sz w:val="24"/>
                <w:szCs w:val="24"/>
              </w:rPr>
            </w:pPr>
            <w:r>
              <w:rPr>
                <w:rFonts w:hint="eastAsia" w:asciiTheme="minorEastAsia" w:hAnsiTheme="minorEastAsia" w:eastAsiaTheme="minorEastAsia"/>
                <w:sz w:val="24"/>
              </w:rPr>
              <w:t>面板材质要求：加U</w:t>
            </w:r>
            <w:r>
              <w:rPr>
                <w:rFonts w:asciiTheme="minorEastAsia" w:hAnsiTheme="minorEastAsia" w:eastAsiaTheme="minorEastAsia"/>
                <w:sz w:val="24"/>
              </w:rPr>
              <w:t>V</w:t>
            </w:r>
            <w:r>
              <w:rPr>
                <w:rFonts w:hint="eastAsia" w:asciiTheme="minorEastAsia" w:hAnsiTheme="minorEastAsia" w:eastAsiaTheme="minorEastAsia"/>
                <w:sz w:val="24"/>
              </w:rPr>
              <w:t>保护膜的玻璃</w:t>
            </w:r>
          </w:p>
          <w:p>
            <w:pPr>
              <w:widowControl/>
              <w:numPr>
                <w:ilvl w:val="0"/>
                <w:numId w:val="3"/>
              </w:numPr>
              <w:spacing w:before="100" w:beforeAutospacing="1"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面板的高度位置可调</w:t>
            </w:r>
          </w:p>
          <w:p>
            <w:pPr>
              <w:widowControl/>
              <w:numPr>
                <w:ilvl w:val="0"/>
                <w:numId w:val="3"/>
              </w:numPr>
              <w:spacing w:before="100" w:beforeAutospacing="1" w:after="100" w:afterAutospacing="1"/>
              <w:jc w:val="left"/>
              <w:rPr>
                <w:rFonts w:asciiTheme="minorEastAsia" w:hAnsiTheme="minorEastAsia" w:eastAsiaTheme="minorEastAsia"/>
                <w:sz w:val="24"/>
              </w:rPr>
            </w:pPr>
            <w:r>
              <w:rPr>
                <w:rFonts w:ascii="Arial" w:hAnsi="Arial" w:cs="Arial"/>
                <w:color w:val="333333"/>
                <w:sz w:val="20"/>
                <w:szCs w:val="20"/>
                <w:shd w:val="clear" w:color="auto" w:fill="FFFFFF"/>
              </w:rPr>
              <w:t>▲</w:t>
            </w:r>
            <w:r>
              <w:rPr>
                <w:rFonts w:hint="eastAsia" w:asciiTheme="minorEastAsia" w:hAnsiTheme="minorEastAsia" w:eastAsiaTheme="minorEastAsia"/>
                <w:sz w:val="24"/>
              </w:rPr>
              <w:t>灭菌气体循环器：可在</w:t>
            </w:r>
            <w:r>
              <w:rPr>
                <w:rFonts w:asciiTheme="minorEastAsia" w:hAnsiTheme="minorEastAsia" w:eastAsiaTheme="minorEastAsia"/>
                <w:sz w:val="24"/>
              </w:rPr>
              <w:t>1cmUV</w:t>
            </w:r>
            <w:r>
              <w:rPr>
                <w:rFonts w:hint="eastAsia" w:asciiTheme="minorEastAsia" w:hAnsiTheme="minorEastAsia" w:eastAsiaTheme="minorEastAsia"/>
                <w:sz w:val="24"/>
              </w:rPr>
              <w:t>照射距离内提供不小于</w:t>
            </w:r>
            <w:r>
              <w:rPr>
                <w:rFonts w:asciiTheme="minorEastAsia" w:hAnsiTheme="minorEastAsia" w:eastAsiaTheme="minorEastAsia"/>
                <w:sz w:val="24"/>
              </w:rPr>
              <w:t>25m³/h</w:t>
            </w:r>
            <w:r>
              <w:rPr>
                <w:rFonts w:hint="eastAsia" w:asciiTheme="minorEastAsia" w:hAnsiTheme="minorEastAsia" w:eastAsiaTheme="minorEastAsia"/>
                <w:sz w:val="24"/>
              </w:rPr>
              <w:t>的净化再生的连续气流</w:t>
            </w:r>
          </w:p>
          <w:p>
            <w:pPr>
              <w:widowControl/>
              <w:numPr>
                <w:ilvl w:val="0"/>
                <w:numId w:val="3"/>
              </w:numPr>
              <w:spacing w:before="100" w:beforeAutospacing="1"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紫外循环器：不小于3</w:t>
            </w:r>
            <w:r>
              <w:rPr>
                <w:rFonts w:asciiTheme="minorEastAsia" w:hAnsiTheme="minorEastAsia" w:eastAsiaTheme="minorEastAsia"/>
                <w:sz w:val="24"/>
              </w:rPr>
              <w:t>0</w:t>
            </w:r>
            <w:r>
              <w:rPr>
                <w:rFonts w:hint="eastAsia" w:asciiTheme="minorEastAsia" w:hAnsiTheme="minorEastAsia" w:eastAsiaTheme="minorEastAsia"/>
                <w:sz w:val="24"/>
              </w:rPr>
              <w:t>W的</w:t>
            </w:r>
            <w:r>
              <w:rPr>
                <w:rFonts w:asciiTheme="minorEastAsia" w:hAnsiTheme="minorEastAsia" w:eastAsiaTheme="minorEastAsia"/>
                <w:sz w:val="24"/>
              </w:rPr>
              <w:t xml:space="preserve"> 254</w:t>
            </w:r>
            <w:r>
              <w:rPr>
                <w:rFonts w:hint="eastAsia" w:asciiTheme="minorEastAsia" w:hAnsiTheme="minorEastAsia" w:eastAsiaTheme="minorEastAsia"/>
                <w:sz w:val="24"/>
              </w:rPr>
              <w:t>nm双紫外灯，无臭氧，灭菌效率&gt;</w:t>
            </w:r>
            <w:r>
              <w:rPr>
                <w:rFonts w:asciiTheme="minorEastAsia" w:hAnsiTheme="minorEastAsia" w:eastAsiaTheme="minorEastAsia"/>
                <w:sz w:val="24"/>
              </w:rPr>
              <w:t>99</w:t>
            </w:r>
            <w:r>
              <w:rPr>
                <w:rFonts w:hint="eastAsia" w:asciiTheme="minorEastAsia" w:hAnsiTheme="minorEastAsia" w:eastAsiaTheme="minorEastAsia"/>
                <w:sz w:val="24"/>
              </w:rPr>
              <w:t>%</w:t>
            </w:r>
          </w:p>
          <w:p>
            <w:pPr>
              <w:widowControl/>
              <w:numPr>
                <w:ilvl w:val="0"/>
                <w:numId w:val="3"/>
              </w:numPr>
              <w:spacing w:before="100" w:beforeAutospacing="1" w:after="100" w:afterAutospacing="1"/>
              <w:jc w:val="left"/>
              <w:rPr>
                <w:sz w:val="24"/>
                <w:szCs w:val="24"/>
              </w:rPr>
            </w:pPr>
            <w:r>
              <w:rPr>
                <w:rFonts w:hint="eastAsia" w:asciiTheme="minorEastAsia" w:hAnsiTheme="minorEastAsia" w:eastAsiaTheme="minorEastAsia"/>
                <w:sz w:val="24"/>
              </w:rPr>
              <w:t>白色照明灯：不小于</w:t>
            </w:r>
            <w:r>
              <w:rPr>
                <w:rFonts w:asciiTheme="minorEastAsia" w:hAnsiTheme="minorEastAsia" w:eastAsiaTheme="minorEastAsia"/>
                <w:sz w:val="24"/>
              </w:rPr>
              <w:t>15</w:t>
            </w:r>
            <w:r>
              <w:rPr>
                <w:rFonts w:hint="eastAsia" w:asciiTheme="minorEastAsia" w:hAnsiTheme="minorEastAsia" w:eastAsiaTheme="minorEastAsia"/>
                <w:sz w:val="24"/>
              </w:rPr>
              <w:t>W</w:t>
            </w:r>
          </w:p>
          <w:p>
            <w:pPr>
              <w:widowControl/>
              <w:numPr>
                <w:ilvl w:val="0"/>
                <w:numId w:val="3"/>
              </w:numPr>
              <w:spacing w:before="100" w:beforeAutospacing="1" w:after="100" w:afterAutospacing="1"/>
              <w:jc w:val="left"/>
              <w:rPr>
                <w:sz w:val="24"/>
                <w:szCs w:val="24"/>
              </w:rPr>
            </w:pPr>
            <w:r>
              <w:rPr>
                <w:rFonts w:hint="eastAsia"/>
                <w:sz w:val="24"/>
                <w:szCs w:val="24"/>
              </w:rPr>
              <w:t>定时器：</w:t>
            </w:r>
            <w:r>
              <w:rPr>
                <w:rFonts w:hint="eastAsia" w:asciiTheme="minorEastAsia" w:hAnsiTheme="minorEastAsia" w:eastAsiaTheme="minorEastAsia"/>
                <w:sz w:val="24"/>
              </w:rPr>
              <w:t>紫外辐射控制0-</w:t>
            </w:r>
            <w:r>
              <w:rPr>
                <w:rFonts w:asciiTheme="minorEastAsia" w:hAnsiTheme="minorEastAsia" w:eastAsiaTheme="minorEastAsia"/>
                <w:sz w:val="24"/>
              </w:rPr>
              <w:t>24</w:t>
            </w:r>
            <w:r>
              <w:rPr>
                <w:rFonts w:hint="eastAsia" w:asciiTheme="minorEastAsia" w:hAnsiTheme="minorEastAsia" w:eastAsiaTheme="minorEastAsia"/>
                <w:sz w:val="24"/>
              </w:rPr>
              <w:t>小时</w:t>
            </w:r>
          </w:p>
          <w:p>
            <w:pPr>
              <w:widowControl/>
              <w:numPr>
                <w:ilvl w:val="0"/>
                <w:numId w:val="3"/>
              </w:numPr>
              <w:spacing w:before="100" w:beforeAutospacing="1" w:after="100" w:afterAutospacing="1"/>
              <w:jc w:val="left"/>
              <w:rPr>
                <w:sz w:val="24"/>
                <w:szCs w:val="24"/>
              </w:rPr>
            </w:pPr>
            <w:r>
              <w:rPr>
                <w:rFonts w:hint="eastAsia"/>
                <w:sz w:val="24"/>
                <w:szCs w:val="24"/>
              </w:rPr>
              <w:t>操作面板打开时，U</w:t>
            </w:r>
            <w:r>
              <w:rPr>
                <w:sz w:val="24"/>
                <w:szCs w:val="24"/>
              </w:rPr>
              <w:t>V</w:t>
            </w:r>
            <w:r>
              <w:rPr>
                <w:rFonts w:hint="eastAsia"/>
                <w:sz w:val="24"/>
                <w:szCs w:val="24"/>
              </w:rPr>
              <w:t>功能可自动关闭</w:t>
            </w:r>
          </w:p>
          <w:p>
            <w:pPr>
              <w:widowControl/>
              <w:spacing w:before="100" w:beforeAutospacing="1" w:after="100" w:afterAutospacing="1"/>
              <w:jc w:val="left"/>
              <w:rPr>
                <w:rFonts w:ascii="宋体" w:hAnsi="宋体" w:cs="宋体"/>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color w:val="FF0000"/>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w:t>
            </w:r>
            <w:r>
              <w:rPr>
                <w:rFonts w:hint="eastAsia" w:ascii="宋体" w:hAnsi="宋体" w:cs="宋体"/>
                <w:color w:val="FF0000"/>
                <w:sz w:val="24"/>
                <w:szCs w:val="24"/>
              </w:rPr>
              <w:t>3</w:t>
            </w:r>
            <w:r>
              <w:rPr>
                <w:rFonts w:hint="eastAsia" w:ascii="宋体" w:hAnsi="宋体" w:cs="宋体"/>
                <w:sz w:val="24"/>
                <w:szCs w:val="24"/>
              </w:rPr>
              <w:t>分，良</w:t>
            </w:r>
            <w:r>
              <w:rPr>
                <w:rFonts w:hint="eastAsia" w:ascii="宋体" w:hAnsi="宋体" w:cs="宋体"/>
                <w:color w:val="FF0000"/>
                <w:sz w:val="24"/>
                <w:szCs w:val="24"/>
              </w:rPr>
              <w:t>2</w:t>
            </w:r>
            <w:r>
              <w:rPr>
                <w:rFonts w:hint="eastAsia" w:ascii="宋体" w:hAnsi="宋体" w:cs="宋体"/>
                <w:sz w:val="24"/>
                <w:szCs w:val="24"/>
              </w:rPr>
              <w:t>分，中</w:t>
            </w:r>
            <w:r>
              <w:rPr>
                <w:rFonts w:hint="eastAsia" w:ascii="宋体" w:hAnsi="宋体" w:cs="宋体"/>
                <w:color w:val="FF0000"/>
                <w:sz w:val="24"/>
                <w:szCs w:val="24"/>
              </w:rPr>
              <w:t>1</w:t>
            </w:r>
            <w:r>
              <w:rPr>
                <w:rFonts w:hint="eastAsia" w:ascii="宋体" w:hAnsi="宋体" w:cs="宋体"/>
                <w:sz w:val="24"/>
                <w:szCs w:val="24"/>
              </w:rPr>
              <w:t>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1"/>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货物免费保修期</w:t>
                  </w:r>
                  <w:r>
                    <w:rPr>
                      <w:rFonts w:ascii="宋体" w:hAnsi="宋体" w:cs="宋体"/>
                      <w:color w:val="FF0000"/>
                      <w:kern w:val="0"/>
                      <w:sz w:val="24"/>
                      <w:szCs w:val="24"/>
                    </w:rPr>
                    <w:t xml:space="preserve"> </w:t>
                  </w:r>
                  <w:r>
                    <w:rPr>
                      <w:rFonts w:hint="eastAsia" w:ascii="宋体" w:hAnsi="宋体" w:cs="宋体"/>
                      <w:color w:val="FF0000"/>
                      <w:kern w:val="0"/>
                      <w:sz w:val="24"/>
                      <w:szCs w:val="24"/>
                      <w:lang w:eastAsia="zh-CN"/>
                    </w:rPr>
                    <w:t>叁</w:t>
                  </w:r>
                  <w:bookmarkStart w:id="15" w:name="_GoBack"/>
                  <w:bookmarkEnd w:id="15"/>
                  <w:r>
                    <w:rPr>
                      <w:rFonts w:ascii="宋体" w:hAnsi="宋体" w:cs="宋体"/>
                      <w:kern w:val="0"/>
                      <w:sz w:val="24"/>
                      <w:szCs w:val="24"/>
                    </w:rPr>
                    <w:t>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在保修期内，一旦发生质量问题，投标人保证在接到通知24小时内赶到现场进行修理或更换。</w:t>
                  </w:r>
                </w:p>
                <w:p>
                  <w:pPr>
                    <w:widowControl/>
                    <w:spacing w:before="100" w:beforeAutospacing="1" w:after="100" w:afterAutospacing="1" w:line="150" w:lineRule="atLeast"/>
                    <w:jc w:val="left"/>
                    <w:rPr>
                      <w:rFonts w:hint="eastAsia" w:ascii="宋体" w:hAnsi="宋体" w:cs="宋体"/>
                      <w:kern w:val="0"/>
                      <w:sz w:val="24"/>
                      <w:szCs w:val="24"/>
                    </w:rPr>
                  </w:pPr>
                  <w:r>
                    <w:rPr>
                      <w:rFonts w:hint="eastAsia"/>
                    </w:rPr>
                    <w:t>2、厂家必须在广东省有固定售后服务工作站（提供工程师电话和技术维修力量情况和维修的详细地址及联系方式）。专业工程师免费现场安装</w:t>
                  </w:r>
                </w:p>
                <w:p>
                  <w:pPr>
                    <w:jc w:val="left"/>
                    <w:rPr>
                      <w:rFonts w:hint="eastAsia"/>
                    </w:rPr>
                  </w:pPr>
                  <w:r>
                    <w:rPr>
                      <w:rFonts w:hint="eastAsia"/>
                    </w:rPr>
                    <w:t>3、提供400/800国内免费电话， 365天24小时的远程维护与服务，深圳地区有驻点工程师，4小时内电话响应，24小时维修到位（不可抗力情况除外），超过24小时不能完成维修的须提供备用机。</w:t>
                  </w:r>
                </w:p>
                <w:p>
                  <w:pPr>
                    <w:jc w:val="left"/>
                  </w:pPr>
                  <w:r>
                    <w:rPr>
                      <w:rFonts w:hint="eastAsia"/>
                    </w:rPr>
                    <w:t xml:space="preserve">4、保证供应仪器的维修与配件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产权合法性</w:t>
                  </w:r>
                  <w:r>
                    <w:rPr>
                      <w:rFonts w:hint="eastAsia" w:ascii="宋体" w:hAnsi="宋体" w:cs="宋体"/>
                      <w:kern w:val="0"/>
                      <w:sz w:val="24"/>
                      <w:szCs w:val="24"/>
                    </w:rPr>
                    <w:t>、软件升级及服务</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供应商保证所使用软件的合法性，任何知识产权纠纷与用户无关。</w:t>
                  </w:r>
                </w:p>
                <w:p>
                  <w:pPr>
                    <w:jc w:val="left"/>
                    <w:rPr>
                      <w:rFonts w:hint="eastAsia"/>
                    </w:rPr>
                  </w:pPr>
                  <w:r>
                    <w:rPr>
                      <w:rFonts w:hint="eastAsia" w:ascii="宋体" w:hAnsi="宋体" w:cs="宋体"/>
                      <w:kern w:val="0"/>
                      <w:sz w:val="24"/>
                      <w:szCs w:val="24"/>
                    </w:rPr>
                    <w:t>2.</w:t>
                  </w:r>
                  <w:r>
                    <w:rPr>
                      <w:rFonts w:hint="eastAsia"/>
                    </w:rPr>
                    <w:t xml:space="preserve"> 免费提供技术咨询、软件升级；</w:t>
                  </w:r>
                </w:p>
                <w:p>
                  <w:pPr>
                    <w:jc w:val="left"/>
                  </w:pPr>
                  <w:r>
                    <w:rPr>
                      <w:rFonts w:hint="eastAsia"/>
                    </w:rPr>
                    <w:t>3. 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 </w:t>
                  </w:r>
                  <w:r>
                    <w:rPr>
                      <w:rFonts w:ascii="宋体" w:hAnsi="宋体" w:cs="宋体"/>
                      <w:kern w:val="0"/>
                      <w:sz w:val="24"/>
                      <w:szCs w:val="24"/>
                    </w:rPr>
                    <w:t>维修响应时间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2</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产权合法性</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3</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其他</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厂家提供终身维修，终身免费提供软件升级，提供消耗品优惠价格，提供零配件优惠价格，而且必须提供设备的使用手册及维修手册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关于交货</w:t>
                  </w:r>
                  <w:r>
                    <w:rPr>
                      <w:rFonts w:hint="eastAsia" w:ascii="宋体" w:hAnsi="宋体" w:cs="宋体"/>
                      <w:kern w:val="0"/>
                      <w:sz w:val="24"/>
                      <w:szCs w:val="24"/>
                    </w:rPr>
                    <w:t>、验收</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1.1签订合同后</w:t>
                  </w:r>
                  <w:r>
                    <w:rPr>
                      <w:rFonts w:ascii="宋体" w:hAnsi="宋体" w:cs="宋体"/>
                      <w:kern w:val="0"/>
                      <w:sz w:val="24"/>
                      <w:szCs w:val="24"/>
                      <w:u w:val="single"/>
                    </w:rPr>
                    <w:t> </w:t>
                  </w:r>
                  <w:r>
                    <w:rPr>
                      <w:rFonts w:ascii="宋体" w:hAnsi="宋体" w:cs="宋体"/>
                      <w:color w:val="FF0000"/>
                      <w:kern w:val="0"/>
                      <w:sz w:val="24"/>
                      <w:szCs w:val="24"/>
                      <w:u w:val="single"/>
                    </w:rPr>
                    <w:t>30 </w:t>
                  </w:r>
                  <w:r>
                    <w:rPr>
                      <w:rFonts w:ascii="宋体" w:hAnsi="宋体" w:cs="宋体"/>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2</w:t>
                  </w:r>
                </w:p>
              </w:tc>
              <w:tc>
                <w:tcPr>
                  <w:tcW w:w="1373"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关于付款</w:t>
                  </w:r>
                </w:p>
              </w:tc>
              <w:tc>
                <w:tcPr>
                  <w:tcW w:w="6257" w:type="dxa"/>
                  <w:tcBorders>
                    <w:top w:val="nil"/>
                    <w:left w:val="nil"/>
                    <w:bottom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1、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标书响应情况</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55"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p>
        </w:tc>
        <w:tc>
          <w:tcPr>
            <w:tcW w:w="8880" w:type="dxa"/>
            <w:tcBorders>
              <w:top w:val="single" w:color="auto" w:sz="4" w:space="0"/>
              <w:left w:val="single" w:color="auto" w:sz="4" w:space="0"/>
              <w:bottom w:val="single" w:color="auto" w:sz="4" w:space="0"/>
              <w:right w:val="single" w:color="auto" w:sz="4" w:space="0"/>
            </w:tcBorders>
            <w:noWrap w:val="0"/>
            <w:vAlign w:val="center"/>
          </w:tcPr>
          <w:p>
            <w:pPr>
              <w:rPr>
                <w:rFonts w:cs="宋体"/>
                <w:b/>
                <w:bCs/>
                <w:color w:val="FF0000"/>
              </w:rPr>
            </w:pPr>
            <w:r>
              <w:rPr>
                <w:rFonts w:hint="eastAsia" w:cs="宋体"/>
                <w:b/>
                <w:bCs/>
                <w:color w:val="FF0000"/>
              </w:rPr>
              <w:t>以上仅供参考，如不符合请删除；有补充，请详细列明。</w:t>
            </w:r>
          </w:p>
          <w:p>
            <w:pPr>
              <w:widowControl/>
              <w:spacing w:before="100" w:beforeAutospacing="1" w:after="100" w:afterAutospacing="1"/>
              <w:jc w:val="left"/>
              <w:rPr>
                <w:rFonts w:ascii="宋体" w:hAnsi="宋体" w:cs="宋体"/>
                <w:b/>
                <w:bCs/>
                <w:kern w:val="0"/>
                <w:sz w:val="24"/>
                <w:szCs w:val="24"/>
              </w:rPr>
            </w:pPr>
          </w:p>
        </w:tc>
      </w:tr>
    </w:tbl>
    <w:p>
      <w:pPr>
        <w:rPr>
          <w:rFonts w:hint="eastAsia"/>
        </w:rPr>
      </w:pPr>
    </w:p>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1"/>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BD6A3B"/>
    <w:multiLevelType w:val="singleLevel"/>
    <w:tmpl w:val="2EBD6A3B"/>
    <w:lvl w:ilvl="0" w:tentative="0">
      <w:start w:val="1"/>
      <w:numFmt w:val="decimal"/>
      <w:lvlText w:val="%1."/>
      <w:lvlJc w:val="left"/>
      <w:pPr>
        <w:tabs>
          <w:tab w:val="left" w:pos="312"/>
        </w:tabs>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5603A3"/>
    <w:rsid w:val="0C5C2346"/>
    <w:rsid w:val="0C5E5BB8"/>
    <w:rsid w:val="0C8D0956"/>
    <w:rsid w:val="0C94782E"/>
    <w:rsid w:val="0E215C17"/>
    <w:rsid w:val="0E9603EA"/>
    <w:rsid w:val="0FDB5BF8"/>
    <w:rsid w:val="0FF0756D"/>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7D75EBB"/>
    <w:rsid w:val="384C47A3"/>
    <w:rsid w:val="39031BEB"/>
    <w:rsid w:val="39072F88"/>
    <w:rsid w:val="394D7D0F"/>
    <w:rsid w:val="399E4DCC"/>
    <w:rsid w:val="3B5330E7"/>
    <w:rsid w:val="3BD85452"/>
    <w:rsid w:val="3BF6596E"/>
    <w:rsid w:val="3C125C3B"/>
    <w:rsid w:val="3CC86BE5"/>
    <w:rsid w:val="3CED6006"/>
    <w:rsid w:val="3D132062"/>
    <w:rsid w:val="3D83213E"/>
    <w:rsid w:val="3DDB4F8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49284A"/>
    <w:rsid w:val="68A37534"/>
    <w:rsid w:val="68EB6BC6"/>
    <w:rsid w:val="69006315"/>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C0039D3"/>
    <w:rsid w:val="7C6C6D2C"/>
    <w:rsid w:val="7C7163B3"/>
    <w:rsid w:val="7D45640A"/>
    <w:rsid w:val="7DDD641C"/>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7"/>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customStyle="1" w:styleId="16">
    <w:name w:val="标题 3 Char"/>
    <w:basedOn w:val="13"/>
    <w:link w:val="4"/>
    <w:qFormat/>
    <w:uiPriority w:val="0"/>
    <w:rPr>
      <w:b/>
      <w:kern w:val="2"/>
      <w:sz w:val="24"/>
    </w:rPr>
  </w:style>
  <w:style w:type="character" w:customStyle="1" w:styleId="17">
    <w:name w:val="纯文本 Char"/>
    <w:basedOn w:val="13"/>
    <w:link w:val="6"/>
    <w:qFormat/>
    <w:uiPriority w:val="0"/>
    <w:rPr>
      <w:rFonts w:ascii="宋体" w:hAnsi="Courier New" w:cs="Courier New"/>
      <w:kern w:val="2"/>
      <w:sz w:val="21"/>
      <w:szCs w:val="21"/>
    </w:rPr>
  </w:style>
  <w:style w:type="paragraph" w:customStyle="1" w:styleId="18">
    <w:name w:val="Char"/>
    <w:basedOn w:val="1"/>
    <w:qFormat/>
    <w:uiPriority w:val="0"/>
    <w:rPr>
      <w:rFonts w:ascii="仿宋_GB2312" w:eastAsia="仿宋_GB2312"/>
      <w:b/>
      <w:sz w:val="32"/>
      <w:szCs w:val="32"/>
    </w:rPr>
  </w:style>
  <w:style w:type="paragraph" w:customStyle="1" w:styleId="19">
    <w:name w:val="样式 (西文) 宋体 行距: 1.5 倍行距"/>
    <w:basedOn w:val="1"/>
    <w:qFormat/>
    <w:uiPriority w:val="0"/>
    <w:pPr>
      <w:spacing w:line="360" w:lineRule="auto"/>
    </w:pPr>
    <w:rPr>
      <w:rFonts w:ascii="宋体" w:hAnsi="宋体" w:cs="宋体"/>
    </w:rPr>
  </w:style>
  <w:style w:type="character" w:customStyle="1" w:styleId="20">
    <w:name w:val="页眉 Char"/>
    <w:basedOn w:val="13"/>
    <w:link w:val="9"/>
    <w:qFormat/>
    <w:uiPriority w:val="0"/>
    <w:rPr>
      <w:kern w:val="2"/>
      <w:sz w:val="18"/>
      <w:szCs w:val="18"/>
    </w:rPr>
  </w:style>
  <w:style w:type="character" w:customStyle="1" w:styleId="21">
    <w:name w:val="页脚 Char"/>
    <w:basedOn w:val="13"/>
    <w:link w:val="8"/>
    <w:qFormat/>
    <w:uiPriority w:val="99"/>
    <w:rPr>
      <w:kern w:val="2"/>
      <w:sz w:val="18"/>
      <w:szCs w:val="18"/>
    </w:rPr>
  </w:style>
  <w:style w:type="character" w:customStyle="1" w:styleId="22">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3">
    <w:name w:val="List Paragraph"/>
    <w:basedOn w:val="1"/>
    <w:qFormat/>
    <w:uiPriority w:val="34"/>
    <w:pPr>
      <w:ind w:firstLine="420" w:firstLineChars="200"/>
    </w:pPr>
    <w:rPr>
      <w:rFonts w:ascii="Calibri" w:hAnsi="Calibri"/>
      <w:szCs w:val="22"/>
    </w:rPr>
  </w:style>
  <w:style w:type="character" w:customStyle="1" w:styleId="24">
    <w:name w:val="标题 1 Char"/>
    <w:basedOn w:val="13"/>
    <w:link w:val="2"/>
    <w:qFormat/>
    <w:uiPriority w:val="0"/>
    <w:rPr>
      <w:b/>
      <w:bCs/>
      <w:kern w:val="44"/>
      <w:sz w:val="44"/>
      <w:szCs w:val="44"/>
    </w:rPr>
  </w:style>
  <w:style w:type="paragraph" w:customStyle="1" w:styleId="25">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6">
    <w:name w:val="_Style 1"/>
    <w:basedOn w:val="1"/>
    <w:qFormat/>
    <w:uiPriority w:val="34"/>
    <w:pPr>
      <w:ind w:firstLine="420" w:firstLineChars="200"/>
    </w:pPr>
  </w:style>
  <w:style w:type="paragraph" w:customStyle="1" w:styleId="27">
    <w:name w:val="样式3"/>
    <w:basedOn w:val="1"/>
    <w:qFormat/>
    <w:uiPriority w:val="0"/>
    <w:pPr>
      <w:spacing w:line="0" w:lineRule="atLeast"/>
      <w:outlineLvl w:val="0"/>
    </w:pPr>
    <w:rPr>
      <w:rFonts w:ascii="宋体" w:hAnsi="Courier New"/>
      <w:sz w:val="28"/>
      <w:szCs w:val="24"/>
    </w:rPr>
  </w:style>
  <w:style w:type="paragraph" w:customStyle="1" w:styleId="28">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29">
    <w:name w:val="招标文件样式2"/>
    <w:basedOn w:val="1"/>
    <w:qFormat/>
    <w:uiPriority w:val="99"/>
    <w:pPr>
      <w:jc w:val="center"/>
      <w:outlineLvl w:val="0"/>
    </w:pPr>
    <w:rPr>
      <w:rFonts w:ascii="宋体" w:hAnsi="宋体"/>
      <w:b/>
      <w:sz w:val="28"/>
      <w:szCs w:val="28"/>
    </w:rPr>
  </w:style>
  <w:style w:type="paragraph" w:customStyle="1" w:styleId="30">
    <w:name w:val="列出段落1"/>
    <w:basedOn w:val="1"/>
    <w:qFormat/>
    <w:uiPriority w:val="99"/>
    <w:pPr>
      <w:ind w:firstLine="420" w:firstLineChars="200"/>
    </w:pPr>
  </w:style>
  <w:style w:type="paragraph" w:customStyle="1" w:styleId="31">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2">
    <w:name w:val="List Paragraph1"/>
    <w:basedOn w:val="1"/>
    <w:qFormat/>
    <w:uiPriority w:val="99"/>
    <w:pPr>
      <w:ind w:firstLine="420" w:firstLineChars="200"/>
    </w:pPr>
  </w:style>
  <w:style w:type="paragraph" w:customStyle="1" w:styleId="33">
    <w:name w:val="msolistparagraph"/>
    <w:basedOn w:val="1"/>
    <w:qFormat/>
    <w:uiPriority w:val="0"/>
    <w:pPr>
      <w:adjustRightInd w:val="0"/>
      <w:snapToGrid w:val="0"/>
      <w:ind w:firstLine="420" w:firstLineChars="200"/>
    </w:pPr>
    <w:rPr>
      <w:sz w:val="28"/>
      <w:szCs w:val="24"/>
    </w:rPr>
  </w:style>
  <w:style w:type="character" w:customStyle="1" w:styleId="34">
    <w:name w:val="font31"/>
    <w:basedOn w:val="13"/>
    <w:qFormat/>
    <w:uiPriority w:val="0"/>
    <w:rPr>
      <w:rFonts w:hint="eastAsia" w:ascii="宋体" w:hAnsi="宋体" w:eastAsia="宋体" w:cs="Times New Roman"/>
      <w:color w:val="000000"/>
      <w:sz w:val="20"/>
      <w:szCs w:val="20"/>
      <w:u w:val="none"/>
    </w:rPr>
  </w:style>
  <w:style w:type="character" w:customStyle="1" w:styleId="35">
    <w:name w:val="font21"/>
    <w:basedOn w:val="13"/>
    <w:qFormat/>
    <w:uiPriority w:val="0"/>
    <w:rPr>
      <w:rFonts w:hint="eastAsia" w:ascii="宋体" w:hAnsi="宋体" w:eastAsia="宋体" w:cs="宋体"/>
      <w:color w:val="000000"/>
      <w:sz w:val="18"/>
      <w:szCs w:val="18"/>
      <w:u w:val="none"/>
    </w:rPr>
  </w:style>
  <w:style w:type="paragraph" w:customStyle="1" w:styleId="36">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2020-08-11T06:24:30Z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