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73" w:rsidRDefault="00A95773" w:rsidP="00A95773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1B744F" wp14:editId="5349E8C5">
            <wp:simplePos x="0" y="0"/>
            <wp:positionH relativeFrom="column">
              <wp:posOffset>1564834</wp:posOffset>
            </wp:positionH>
            <wp:positionV relativeFrom="paragraph">
              <wp:posOffset>-336633</wp:posOffset>
            </wp:positionV>
            <wp:extent cx="2765425" cy="524510"/>
            <wp:effectExtent l="0" t="0" r="0" b="0"/>
            <wp:wrapSquare wrapText="bothSides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0588" w:rsidRDefault="00C60588" w:rsidP="00A95773">
      <w:pPr>
        <w:jc w:val="center"/>
        <w:rPr>
          <w:rFonts w:ascii="宋体" w:hAnsi="宋体"/>
          <w:b/>
          <w:bCs/>
          <w:sz w:val="36"/>
          <w:szCs w:val="36"/>
        </w:rPr>
      </w:pPr>
    </w:p>
    <w:p w:rsidR="009B7588" w:rsidRPr="00A95773" w:rsidRDefault="00E9378D" w:rsidP="00A95773">
      <w:pPr>
        <w:jc w:val="center"/>
        <w:rPr>
          <w:rFonts w:ascii="宋体" w:hAnsi="宋体"/>
          <w:b/>
          <w:bCs/>
          <w:sz w:val="36"/>
          <w:szCs w:val="36"/>
        </w:rPr>
      </w:pPr>
      <w:r w:rsidRPr="00E9378D">
        <w:rPr>
          <w:rFonts w:ascii="宋体" w:hAnsi="宋体" w:hint="eastAsia"/>
          <w:b/>
          <w:bCs/>
          <w:sz w:val="36"/>
          <w:szCs w:val="36"/>
        </w:rPr>
        <w:t>深圳市儿童医院</w:t>
      </w:r>
      <w:r w:rsidR="00FA5CA9">
        <w:rPr>
          <w:rFonts w:ascii="宋体" w:hAnsi="宋体" w:hint="eastAsia"/>
          <w:b/>
          <w:bCs/>
          <w:sz w:val="36"/>
          <w:szCs w:val="36"/>
        </w:rPr>
        <w:t>试剂</w:t>
      </w:r>
      <w:r w:rsidR="005B3A63">
        <w:rPr>
          <w:rFonts w:ascii="宋体" w:hAnsi="宋体" w:hint="eastAsia"/>
          <w:b/>
          <w:bCs/>
          <w:sz w:val="36"/>
          <w:szCs w:val="36"/>
        </w:rPr>
        <w:t>采购需求参数表</w:t>
      </w:r>
    </w:p>
    <w:tbl>
      <w:tblPr>
        <w:tblStyle w:val="a7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363"/>
      </w:tblGrid>
      <w:tr w:rsidR="00A7380E" w:rsidTr="00A73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0E" w:rsidRDefault="00A7380E" w:rsidP="00A7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0E" w:rsidRDefault="00A7380E" w:rsidP="00A7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试剂名称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0E" w:rsidRDefault="00A7380E" w:rsidP="00A7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具体参数需求</w:t>
            </w:r>
          </w:p>
        </w:tc>
      </w:tr>
      <w:tr w:rsidR="00A7380E" w:rsidTr="00A7380E">
        <w:trPr>
          <w:trHeight w:val="2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0E" w:rsidRDefault="00A7380E" w:rsidP="00A738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0E" w:rsidRDefault="00A7380E" w:rsidP="00A7380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抗核抗体</w:t>
            </w:r>
            <w:r>
              <w:rPr>
                <w:rFonts w:hint="eastAsia"/>
              </w:rPr>
              <w:t>I</w:t>
            </w:r>
            <w:r>
              <w:t>gG</w:t>
            </w:r>
            <w:r>
              <w:rPr>
                <w:rFonts w:hint="eastAsia"/>
              </w:rPr>
              <w:t>检测试剂盒（间接免疫荧光法）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0E" w:rsidRDefault="00A7380E" w:rsidP="00A7380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、具备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张、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张、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张多种人份规格；马赛克生物薄片组合技术，不同项目的检测基质同时组合在同一反应区，一份样本即可完成多种项目检测；</w:t>
            </w:r>
          </w:p>
          <w:p w:rsidR="00A7380E" w:rsidRDefault="00A7380E" w:rsidP="00A7380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、滴定平板载片倒扣孵育技术，样本孵育过程杜绝水分蒸发及外界干扰；</w:t>
            </w:r>
          </w:p>
          <w:p w:rsidR="00A7380E" w:rsidRDefault="00A7380E" w:rsidP="00A7380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HEp2</w:t>
            </w:r>
            <w:r>
              <w:rPr>
                <w:rFonts w:hint="eastAsia"/>
              </w:rPr>
              <w:t>细胞和猴肝组合的检测基质；初筛稀释度为</w:t>
            </w:r>
            <w:r>
              <w:rPr>
                <w:rFonts w:hint="eastAsia"/>
              </w:rPr>
              <w:t>1:100</w:t>
            </w:r>
            <w:r>
              <w:rPr>
                <w:rFonts w:hint="eastAsia"/>
              </w:rPr>
              <w:t>，采用</w:t>
            </w: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倍滴度系统。</w:t>
            </w:r>
          </w:p>
          <w:p w:rsidR="00A7380E" w:rsidRDefault="00A7380E" w:rsidP="00A7380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、临床灵敏度</w:t>
            </w:r>
            <w:r>
              <w:rPr>
                <w:rFonts w:hint="eastAsia"/>
              </w:rPr>
              <w:t>100%</w:t>
            </w:r>
          </w:p>
          <w:p w:rsidR="00A7380E" w:rsidRDefault="00A7380E" w:rsidP="00A7380E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、临床特异性</w:t>
            </w:r>
            <w:r>
              <w:rPr>
                <w:rFonts w:hint="eastAsia"/>
              </w:rPr>
              <w:t>96%</w:t>
            </w:r>
          </w:p>
          <w:p w:rsidR="00A7380E" w:rsidRDefault="00A7380E" w:rsidP="00A7380E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、批间重复性：用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份特征性血清对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个批号的产品进行检测，比较阳性血清检测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的结果，要求特异性荧光强度基本一致，阴性血清检测的结果为阴性。</w:t>
            </w:r>
          </w:p>
          <w:p w:rsidR="00A7380E" w:rsidRDefault="00A7380E" w:rsidP="00A7380E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、抗干扰：溶血、脂血和黄疸血样不影响实验。</w:t>
            </w:r>
          </w:p>
          <w:p w:rsidR="00A7380E" w:rsidRDefault="00A7380E" w:rsidP="00A7380E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、有配套的获得</w:t>
            </w:r>
            <w:r>
              <w:rPr>
                <w:rFonts w:hint="eastAsia"/>
              </w:rPr>
              <w:t>CFDA</w:t>
            </w:r>
            <w:r>
              <w:rPr>
                <w:rFonts w:hint="eastAsia"/>
              </w:rPr>
              <w:t>认证的全自动仪器和全自动结果判读仪</w:t>
            </w:r>
          </w:p>
          <w:p w:rsidR="00A7380E" w:rsidRPr="00A7380E" w:rsidRDefault="00A7380E" w:rsidP="00A7380E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、国内市场占有率前三</w:t>
            </w:r>
          </w:p>
        </w:tc>
      </w:tr>
      <w:tr w:rsidR="00A7380E" w:rsidTr="00A7380E">
        <w:trPr>
          <w:trHeight w:val="2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0E" w:rsidRDefault="00A7380E" w:rsidP="00A73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0E" w:rsidRDefault="00A7380E" w:rsidP="00A7380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抗中性粒细胞浆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抗肾小球基底膜抗体</w:t>
            </w:r>
            <w:r>
              <w:rPr>
                <w:rFonts w:hint="eastAsia"/>
              </w:rPr>
              <w:t>IGg</w:t>
            </w:r>
            <w:r>
              <w:rPr>
                <w:rFonts w:hint="eastAsia"/>
              </w:rPr>
              <w:t>检测试剂盒（间接免疫荧光法）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0E" w:rsidRDefault="00A7380E" w:rsidP="00A7380E">
            <w:pPr>
              <w:widowControl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、具备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张、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张、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张多种人份规格；马赛克生物薄片组合技术，不同项目的检测基质同时组合在同一反应区，一份样本即可完成多种项目检测；</w:t>
            </w:r>
          </w:p>
          <w:p w:rsidR="00A7380E" w:rsidRDefault="00A7380E" w:rsidP="00A7380E">
            <w:pPr>
              <w:widowControl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、滴定平板载片倒扣孵育技术，样本孵育过程杜绝水分蒸发及外界干扰；</w:t>
            </w:r>
          </w:p>
          <w:p w:rsidR="00A7380E" w:rsidRDefault="00A7380E" w:rsidP="00A7380E">
            <w:pPr>
              <w:widowControl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HEp 2 </w:t>
            </w:r>
            <w:r>
              <w:rPr>
                <w:rFonts w:hint="eastAsia"/>
              </w:rPr>
              <w:t>细胞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粒细胞、粒细胞（甲醛固定）、粒细胞（乙醇固定）检测基质；</w:t>
            </w:r>
          </w:p>
          <w:p w:rsidR="00A7380E" w:rsidRDefault="00A7380E" w:rsidP="00A7380E">
            <w:pPr>
              <w:widowControl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、初筛稀释度为</w:t>
            </w:r>
            <w:r>
              <w:rPr>
                <w:rFonts w:hint="eastAsia"/>
              </w:rPr>
              <w:t>1:10</w:t>
            </w:r>
            <w:r>
              <w:rPr>
                <w:rFonts w:hint="eastAsia"/>
              </w:rPr>
              <w:t>，采用</w:t>
            </w: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倍滴度系统。</w:t>
            </w:r>
          </w:p>
          <w:p w:rsidR="00A7380E" w:rsidRDefault="00A7380E" w:rsidP="00A7380E">
            <w:pPr>
              <w:widowControl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、临床灵敏度</w:t>
            </w:r>
            <w:r>
              <w:rPr>
                <w:rFonts w:hint="eastAsia"/>
              </w:rPr>
              <w:t>80%</w:t>
            </w:r>
          </w:p>
          <w:p w:rsidR="00A7380E" w:rsidRDefault="00A7380E" w:rsidP="00A7380E">
            <w:pPr>
              <w:widowControl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、临床特异性</w:t>
            </w:r>
            <w:r>
              <w:rPr>
                <w:rFonts w:hint="eastAsia"/>
              </w:rPr>
              <w:t>99%</w:t>
            </w:r>
          </w:p>
          <w:p w:rsidR="00A7380E" w:rsidRDefault="00A7380E" w:rsidP="00A7380E">
            <w:pPr>
              <w:widowControl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、批内重复性：用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份特征性血清对同一批号的产品进行检测，每份血清检测</w:t>
            </w:r>
            <w:r>
              <w:rPr>
                <w:rFonts w:hint="eastAsia"/>
              </w:rPr>
              <w:t xml:space="preserve"> 10 </w:t>
            </w:r>
            <w:r>
              <w:rPr>
                <w:rFonts w:hint="eastAsia"/>
              </w:rPr>
              <w:t>次，比较阳性血清检测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的结果，要求特异性荧光强度基本一致，阴性血清检测的结果为阴性。</w:t>
            </w:r>
          </w:p>
          <w:p w:rsidR="00A7380E" w:rsidRDefault="00A7380E" w:rsidP="00A7380E">
            <w:pPr>
              <w:widowControl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、批间重复性：用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份特征性血清对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个批号的产品进行检测，比较阳性血清检测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的结果，要求特异性荧光强度基本一致，阴性血清检测的结果为阴性。</w:t>
            </w:r>
          </w:p>
          <w:p w:rsidR="00A7380E" w:rsidRDefault="00A7380E" w:rsidP="00A7380E">
            <w:pPr>
              <w:widowControl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、抗干扰：溶血、脂血、类风湿因子和黄疸血样不影响实验。</w:t>
            </w:r>
          </w:p>
          <w:p w:rsidR="00A7380E" w:rsidRDefault="00A7380E" w:rsidP="00A7380E">
            <w:pPr>
              <w:widowControl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、有配套的获得</w:t>
            </w:r>
            <w:r>
              <w:rPr>
                <w:rFonts w:hint="eastAsia"/>
              </w:rPr>
              <w:t>CFDA</w:t>
            </w:r>
            <w:r>
              <w:rPr>
                <w:rFonts w:hint="eastAsia"/>
              </w:rPr>
              <w:t>认证的全自动仪器和全自动结果判读仪。</w:t>
            </w:r>
          </w:p>
          <w:p w:rsidR="00A7380E" w:rsidRPr="00A7380E" w:rsidRDefault="00A7380E" w:rsidP="00A7380E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、国内市场占有率前三</w:t>
            </w:r>
          </w:p>
        </w:tc>
      </w:tr>
      <w:tr w:rsidR="00A7380E" w:rsidTr="00A7380E">
        <w:trPr>
          <w:trHeight w:val="2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0E" w:rsidRDefault="00A7380E" w:rsidP="00A73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0E" w:rsidRDefault="00A7380E" w:rsidP="00A7380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抗肺炎衣原体抗体</w:t>
            </w:r>
            <w:r>
              <w:rPr>
                <w:rFonts w:ascii="宋体" w:hAnsi="宋体"/>
                <w:color w:val="000000"/>
                <w:kern w:val="0"/>
              </w:rPr>
              <w:t>IgM 检测试剂盒 (酶联免疫吸附法)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0E" w:rsidRDefault="00A7380E" w:rsidP="00A7380E">
            <w:pPr>
              <w:pStyle w:val="11"/>
              <w:autoSpaceDE w:val="0"/>
              <w:autoSpaceDN w:val="0"/>
              <w:adjustRightInd w:val="0"/>
              <w:ind w:firstLineChars="0" w:firstLine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1、用于体外半定量检测人血清或血浆中的肺炎衣原体IgM 抗体；</w:t>
            </w:r>
          </w:p>
          <w:p w:rsidR="00A7380E" w:rsidRDefault="00A7380E" w:rsidP="00A7380E">
            <w:pPr>
              <w:pStyle w:val="11"/>
              <w:autoSpaceDE w:val="0"/>
              <w:autoSpaceDN w:val="0"/>
              <w:adjustRightInd w:val="0"/>
              <w:ind w:firstLineChars="0" w:firstLine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2、</w:t>
            </w:r>
            <w:r>
              <w:rPr>
                <w:rFonts w:ascii="宋体" w:hAnsi="宋体"/>
                <w:color w:val="000000"/>
                <w:kern w:val="0"/>
              </w:rPr>
              <w:t>临床特异性</w:t>
            </w:r>
            <w:r>
              <w:rPr>
                <w:rFonts w:ascii="宋体" w:hAnsi="宋体" w:hint="eastAsia"/>
                <w:color w:val="000000"/>
                <w:kern w:val="0"/>
              </w:rPr>
              <w:t>大于90%</w:t>
            </w:r>
            <w:r>
              <w:rPr>
                <w:rFonts w:ascii="宋体" w:hAnsi="宋体"/>
                <w:color w:val="000000"/>
                <w:kern w:val="0"/>
              </w:rPr>
              <w:t>；</w:t>
            </w:r>
          </w:p>
          <w:p w:rsidR="00A7380E" w:rsidRDefault="00A7380E" w:rsidP="00A7380E">
            <w:pPr>
              <w:pStyle w:val="11"/>
              <w:autoSpaceDE w:val="0"/>
              <w:autoSpaceDN w:val="0"/>
              <w:adjustRightInd w:val="0"/>
              <w:ind w:firstLineChars="0" w:firstLine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3、临床灵敏度大于90%</w:t>
            </w:r>
          </w:p>
          <w:p w:rsidR="00A7380E" w:rsidRDefault="00A7380E" w:rsidP="00A7380E">
            <w:pPr>
              <w:pStyle w:val="11"/>
              <w:autoSpaceDE w:val="0"/>
              <w:autoSpaceDN w:val="0"/>
              <w:adjustRightInd w:val="0"/>
              <w:ind w:firstLineChars="0" w:firstLine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4、有</w:t>
            </w:r>
            <w:r>
              <w:rPr>
                <w:rFonts w:ascii="宋体" w:hAnsi="宋体"/>
                <w:color w:val="000000"/>
                <w:kern w:val="0"/>
              </w:rPr>
              <w:t>NMPA注册证</w:t>
            </w:r>
          </w:p>
          <w:p w:rsidR="00A7380E" w:rsidRDefault="00A7380E" w:rsidP="00A7380E">
            <w:pPr>
              <w:pStyle w:val="11"/>
              <w:autoSpaceDE w:val="0"/>
              <w:autoSpaceDN w:val="0"/>
              <w:adjustRightInd w:val="0"/>
              <w:ind w:firstLineChars="0" w:firstLine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5、与巨细胞病毒、</w:t>
            </w:r>
            <w:r>
              <w:rPr>
                <w:rFonts w:ascii="宋体" w:hAnsi="宋体"/>
                <w:color w:val="000000"/>
                <w:kern w:val="0"/>
              </w:rPr>
              <w:t>EB病毒衣壳抗原、麻疹病毒、细小病毒B19、风疹病毒等无交叉反应</w:t>
            </w:r>
          </w:p>
          <w:p w:rsidR="00A7380E" w:rsidRDefault="00A7380E" w:rsidP="00A7380E">
            <w:pPr>
              <w:pStyle w:val="11"/>
              <w:autoSpaceDE w:val="0"/>
              <w:autoSpaceDN w:val="0"/>
              <w:adjustRightInd w:val="0"/>
              <w:ind w:firstLineChars="0" w:firstLine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6、最低检出限为S/CO=</w:t>
            </w:r>
            <w:r>
              <w:rPr>
                <w:rFonts w:ascii="宋体" w:hAnsi="宋体"/>
                <w:color w:val="000000"/>
                <w:kern w:val="0"/>
              </w:rPr>
              <w:t>0.03</w:t>
            </w:r>
          </w:p>
          <w:p w:rsidR="00A7380E" w:rsidRDefault="00A7380E" w:rsidP="00A7380E">
            <w:pPr>
              <w:pStyle w:val="11"/>
              <w:autoSpaceDE w:val="0"/>
              <w:autoSpaceDN w:val="0"/>
              <w:adjustRightInd w:val="0"/>
              <w:ind w:firstLineChars="0" w:firstLine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7、批内重复性＜</w:t>
            </w:r>
            <w:r>
              <w:rPr>
                <w:rFonts w:ascii="宋体" w:hAnsi="宋体"/>
                <w:color w:val="000000"/>
                <w:kern w:val="0"/>
              </w:rPr>
              <w:t>6%</w:t>
            </w:r>
          </w:p>
          <w:p w:rsidR="00A7380E" w:rsidRDefault="00A7380E" w:rsidP="00A7380E">
            <w:pPr>
              <w:pStyle w:val="11"/>
              <w:autoSpaceDE w:val="0"/>
              <w:autoSpaceDN w:val="0"/>
              <w:adjustRightInd w:val="0"/>
              <w:ind w:firstLineChars="0" w:firstLine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8、批间重复性＜</w:t>
            </w:r>
            <w:r>
              <w:rPr>
                <w:rFonts w:ascii="宋体" w:hAnsi="宋体"/>
                <w:color w:val="000000"/>
                <w:kern w:val="0"/>
              </w:rPr>
              <w:t>10%</w:t>
            </w:r>
          </w:p>
          <w:p w:rsidR="00A7380E" w:rsidRDefault="00A7380E" w:rsidP="00A7380E">
            <w:pPr>
              <w:pStyle w:val="11"/>
              <w:autoSpaceDE w:val="0"/>
              <w:autoSpaceDN w:val="0"/>
              <w:adjustRightInd w:val="0"/>
              <w:ind w:firstLineChars="0" w:firstLine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9、</w:t>
            </w:r>
            <w:r>
              <w:rPr>
                <w:rFonts w:ascii="宋体" w:hAnsi="宋体"/>
                <w:color w:val="000000"/>
                <w:kern w:val="0"/>
              </w:rPr>
              <w:t>溶血、脂血、黄疸对检测结果没有影响</w:t>
            </w:r>
          </w:p>
          <w:p w:rsidR="00A7380E" w:rsidRDefault="00A7380E" w:rsidP="00A7380E">
            <w:pPr>
              <w:pStyle w:val="11"/>
              <w:autoSpaceDE w:val="0"/>
              <w:autoSpaceDN w:val="0"/>
              <w:adjustRightInd w:val="0"/>
              <w:ind w:firstLineChars="0" w:firstLine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10、有配套的获得</w:t>
            </w:r>
            <w:r>
              <w:rPr>
                <w:rFonts w:ascii="宋体" w:hAnsi="宋体"/>
                <w:color w:val="000000"/>
                <w:kern w:val="0"/>
              </w:rPr>
              <w:t>NMPA认证的全自动仪器和结果判读软件</w:t>
            </w:r>
          </w:p>
          <w:p w:rsidR="00A7380E" w:rsidRPr="00A7380E" w:rsidRDefault="00A7380E" w:rsidP="00A7380E">
            <w:pPr>
              <w:pStyle w:val="11"/>
              <w:autoSpaceDE w:val="0"/>
              <w:autoSpaceDN w:val="0"/>
              <w:adjustRightInd w:val="0"/>
              <w:ind w:firstLineChars="0" w:firstLine="0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11、国内市场占有率前三</w:t>
            </w:r>
          </w:p>
        </w:tc>
      </w:tr>
      <w:tr w:rsidR="00A7380E" w:rsidTr="00A7380E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0E" w:rsidRDefault="00A7380E" w:rsidP="00A73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0E" w:rsidRDefault="00A7380E" w:rsidP="00A7380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抗肺炎支原体抗体</w:t>
            </w:r>
            <w:r>
              <w:rPr>
                <w:rFonts w:ascii="宋体" w:hAnsi="宋体"/>
                <w:color w:val="000000"/>
                <w:kern w:val="0"/>
              </w:rPr>
              <w:t>IgM 检测试剂盒 (酶联免疫吸附法)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0E" w:rsidRDefault="00A7380E" w:rsidP="00A7380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用于体外半定量检测人血清或血浆中的肺炎支原体IgM 抗体；</w:t>
            </w:r>
          </w:p>
          <w:p w:rsidR="00A7380E" w:rsidRDefault="00A7380E" w:rsidP="00A7380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</w:t>
            </w:r>
            <w:r>
              <w:rPr>
                <w:rFonts w:ascii="宋体" w:hAnsi="宋体"/>
                <w:color w:val="000000"/>
                <w:kern w:val="0"/>
              </w:rPr>
              <w:t>、临床特异性≥89%；</w:t>
            </w:r>
          </w:p>
          <w:p w:rsidR="00A7380E" w:rsidRDefault="00A7380E" w:rsidP="00A7380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3、取得N</w:t>
            </w:r>
            <w:r>
              <w:rPr>
                <w:rFonts w:ascii="宋体" w:hAnsi="宋体"/>
                <w:color w:val="000000"/>
                <w:kern w:val="0"/>
              </w:rPr>
              <w:t>MPA</w:t>
            </w:r>
            <w:r>
              <w:rPr>
                <w:rFonts w:ascii="宋体" w:hAnsi="宋体" w:hint="eastAsia"/>
                <w:color w:val="000000"/>
                <w:kern w:val="0"/>
              </w:rPr>
              <w:t>注册证；</w:t>
            </w:r>
          </w:p>
          <w:p w:rsidR="00A7380E" w:rsidRDefault="00A7380E" w:rsidP="00A7380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4、与巨细胞病毒、</w:t>
            </w:r>
            <w:r>
              <w:rPr>
                <w:rFonts w:ascii="宋体" w:hAnsi="宋体"/>
                <w:color w:val="000000"/>
                <w:kern w:val="0"/>
              </w:rPr>
              <w:t>EB病毒衣壳抗原、麻疹病毒、单纯疱疹病毒混合型、风疹病毒等无交叉反应</w:t>
            </w:r>
          </w:p>
          <w:p w:rsidR="00A7380E" w:rsidRDefault="00A7380E" w:rsidP="00A7380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5、最低检出限为S/CO比值</w:t>
            </w:r>
            <w:r>
              <w:rPr>
                <w:rFonts w:ascii="宋体" w:hAnsi="宋体"/>
                <w:color w:val="000000"/>
                <w:kern w:val="0"/>
              </w:rPr>
              <w:t>0.1</w:t>
            </w:r>
          </w:p>
          <w:p w:rsidR="00A7380E" w:rsidRDefault="00A7380E" w:rsidP="00A7380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6、检测灵敏度：大于9</w:t>
            </w:r>
            <w:r>
              <w:rPr>
                <w:rFonts w:ascii="宋体" w:hAnsi="宋体"/>
                <w:color w:val="000000"/>
                <w:kern w:val="0"/>
              </w:rPr>
              <w:t>0%</w:t>
            </w:r>
          </w:p>
          <w:p w:rsidR="00A7380E" w:rsidRDefault="00A7380E" w:rsidP="00A7380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7、批内重复性＜</w:t>
            </w:r>
            <w:r>
              <w:rPr>
                <w:rFonts w:ascii="宋体" w:hAnsi="宋体"/>
                <w:color w:val="000000"/>
                <w:kern w:val="0"/>
              </w:rPr>
              <w:t>12%</w:t>
            </w:r>
          </w:p>
          <w:p w:rsidR="00A7380E" w:rsidRDefault="00A7380E" w:rsidP="00A7380E">
            <w:pPr>
              <w:autoSpaceDE w:val="0"/>
              <w:autoSpaceDN w:val="0"/>
              <w:adjustRightInd w:val="0"/>
            </w:pPr>
            <w:r>
              <w:rPr>
                <w:rFonts w:ascii="宋体" w:hAnsi="宋体" w:hint="eastAsia"/>
                <w:color w:val="000000"/>
                <w:kern w:val="0"/>
              </w:rPr>
              <w:t>8、批间重复性＜</w:t>
            </w:r>
            <w:r>
              <w:rPr>
                <w:rFonts w:ascii="宋体" w:hAnsi="宋体"/>
                <w:color w:val="000000"/>
                <w:kern w:val="0"/>
              </w:rPr>
              <w:t>11%</w:t>
            </w:r>
          </w:p>
          <w:p w:rsidR="00A7380E" w:rsidRDefault="00A7380E" w:rsidP="00A7380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、干扰试验：溶血、脂血、黄疸对检测结果没有影响</w:t>
            </w:r>
          </w:p>
          <w:p w:rsidR="00A7380E" w:rsidRDefault="00A7380E" w:rsidP="00A7380E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lastRenderedPageBreak/>
              <w:t>10、有配套的获得</w:t>
            </w:r>
            <w:r>
              <w:rPr>
                <w:rFonts w:ascii="宋体" w:hAnsi="宋体"/>
                <w:color w:val="000000"/>
                <w:kern w:val="0"/>
              </w:rPr>
              <w:t>NMPA认证的全自动仪器和结果判读软件</w:t>
            </w:r>
          </w:p>
          <w:p w:rsidR="00A7380E" w:rsidRPr="00A7380E" w:rsidRDefault="00A7380E" w:rsidP="00A7380E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11、国内市场占有率前三</w:t>
            </w:r>
          </w:p>
        </w:tc>
      </w:tr>
      <w:tr w:rsidR="00A7380E" w:rsidTr="00A7380E">
        <w:trPr>
          <w:trHeight w:val="2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0E" w:rsidRDefault="00A7380E" w:rsidP="00A738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0E" w:rsidRDefault="00A7380E" w:rsidP="00A7380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</w:rPr>
              <w:t>抗髓过氧化物酶、蛋白酶3、肾小球基底膜抗体IgG检测试剂盒（免疫印迹法）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0E" w:rsidRDefault="00A7380E" w:rsidP="00A7380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同一膜条上同时检测人血清或血浆中的抗髓过氧化物酶（MPO）、蛋白酶3（PR3）、肾小球基底膜（GBM）的IgG 类抗体；</w:t>
            </w:r>
          </w:p>
          <w:p w:rsidR="00A7380E" w:rsidRDefault="00A7380E" w:rsidP="00A7380E"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、内置阳性对照；</w:t>
            </w:r>
          </w:p>
          <w:p w:rsidR="00A7380E" w:rsidRDefault="00A7380E" w:rsidP="00A7380E"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3、临床灵敏度84%-95%</w:t>
            </w:r>
          </w:p>
          <w:p w:rsidR="00A7380E" w:rsidRDefault="00A7380E" w:rsidP="00A7380E"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4、临床特异性88%-100%</w:t>
            </w:r>
          </w:p>
          <w:p w:rsidR="00A7380E" w:rsidRDefault="00A7380E" w:rsidP="00A7380E"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5、重复性：批间差异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0"/>
              </w:rPr>
              <w:t>与批内差异好。</w:t>
            </w:r>
          </w:p>
          <w:p w:rsidR="00A7380E" w:rsidRDefault="00A7380E" w:rsidP="00A7380E"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6、交叉反应：无，高特异性。</w:t>
            </w:r>
          </w:p>
          <w:p w:rsidR="00A7380E" w:rsidRDefault="00A7380E" w:rsidP="00A7380E"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7、抗干扰：溶血，脂血和黄疸标本对检测结果没有干扰。</w:t>
            </w:r>
          </w:p>
          <w:p w:rsidR="00A7380E" w:rsidRDefault="00A7380E" w:rsidP="00A7380E"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8、有配套的获得CFDA认证的全自动分析仪器。</w:t>
            </w:r>
          </w:p>
          <w:p w:rsidR="00A7380E" w:rsidRPr="00A7380E" w:rsidRDefault="00A7380E" w:rsidP="00A7380E">
            <w:pPr>
              <w:widowControl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</w:rPr>
              <w:t>国内市场占有率前三</w:t>
            </w:r>
          </w:p>
        </w:tc>
      </w:tr>
    </w:tbl>
    <w:p w:rsidR="001D4F49" w:rsidRPr="00A7380E" w:rsidRDefault="001D4F49" w:rsidP="00B34EC8">
      <w:pPr>
        <w:rPr>
          <w:rFonts w:ascii="宋体" w:hAnsi="宋体"/>
          <w:b/>
          <w:bCs/>
          <w:sz w:val="24"/>
        </w:rPr>
      </w:pPr>
    </w:p>
    <w:sectPr w:rsidR="001D4F49" w:rsidRPr="00A7380E" w:rsidSect="00917972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AD0" w:rsidRDefault="00232AD0" w:rsidP="001D4F49">
      <w:r>
        <w:separator/>
      </w:r>
    </w:p>
  </w:endnote>
  <w:endnote w:type="continuationSeparator" w:id="0">
    <w:p w:rsidR="00232AD0" w:rsidRDefault="00232AD0" w:rsidP="001D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AD0" w:rsidRDefault="00232AD0" w:rsidP="001D4F49">
      <w:r>
        <w:separator/>
      </w:r>
    </w:p>
  </w:footnote>
  <w:footnote w:type="continuationSeparator" w:id="0">
    <w:p w:rsidR="00232AD0" w:rsidRDefault="00232AD0" w:rsidP="001D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319D55"/>
    <w:multiLevelType w:val="multilevel"/>
    <w:tmpl w:val="8A319D55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8FE0399B"/>
    <w:multiLevelType w:val="singleLevel"/>
    <w:tmpl w:val="8FE0399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8F2EF8F"/>
    <w:multiLevelType w:val="singleLevel"/>
    <w:tmpl w:val="38F2EF8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5E100DB"/>
    <w:multiLevelType w:val="hybridMultilevel"/>
    <w:tmpl w:val="3B2ECAEE"/>
    <w:lvl w:ilvl="0" w:tplc="6FE29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1717B"/>
    <w:rsid w:val="00051394"/>
    <w:rsid w:val="00126648"/>
    <w:rsid w:val="001D4F49"/>
    <w:rsid w:val="00203F52"/>
    <w:rsid w:val="00232AD0"/>
    <w:rsid w:val="002A41EF"/>
    <w:rsid w:val="002D4BC7"/>
    <w:rsid w:val="002E71B1"/>
    <w:rsid w:val="003003AA"/>
    <w:rsid w:val="00366FE3"/>
    <w:rsid w:val="003D6D7F"/>
    <w:rsid w:val="00492D6C"/>
    <w:rsid w:val="004C0F6B"/>
    <w:rsid w:val="00542AAB"/>
    <w:rsid w:val="005708F0"/>
    <w:rsid w:val="00580372"/>
    <w:rsid w:val="005B3A63"/>
    <w:rsid w:val="005D04D8"/>
    <w:rsid w:val="005D1515"/>
    <w:rsid w:val="005E3E42"/>
    <w:rsid w:val="00625820"/>
    <w:rsid w:val="00763593"/>
    <w:rsid w:val="00774C4E"/>
    <w:rsid w:val="007C5B24"/>
    <w:rsid w:val="00816F83"/>
    <w:rsid w:val="008E414B"/>
    <w:rsid w:val="00917972"/>
    <w:rsid w:val="009B58B3"/>
    <w:rsid w:val="009B7588"/>
    <w:rsid w:val="009F6854"/>
    <w:rsid w:val="00A1795D"/>
    <w:rsid w:val="00A7380E"/>
    <w:rsid w:val="00A95773"/>
    <w:rsid w:val="00AF68F6"/>
    <w:rsid w:val="00B16D72"/>
    <w:rsid w:val="00B241BC"/>
    <w:rsid w:val="00B34EC8"/>
    <w:rsid w:val="00B703C8"/>
    <w:rsid w:val="00C60588"/>
    <w:rsid w:val="00CE5B0C"/>
    <w:rsid w:val="00D4244A"/>
    <w:rsid w:val="00DB1F67"/>
    <w:rsid w:val="00DB386B"/>
    <w:rsid w:val="00E11799"/>
    <w:rsid w:val="00E9378D"/>
    <w:rsid w:val="00EE2CB3"/>
    <w:rsid w:val="00FA4E38"/>
    <w:rsid w:val="00FA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7D00F"/>
  <w15:docId w15:val="{BDCC18E0-9DF1-4FF4-82D2-D55374BC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7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917972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1797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1D4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F4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F49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qFormat/>
    <w:rsid w:val="0076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17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11799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11799"/>
    <w:pPr>
      <w:ind w:firstLineChars="200" w:firstLine="420"/>
    </w:pPr>
  </w:style>
  <w:style w:type="paragraph" w:customStyle="1" w:styleId="11">
    <w:name w:val="列出段落1"/>
    <w:basedOn w:val="a"/>
    <w:uiPriority w:val="34"/>
    <w:qFormat/>
    <w:rsid w:val="00A738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2020-01-14T01:25:00Z</cp:lastPrinted>
  <dcterms:created xsi:type="dcterms:W3CDTF">2020-09-18T09:09:00Z</dcterms:created>
  <dcterms:modified xsi:type="dcterms:W3CDTF">2020-09-18T09:09:00Z</dcterms:modified>
</cp:coreProperties>
</file>