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9</w:t>
      </w:r>
      <w:r>
        <w:rPr>
          <w:rFonts w:hint="eastAsia" w:ascii="宋体" w:hAnsi="宋体"/>
          <w:color w:val="auto"/>
          <w:sz w:val="40"/>
          <w:szCs w:val="40"/>
        </w:rPr>
        <w:t>万元</w:t>
      </w:r>
    </w:p>
    <w:p>
      <w:pPr>
        <w:spacing w:after="78"/>
        <w:jc w:val="center"/>
        <w:outlineLvl w:val="0"/>
        <w:rPr>
          <w:rFonts w:ascii="宋体" w:hAnsi="宋体"/>
          <w:color w:val="auto"/>
          <w:sz w:val="40"/>
          <w:szCs w:val="40"/>
        </w:rPr>
      </w:pPr>
      <w:r>
        <w:rPr>
          <w:rFonts w:hint="eastAsia" w:ascii="宋体" w:hAnsi="宋体"/>
          <w:color w:val="auto"/>
          <w:sz w:val="40"/>
          <w:szCs w:val="40"/>
        </w:rPr>
        <w:t>招标参数</w:t>
      </w:r>
    </w:p>
    <w:tbl>
      <w:tblPr>
        <w:tblStyle w:val="1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574"/>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gridSpan w:val="2"/>
            <w:tcBorders>
              <w:top w:val="single" w:color="auto" w:sz="4" w:space="0"/>
              <w:left w:val="single" w:color="auto" w:sz="4" w:space="0"/>
              <w:bottom w:val="single" w:color="auto" w:sz="4" w:space="0"/>
              <w:right w:val="single" w:color="auto" w:sz="4" w:space="0"/>
            </w:tcBorders>
            <w:vAlign w:val="top"/>
          </w:tcPr>
          <w:p>
            <w:pPr>
              <w:spacing w:after="78"/>
              <w:jc w:val="center"/>
              <w:rPr>
                <w:color w:val="000000"/>
                <w:sz w:val="22"/>
                <w:szCs w:val="22"/>
              </w:rPr>
            </w:pPr>
          </w:p>
          <w:p>
            <w:pPr>
              <w:spacing w:after="78"/>
              <w:jc w:val="center"/>
              <w:rPr>
                <w:color w:val="000000"/>
                <w:sz w:val="22"/>
                <w:szCs w:val="22"/>
              </w:rPr>
            </w:pPr>
            <w:r>
              <w:rPr>
                <w:rFonts w:hint="eastAsia"/>
                <w:color w:val="000000"/>
                <w:sz w:val="22"/>
                <w:szCs w:val="22"/>
              </w:rPr>
              <w:t>婴幼儿氧舱玻璃筒体</w:t>
            </w:r>
          </w:p>
          <w:p>
            <w:pPr>
              <w:spacing w:after="78"/>
              <w:jc w:val="center"/>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gridSpan w:val="2"/>
            <w:tcBorders>
              <w:top w:val="single" w:color="auto" w:sz="4" w:space="0"/>
              <w:left w:val="single" w:color="auto" w:sz="4" w:space="0"/>
              <w:bottom w:val="single" w:color="auto" w:sz="4" w:space="0"/>
              <w:right w:val="single" w:color="auto" w:sz="4" w:space="0"/>
            </w:tcBorders>
            <w:vAlign w:val="top"/>
          </w:tcPr>
          <w:p>
            <w:pPr>
              <w:spacing w:after="78"/>
              <w:rPr>
                <w:rFonts w:hint="eastAsia" w:ascii="宋体" w:hAnsi="宋体" w:cs="宋体"/>
                <w:kern w:val="0"/>
                <w:sz w:val="24"/>
                <w:szCs w:val="24"/>
              </w:rPr>
            </w:pPr>
            <w:r>
              <w:rPr>
                <w:rFonts w:hint="eastAsia" w:ascii="宋体" w:hAnsi="宋体" w:cs="宋体"/>
                <w:kern w:val="0"/>
                <w:sz w:val="24"/>
                <w:szCs w:val="24"/>
              </w:rPr>
              <w:t>我科YLC0.5/1.5A婴幼儿氧舱玻璃筒体需要更换。</w:t>
            </w:r>
          </w:p>
          <w:p>
            <w:pPr>
              <w:spacing w:after="78"/>
              <w:rPr>
                <w:rFonts w:ascii="宋体" w:hAnsi="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宋体" w:hAnsi="宋体"/>
                <w:color w:val="000000"/>
                <w:kern w:val="0"/>
                <w:sz w:val="22"/>
                <w:szCs w:val="22"/>
              </w:rPr>
              <w:t>保修内容</w:t>
            </w:r>
          </w:p>
        </w:tc>
        <w:tc>
          <w:tcPr>
            <w:tcW w:w="7750"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left"/>
              <w:rPr>
                <w:color w:val="000000"/>
                <w:sz w:val="22"/>
                <w:szCs w:val="22"/>
              </w:rPr>
            </w:pPr>
            <w:r>
              <w:rPr>
                <w:rFonts w:ascii="宋体" w:hAnsi="宋体" w:cs="宋体"/>
                <w:kern w:val="0"/>
                <w:sz w:val="24"/>
                <w:szCs w:val="24"/>
              </w:rPr>
              <w:t>货物免费保修期</w:t>
            </w:r>
            <w:r>
              <w:rPr>
                <w:rFonts w:ascii="宋体" w:hAnsi="宋体" w:cs="宋体"/>
                <w:color w:val="FF0000"/>
                <w:kern w:val="0"/>
                <w:sz w:val="24"/>
                <w:szCs w:val="24"/>
              </w:rPr>
              <w:t xml:space="preserve"> </w:t>
            </w:r>
            <w:r>
              <w:rPr>
                <w:rFonts w:hint="eastAsia" w:ascii="宋体" w:hAnsi="宋体" w:cs="宋体"/>
                <w:color w:val="FF0000"/>
                <w:kern w:val="0"/>
                <w:sz w:val="24"/>
                <w:szCs w:val="24"/>
              </w:rPr>
              <w:t>贰</w:t>
            </w:r>
            <w:r>
              <w:rPr>
                <w:rFonts w:ascii="宋体" w:hAnsi="宋体" w:cs="宋体"/>
                <w:kern w:val="0"/>
                <w:sz w:val="24"/>
                <w:szCs w:val="24"/>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宋体" w:hAnsi="宋体"/>
                <w:bCs/>
                <w:color w:val="000000"/>
                <w:sz w:val="22"/>
                <w:szCs w:val="22"/>
              </w:rPr>
            </w:pPr>
            <w:r>
              <w:rPr>
                <w:rFonts w:hint="eastAsia" w:ascii="宋体" w:hAnsi="宋体"/>
                <w:b/>
                <w:bCs/>
                <w:color w:val="000000"/>
                <w:kern w:val="0"/>
                <w:sz w:val="22"/>
                <w:szCs w:val="22"/>
              </w:rPr>
              <w:t>商务参数</w:t>
            </w:r>
          </w:p>
        </w:tc>
        <w:tc>
          <w:tcPr>
            <w:tcW w:w="7750" w:type="dxa"/>
            <w:gridSpan w:val="2"/>
            <w:tcBorders>
              <w:top w:val="single" w:color="auto" w:sz="4" w:space="0"/>
              <w:left w:val="single" w:color="auto" w:sz="4" w:space="0"/>
              <w:bottom w:val="single" w:color="auto" w:sz="4" w:space="0"/>
              <w:right w:val="single" w:color="auto" w:sz="4" w:space="0"/>
            </w:tcBorders>
            <w:vAlign w:val="top"/>
          </w:tcPr>
          <w:tbl>
            <w:tblPr>
              <w:tblStyle w:val="11"/>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jc w:val="center"/>
              </w:trPr>
              <w:tc>
                <w:tcPr>
                  <w:tcW w:w="7766" w:type="dxa"/>
                </w:tcPr>
                <w:tbl>
                  <w:tblPr>
                    <w:tblStyle w:val="11"/>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货物免费保修期</w:t>
                        </w:r>
                        <w:r>
                          <w:rPr>
                            <w:rFonts w:ascii="宋体" w:hAnsi="宋体" w:cs="宋体"/>
                            <w:color w:val="FF0000"/>
                            <w:kern w:val="0"/>
                            <w:sz w:val="24"/>
                            <w:szCs w:val="24"/>
                          </w:rPr>
                          <w:t xml:space="preserve"> </w:t>
                        </w:r>
                        <w:r>
                          <w:rPr>
                            <w:rFonts w:hint="eastAsia" w:ascii="宋体" w:hAnsi="宋体" w:cs="宋体"/>
                            <w:color w:val="FF0000"/>
                            <w:kern w:val="0"/>
                            <w:sz w:val="24"/>
                            <w:szCs w:val="24"/>
                          </w:rPr>
                          <w:t>贰</w:t>
                        </w:r>
                        <w:r>
                          <w:rPr>
                            <w:rFonts w:ascii="宋体" w:hAnsi="宋体" w:cs="宋体"/>
                            <w:kern w:val="0"/>
                            <w:sz w:val="24"/>
                            <w:szCs w:val="24"/>
                          </w:rPr>
                          <w:t>年，时间自最终验收合格并交付使用之日起计算。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在保修期内，一旦发生质量问题，投标人保证在接到通知24小时内赶到现场进行修理或更换。</w:t>
                        </w:r>
                      </w:p>
                      <w:p>
                        <w:pPr>
                          <w:widowControl/>
                          <w:spacing w:before="100" w:beforeAutospacing="1" w:after="100" w:afterAutospacing="1" w:line="150" w:lineRule="atLeast"/>
                          <w:jc w:val="left"/>
                          <w:rPr>
                            <w:rFonts w:ascii="宋体" w:hAnsi="宋体" w:cs="宋体"/>
                            <w:kern w:val="0"/>
                            <w:sz w:val="24"/>
                            <w:szCs w:val="24"/>
                          </w:rPr>
                        </w:pPr>
                        <w:r>
                          <w:rPr>
                            <w:rFonts w:hint="eastAsia"/>
                          </w:rPr>
                          <w:t>2、厂家必须在广东省有固定售后服务工作站（提供工程师电话和技术维修力量情况和维修的详细地址及联系方式）。专业工程师免费现场安装</w:t>
                        </w:r>
                      </w:p>
                      <w:p>
                        <w:pPr>
                          <w:jc w:val="left"/>
                        </w:pPr>
                        <w:r>
                          <w:rPr>
                            <w:rFonts w:hint="eastAsia"/>
                          </w:rPr>
                          <w:t>3、提供400/800国内免费电话， 365天24小时的远程维护与服务，，4小时内电话响应，24小时维修到位（不可抗力情况除外），超过24小时不能完成维修的须提供备用机。</w:t>
                        </w:r>
                      </w:p>
                      <w:p>
                        <w:pPr>
                          <w:jc w:val="left"/>
                        </w:pPr>
                        <w:r>
                          <w:rPr>
                            <w:rFonts w:hint="eastAsia"/>
                          </w:rPr>
                          <w:t xml:space="preserve">4、保证供应仪器的维修与配件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产权合法性</w:t>
                        </w:r>
                        <w:r>
                          <w:rPr>
                            <w:rFonts w:hint="eastAsia" w:ascii="宋体" w:hAnsi="宋体" w:cs="宋体"/>
                            <w:kern w:val="0"/>
                            <w:sz w:val="24"/>
                            <w:szCs w:val="24"/>
                          </w:rPr>
                          <w:t>、软件升级及服务</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供应商保证所使用软件的合法性，任何知识产权纠纷与用户无关。</w:t>
                        </w:r>
                      </w:p>
                      <w:p>
                        <w:pPr>
                          <w:jc w:val="left"/>
                        </w:pPr>
                        <w:r>
                          <w:rPr>
                            <w:rFonts w:hint="eastAsia" w:ascii="宋体" w:hAnsi="宋体" w:cs="宋体"/>
                            <w:kern w:val="0"/>
                            <w:sz w:val="24"/>
                            <w:szCs w:val="24"/>
                          </w:rPr>
                          <w:t>2.</w:t>
                        </w:r>
                        <w:r>
                          <w:rPr>
                            <w:rFonts w:hint="eastAsia"/>
                          </w:rPr>
                          <w:t xml:space="preserve"> 免费提供技术咨询、软件升级；</w:t>
                        </w:r>
                      </w:p>
                      <w:p>
                        <w:pPr>
                          <w:jc w:val="left"/>
                        </w:pPr>
                        <w:r>
                          <w:rPr>
                            <w:rFonts w:hint="eastAsia"/>
                          </w:rPr>
                          <w:t>3. 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 </w:t>
                        </w:r>
                        <w:r>
                          <w:rPr>
                            <w:rFonts w:ascii="宋体" w:hAnsi="宋体" w:cs="宋体"/>
                            <w:kern w:val="0"/>
                            <w:sz w:val="24"/>
                            <w:szCs w:val="24"/>
                          </w:rPr>
                          <w:t>维修响应时间</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在保修期外，一旦发生质量问题，投标人保证在接到通知24小时内赶到现场进行修理或更换。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2</w:t>
                        </w:r>
                      </w:p>
                    </w:tc>
                    <w:tc>
                      <w:tcPr>
                        <w:tcW w:w="1431"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产权合法性</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3</w:t>
                        </w:r>
                      </w:p>
                    </w:tc>
                    <w:tc>
                      <w:tcPr>
                        <w:tcW w:w="1431"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431"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其他</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厂家提供终身维修，终身免费提供软件升级，提供消耗品优惠价格，提供零配件优惠价格，而且必须提供设备的使用手册及维修手册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关于交货</w:t>
                        </w:r>
                        <w:r>
                          <w:rPr>
                            <w:rFonts w:hint="eastAsia" w:ascii="宋体" w:hAnsi="宋体" w:cs="宋体"/>
                            <w:kern w:val="0"/>
                            <w:sz w:val="24"/>
                            <w:szCs w:val="24"/>
                          </w:rPr>
                          <w:t>、验收</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1.1签订合同后</w:t>
                        </w:r>
                        <w:r>
                          <w:rPr>
                            <w:rFonts w:ascii="宋体" w:hAnsi="宋体" w:cs="宋体"/>
                            <w:kern w:val="0"/>
                            <w:sz w:val="24"/>
                            <w:szCs w:val="24"/>
                            <w:u w:val="single"/>
                          </w:rPr>
                          <w:t> </w:t>
                        </w:r>
                        <w:r>
                          <w:rPr>
                            <w:rFonts w:ascii="宋体" w:hAnsi="宋体" w:cs="宋体"/>
                            <w:color w:val="FF0000"/>
                            <w:kern w:val="0"/>
                            <w:sz w:val="24"/>
                            <w:szCs w:val="24"/>
                            <w:u w:val="single"/>
                          </w:rPr>
                          <w:t>30 </w:t>
                        </w:r>
                        <w:r>
                          <w:rPr>
                            <w:rFonts w:ascii="宋体" w:hAnsi="宋体" w:cs="宋体"/>
                            <w:kern w:val="0"/>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1373"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1.2投标人必须承担的设备运输、安装调试、验收检测和提供设备操作说明书、图纸等其他类似的义务。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2</w:t>
                        </w:r>
                      </w:p>
                    </w:tc>
                    <w:tc>
                      <w:tcPr>
                        <w:tcW w:w="1373"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关于付款</w:t>
                        </w:r>
                      </w:p>
                    </w:tc>
                    <w:tc>
                      <w:tcPr>
                        <w:tcW w:w="6257" w:type="dxa"/>
                        <w:tcBorders>
                          <w:top w:val="nil"/>
                          <w:left w:val="nil"/>
                          <w:bottom w:val="nil"/>
                          <w:right w:val="single" w:color="auto" w:sz="8" w:space="0"/>
                        </w:tcBorders>
                        <w:tcMar>
                          <w:top w:w="0" w:type="dxa"/>
                          <w:left w:w="108" w:type="dxa"/>
                          <w:bottom w:w="0" w:type="dxa"/>
                          <w:right w:w="108" w:type="dxa"/>
                        </w:tcMar>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1、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 2、由于供应商的原因，未能按时供货，每迟一天罚款合同总额的0.5%；如超过供货期30天，我院将终止合同并通过法律程序对供应商进行索赔。</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3</w:t>
                        </w:r>
                      </w:p>
                    </w:tc>
                    <w:tc>
                      <w:tcPr>
                        <w:tcW w:w="13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标书响应情况</w:t>
                        </w:r>
                      </w:p>
                    </w:tc>
                    <w:tc>
                      <w:tcPr>
                        <w:tcW w:w="6257"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00" w:lineRule="atLeast"/>
                          <w:jc w:val="left"/>
                          <w:rPr>
                            <w:rFonts w:ascii="宋体" w:hAnsi="宋体" w:cs="宋体"/>
                            <w:kern w:val="0"/>
                            <w:sz w:val="24"/>
                            <w:szCs w:val="24"/>
                          </w:rPr>
                        </w:pPr>
                      </w:p>
                    </w:tc>
                  </w:tr>
                </w:tbl>
                <w:p>
                  <w:pPr>
                    <w:spacing w:line="480" w:lineRule="auto"/>
                    <w:ind w:left="587" w:leftChars="192" w:hanging="184" w:hangingChars="88"/>
                    <w:contextualSpacing/>
                    <w:rPr>
                      <w:rFonts w:ascii="宋体" w:hAnsi="宋体"/>
                    </w:rPr>
                  </w:pPr>
                </w:p>
              </w:tc>
            </w:tr>
            <w:tr>
              <w:tblPrEx>
                <w:tblCellMar>
                  <w:top w:w="0" w:type="dxa"/>
                  <w:left w:w="108" w:type="dxa"/>
                  <w:bottom w:w="0" w:type="dxa"/>
                  <w:right w:w="108" w:type="dxa"/>
                </w:tblCellMar>
              </w:tblPrEx>
              <w:trPr>
                <w:jc w:val="center"/>
              </w:trPr>
              <w:tc>
                <w:tcPr>
                  <w:tcW w:w="7766" w:type="dxa"/>
                </w:tcPr>
                <w:p>
                  <w:pPr>
                    <w:spacing w:line="480" w:lineRule="auto"/>
                    <w:contextualSpacing/>
                    <w:rPr>
                      <w:rFonts w:ascii="宋体" w:hAnsi="宋体"/>
                    </w:rPr>
                  </w:pPr>
                </w:p>
              </w:tc>
            </w:tr>
            <w:tr>
              <w:tblPrEx>
                <w:tblCellMar>
                  <w:top w:w="0" w:type="dxa"/>
                  <w:left w:w="108" w:type="dxa"/>
                  <w:bottom w:w="0" w:type="dxa"/>
                  <w:right w:w="108" w:type="dxa"/>
                </w:tblCellMar>
              </w:tblPrEx>
              <w:trPr>
                <w:trHeight w:val="2538" w:hRule="atLeast"/>
                <w:jc w:val="center"/>
              </w:trPr>
              <w:tc>
                <w:tcPr>
                  <w:tcW w:w="7766" w:type="dxa"/>
                </w:tcPr>
                <w:p>
                  <w:pPr>
                    <w:spacing w:line="480" w:lineRule="auto"/>
                    <w:ind w:right="353" w:rightChars="168"/>
                    <w:contextualSpacing/>
                    <w:rPr>
                      <w:rFonts w:ascii="宋体" w:hAnsi="宋体"/>
                    </w:rPr>
                  </w:pPr>
                </w:p>
                <w:p>
                  <w:pPr>
                    <w:spacing w:line="480" w:lineRule="auto"/>
                    <w:ind w:right="353" w:rightChars="168"/>
                    <w:contextualSpacing/>
                    <w:rPr>
                      <w:rFonts w:ascii="宋体" w:hAnsi="宋体"/>
                    </w:rPr>
                  </w:pPr>
                </w:p>
                <w:p>
                  <w:pPr>
                    <w:spacing w:line="480" w:lineRule="auto"/>
                    <w:ind w:right="353" w:rightChars="168"/>
                    <w:contextualSpacing/>
                    <w:rPr>
                      <w:rFonts w:ascii="宋体" w:hAnsi="宋体"/>
                    </w:rPr>
                  </w:pPr>
                </w:p>
                <w:p>
                  <w:pPr>
                    <w:spacing w:line="480" w:lineRule="auto"/>
                    <w:ind w:right="353" w:rightChars="168"/>
                    <w:contextualSpacing/>
                    <w:rPr>
                      <w:rFonts w:ascii="宋体" w:hAnsi="宋体"/>
                    </w:rPr>
                  </w:pPr>
                </w:p>
                <w:p>
                  <w:pPr>
                    <w:spacing w:line="480" w:lineRule="auto"/>
                    <w:ind w:right="353" w:rightChars="168"/>
                    <w:contextualSpacing/>
                    <w:rPr>
                      <w:rFonts w:ascii="宋体" w:hAnsi="宋体"/>
                    </w:rPr>
                  </w:pPr>
                </w:p>
              </w:tc>
            </w:tr>
          </w:tbl>
          <w:p>
            <w:pPr>
              <w:snapToGrid w:val="0"/>
              <w:spacing w:after="78"/>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b/>
                <w:bCs/>
                <w:color w:val="000000"/>
                <w:kern w:val="0"/>
                <w:sz w:val="22"/>
                <w:szCs w:val="22"/>
              </w:rPr>
              <w:t>技术参数</w:t>
            </w:r>
          </w:p>
        </w:tc>
        <w:tc>
          <w:tcPr>
            <w:tcW w:w="1574" w:type="dxa"/>
            <w:tcBorders>
              <w:top w:val="single" w:color="auto" w:sz="4" w:space="0"/>
              <w:left w:val="single" w:color="auto" w:sz="4" w:space="0"/>
              <w:bottom w:val="single" w:color="auto" w:sz="4" w:space="0"/>
              <w:right w:val="single" w:color="auto" w:sz="4" w:space="0"/>
            </w:tcBorders>
            <w:vAlign w:val="center"/>
          </w:tcPr>
          <w:p>
            <w:pPr>
              <w:pStyle w:val="37"/>
              <w:rPr>
                <w:sz w:val="22"/>
                <w:szCs w:val="22"/>
              </w:rPr>
            </w:pPr>
            <w:r>
              <w:rPr>
                <w:rFonts w:hint="eastAsia" w:ascii="宋体" w:hAnsi="宋体" w:cs="宋体"/>
                <w:color w:val="000000" w:themeColor="text1"/>
                <w:sz w:val="20"/>
                <w:szCs w:val="21"/>
                <w14:textFill>
                  <w14:solidFill>
                    <w14:schemeClr w14:val="tx1"/>
                  </w14:solidFill>
                </w14:textFill>
              </w:rPr>
              <w:t>有机玻璃筒体</w:t>
            </w:r>
          </w:p>
        </w:tc>
        <w:tc>
          <w:tcPr>
            <w:tcW w:w="6176" w:type="dxa"/>
            <w:tcBorders>
              <w:top w:val="single" w:color="auto" w:sz="4" w:space="0"/>
              <w:left w:val="single" w:color="auto" w:sz="4" w:space="0"/>
              <w:bottom w:val="single" w:color="auto" w:sz="4" w:space="0"/>
              <w:right w:val="single" w:color="auto" w:sz="4" w:space="0"/>
            </w:tcBorders>
            <w:vAlign w:val="center"/>
          </w:tcPr>
          <w:p>
            <w:pPr>
              <w:tabs>
                <w:tab w:val="left" w:pos="-720"/>
              </w:tabs>
              <w:suppressAutoHyphens/>
              <w:spacing w:after="78"/>
              <w:rPr>
                <w:sz w:val="22"/>
                <w:szCs w:val="22"/>
              </w:rPr>
            </w:pPr>
            <w:r>
              <w:rPr>
                <w:rFonts w:hint="eastAsia"/>
                <w:sz w:val="22"/>
                <w:szCs w:val="22"/>
              </w:rPr>
              <w:t>材质：有机玻璃</w:t>
            </w:r>
          </w:p>
          <w:p>
            <w:pPr>
              <w:tabs>
                <w:tab w:val="left" w:pos="-720"/>
              </w:tabs>
              <w:suppressAutoHyphens/>
              <w:spacing w:after="78"/>
              <w:rPr>
                <w:sz w:val="22"/>
                <w:szCs w:val="22"/>
              </w:rPr>
            </w:pPr>
            <w:r>
              <w:rPr>
                <w:rFonts w:hint="eastAsia"/>
                <w:sz w:val="22"/>
                <w:szCs w:val="22"/>
              </w:rPr>
              <w:t>长度：1500mm</w:t>
            </w:r>
          </w:p>
          <w:p>
            <w:pPr>
              <w:tabs>
                <w:tab w:val="left" w:pos="-720"/>
              </w:tabs>
              <w:suppressAutoHyphens/>
              <w:spacing w:after="78"/>
              <w:rPr>
                <w:sz w:val="22"/>
                <w:szCs w:val="22"/>
              </w:rPr>
            </w:pPr>
            <w:r>
              <w:rPr>
                <w:rFonts w:hint="eastAsia"/>
                <w:sz w:val="22"/>
                <w:szCs w:val="22"/>
              </w:rPr>
              <w:t>直径：500mm</w:t>
            </w:r>
          </w:p>
          <w:p>
            <w:pPr>
              <w:tabs>
                <w:tab w:val="left" w:pos="-720"/>
              </w:tabs>
              <w:suppressAutoHyphens/>
              <w:spacing w:after="78"/>
              <w:rPr>
                <w:sz w:val="22"/>
                <w:szCs w:val="22"/>
              </w:rPr>
            </w:pPr>
            <w:r>
              <w:rPr>
                <w:rFonts w:hint="eastAsia"/>
                <w:sz w:val="22"/>
                <w:szCs w:val="22"/>
              </w:rPr>
              <w:t>壁厚：12mm</w:t>
            </w:r>
          </w:p>
          <w:p>
            <w:pPr>
              <w:tabs>
                <w:tab w:val="left" w:pos="-720"/>
              </w:tabs>
              <w:suppressAutoHyphens/>
              <w:spacing w:after="78"/>
              <w:rPr>
                <w:sz w:val="22"/>
                <w:szCs w:val="22"/>
              </w:rPr>
            </w:pPr>
            <w:r>
              <w:rPr>
                <w:rFonts w:hint="eastAsia"/>
                <w:sz w:val="22"/>
                <w:szCs w:val="22"/>
              </w:rPr>
              <w:t>拉伸强度：≥62Mpa</w:t>
            </w:r>
          </w:p>
          <w:p>
            <w:pPr>
              <w:tabs>
                <w:tab w:val="left" w:pos="-720"/>
              </w:tabs>
              <w:suppressAutoHyphens/>
              <w:spacing w:after="78"/>
              <w:rPr>
                <w:sz w:val="22"/>
                <w:szCs w:val="22"/>
              </w:rPr>
            </w:pPr>
            <w:r>
              <w:rPr>
                <w:rFonts w:hint="eastAsia"/>
                <w:sz w:val="22"/>
                <w:szCs w:val="22"/>
              </w:rPr>
              <w:t>透光率：&gt;90％</w:t>
            </w:r>
          </w:p>
          <w:p>
            <w:pPr>
              <w:tabs>
                <w:tab w:val="left" w:pos="-720"/>
              </w:tabs>
              <w:suppressAutoHyphens/>
              <w:spacing w:after="78"/>
              <w:rPr>
                <w:sz w:val="22"/>
                <w:szCs w:val="22"/>
              </w:rPr>
            </w:pPr>
            <w:r>
              <w:rPr>
                <w:rFonts w:hint="eastAsia"/>
                <w:sz w:val="22"/>
                <w:szCs w:val="22"/>
              </w:rPr>
              <w:t>设计压力：0.12Mpa</w:t>
            </w:r>
          </w:p>
          <w:p>
            <w:pPr>
              <w:tabs>
                <w:tab w:val="left" w:pos="-720"/>
              </w:tabs>
              <w:suppressAutoHyphens/>
              <w:spacing w:after="78"/>
            </w:pPr>
            <w:r>
              <w:rPr>
                <w:rFonts w:hint="eastAsia"/>
                <w:sz w:val="22"/>
                <w:szCs w:val="22"/>
              </w:rPr>
              <w:t>工作压力：0.1Mpa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1290" w:type="dxa"/>
            <w:vAlign w:val="center"/>
          </w:tcPr>
          <w:p>
            <w:pPr>
              <w:widowControl/>
              <w:jc w:val="left"/>
              <w:rPr>
                <w:rFonts w:ascii="宋体" w:hAnsi="宋体" w:cs="宋体"/>
                <w:kern w:val="0"/>
                <w:sz w:val="44"/>
                <w:szCs w:val="44"/>
              </w:rPr>
            </w:pPr>
            <w:r>
              <w:rPr>
                <w:rFonts w:hint="eastAsia" w:ascii="宋体" w:hAnsi="宋体"/>
                <w:b/>
                <w:bCs/>
                <w:color w:val="000000"/>
                <w:kern w:val="0"/>
                <w:sz w:val="22"/>
                <w:szCs w:val="22"/>
              </w:rPr>
              <w:t>配置清单</w:t>
            </w:r>
          </w:p>
        </w:tc>
        <w:tc>
          <w:tcPr>
            <w:tcW w:w="7750" w:type="dxa"/>
            <w:gridSpan w:val="2"/>
            <w:vAlign w:val="center"/>
          </w:tcPr>
          <w:p>
            <w:pPr>
              <w:adjustRightInd w:val="0"/>
              <w:snapToGrid w:val="0"/>
              <w:spacing w:line="360" w:lineRule="auto"/>
              <w:ind w:left="105" w:leftChars="50" w:firstLine="103" w:firstLineChars="47"/>
              <w:jc w:val="left"/>
              <w:rPr>
                <w:rFonts w:asciiTheme="minorEastAsia" w:hAnsiTheme="minorEastAsia"/>
                <w:bCs/>
                <w:kern w:val="0"/>
                <w:sz w:val="22"/>
              </w:rPr>
            </w:pPr>
            <w:r>
              <w:rPr>
                <w:rFonts w:hint="eastAsia" w:asciiTheme="minorEastAsia" w:hAnsiTheme="minorEastAsia"/>
                <w:bCs/>
                <w:kern w:val="0"/>
                <w:sz w:val="22"/>
              </w:rPr>
              <w:t>1）有机玻璃筒体；1根</w:t>
            </w:r>
          </w:p>
          <w:p>
            <w:pPr>
              <w:adjustRightInd w:val="0"/>
              <w:snapToGrid w:val="0"/>
              <w:spacing w:line="360" w:lineRule="auto"/>
              <w:ind w:left="105" w:leftChars="50" w:firstLine="103" w:firstLineChars="47"/>
              <w:jc w:val="left"/>
              <w:rPr>
                <w:rFonts w:asciiTheme="minorEastAsia" w:hAnsiTheme="minorEastAsia"/>
                <w:bCs/>
                <w:kern w:val="0"/>
                <w:sz w:val="22"/>
              </w:rPr>
            </w:pPr>
            <w:r>
              <w:rPr>
                <w:rFonts w:hint="eastAsia" w:asciiTheme="minorEastAsia" w:hAnsiTheme="minorEastAsia"/>
                <w:bCs/>
                <w:kern w:val="0"/>
                <w:sz w:val="22"/>
              </w:rPr>
              <w:t>2）U型圈；2个</w:t>
            </w:r>
          </w:p>
          <w:p>
            <w:pPr>
              <w:adjustRightInd w:val="0"/>
              <w:snapToGrid w:val="0"/>
              <w:spacing w:line="360" w:lineRule="auto"/>
              <w:ind w:left="105" w:leftChars="50" w:firstLine="103" w:firstLineChars="47"/>
              <w:jc w:val="left"/>
              <w:rPr>
                <w:rFonts w:asciiTheme="minorEastAsia" w:hAnsiTheme="minorEastAsia"/>
                <w:bCs/>
                <w:kern w:val="0"/>
                <w:sz w:val="22"/>
              </w:rPr>
            </w:pPr>
            <w:r>
              <w:rPr>
                <w:rFonts w:hint="eastAsia" w:asciiTheme="minorEastAsia" w:hAnsiTheme="minorEastAsia"/>
                <w:bCs/>
                <w:kern w:val="0"/>
                <w:sz w:val="22"/>
              </w:rPr>
              <w:t>3）手柄；1个</w:t>
            </w:r>
          </w:p>
          <w:p>
            <w:pPr>
              <w:adjustRightInd w:val="0"/>
              <w:snapToGrid w:val="0"/>
              <w:spacing w:line="360" w:lineRule="auto"/>
              <w:ind w:left="105" w:leftChars="50" w:firstLine="103" w:firstLineChars="47"/>
              <w:jc w:val="left"/>
              <w:rPr>
                <w:rFonts w:ascii="宋体" w:hAnsi="宋体" w:cs="宋体"/>
                <w:kern w:val="0"/>
                <w:sz w:val="44"/>
                <w:szCs w:val="44"/>
              </w:rPr>
            </w:pPr>
            <w:r>
              <w:rPr>
                <w:rFonts w:hint="eastAsia" w:asciiTheme="minorEastAsia" w:hAnsiTheme="minorEastAsia"/>
                <w:bCs/>
                <w:kern w:val="0"/>
                <w:sz w:val="22"/>
              </w:rPr>
              <w:t>4）PU软管；10米</w:t>
            </w: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8240;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AxytJyIAIAADsEAAAOAAAAZHJzL2Uyb0RvYy54bWytU12O&#10;0zAQfkfiDpbfaZooZXejpqtVV0VIC6y0cADHcRILxzZjt0m5DBJvHGKPg7gGY6ct5Uc8IPxgeTzj&#10;z998M7O8HntFdgKcNLqk6WxOidDc1FK3JX33dvPskhLnma6ZMlqUdC8cvV49fbIcbCEy0xlVCyAI&#10;ol0x2JJ23tsiSRzvRM/czFih0dkY6JlHE9qkBjYgeq+SbD5/ngwGaguGC+fw9nZy0lXEbxrB/Zum&#10;ccITVVLk5uMOca/CnqyWrGiB2U7yAw32Dyx6JjV+eoK6ZZ6RLcjfoHrJwTjT+Bk3fWKaRnIRc8Bs&#10;0vkv2Tx0zIqYC4rj7Ekm9/9g+evdPRBZlzSnRLMeS/Tt05evj59JHrQZrCsw5MHeQ8jO2TvD3zui&#10;zbpjuhU3AGboBKuRURrik58eBMPhU1INr0yN0GzrTZRpbKAPgCgAGWM19qdqiNETjpdZtrjIswUl&#10;HH3pRZalWaxXworjcwvOvxCmJ+FQUsByR3i2u3M+0GHFMSTSN0rWG6lUNKCt1grIjmFrbOKKGWCW&#10;52FKk6GkVwsk8neIeVx/guilxx5Xsi/p5XmQ0gFRxC498D0qNinvx2o8FKEy9R6FBDN1ME4cHjoD&#10;HykZsHtL6j5sGQhK1EuNxbhK8zy0ezTyxQUqR+DcU517mOYIVVJPyXRc+2lEthZk2+FPaUxemxss&#10;YCOjtIHqxOpQduzQqPhhmsIInNsx6sfMr7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ZAHftcA&#10;AAAKAQAADwAAAAAAAAABACAAAAAiAAAAZHJzL2Rvd25yZXYueG1sUEsBAhQAFAAAAAgAh07iQDHK&#10;0nIgAgAAOwQAAA4AAAAAAAAAAQAgAAAAJgEAAGRycy9lMm9Eb2MueG1sUEsFBgAAAAAGAAYAWQEA&#10;ALg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59264;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SXsM+IAIAADsEAAAOAAAAZHJzL2Uyb0RvYy54bWyt&#10;U12O0zAQfkfiDpbfaZpsS3ejpqtVV0VIC6y0cADHcRILxzZjt0m5DBJvewiOg7gGY6ct5Uc8IPxg&#10;eTzjz998M7O8HjpFdgKcNLqg6WRKidDcVFI3BX33dvPskhLnma6YMloUdC8cvV49fbLsbS4y0xpV&#10;CSAIol3e24K23ts8SRxvRcfcxFih0Vkb6JhHE5qkAtYjeqeSbDp9nvQGKguGC+fw9nZ00lXEr2vB&#10;/Zu6dsITVVDk5uMOcS/DnqyWLG+A2VbyAw32Dyw6JjV+eoK6ZZ6RLcjfoDrJwThT+wk3XWLqWnIR&#10;c8Bs0ukv2Ty0zIqYC4rj7Ekm9/9g+evdPRBZFfSCEs06LNG3T49fv3wmF0Gb3rocQx7sPYTsnL0z&#10;/L0j2qxbphtxA2D6VrAKGaUhPvnpQTAcPiVl/8pUCM223kSZhhq6AIgCkCFWY3+qhhg84XiZZfPF&#10;LJtTwtGXLrIszWK9EpYfn1tw/oUwHQmHggKWO8Kz3Z3zgQ7LjyGRvlGy2kilogFNuVZAdgxbYxNX&#10;zACzPA9TmvQFvZojkb9DTOP6E0QnPfa4kl1BL8+DlA6IInbpge9RsVF5P5TDoQilqfYoJJixg3Hi&#10;8NAa+EhJj91bUPdhy0BQol5qLMZVOpuFdo/GbL5A5Qice8pzD9McoQrqKRmPaz+OyNaCbFr8KY3J&#10;a3ODBaxllDZQHVkdyo4dGhU/TFMYgXM7Rv2Y+d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tR&#10;MdoAAAALAQAADwAAAAAAAAABACAAAAAiAAAAZHJzL2Rvd25yZXYueG1sUEsBAhQAFAAAAAgAh07i&#10;QNJewz4gAgAAOwQAAA4AAAAAAAAAAQAgAAAAKQEAAGRycy9lMm9Eb2MueG1sUEsFBgAAAAAGAAYA&#10;WQEAALs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0288;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CsA+ZgiAgAAOwQAAA4AAABkcnMvZTJvRG9jLnhtbK1T&#10;UY7TMBD9R+IOlv9pmtB2d6Omq1VXRUgLrLRwAMdxEgvHNmO3abkMEn97CI6DuAZjpy1Z4AuRD8uT&#10;GT+/eW+8vN53iuwEOGl0QdPJlBKhuamkbgr64f3mxSUlzjNdMWW0KOhBOHq9ev5s2dtcZKY1qhJA&#10;EES7vLcFbb23eZI43oqOuYmxQmOyNtAxjyE0SQWsR/ROJdl0ukh6A5UFw4Vz+Pd2SNJVxK9rwf27&#10;unbCE1VQ5ObjCnEtw5qslixvgNlW8iMN9g8sOiY1XnqGumWekS3IP6A6ycE4U/sJN11i6lpyEXvA&#10;btLpb908tMyK2AuK4+xZJvf/YPnb3T0QWRU0o0SzDi368eXx+7evJAva9NblWPJg7yF05+yd4R8d&#10;0WbdMt2IGwDTt4JVyCgN9cmTAyFweJSU/RtTITTbehNl2tfQBUAUgOyjG4ezG2LvCcef2ctssZih&#10;aRxz6UWWpVn0K2H56bgF518J05GwKSig3RGe7e6cD3RYfiqJ9I2S1UYqFQNoyrUCsmM4Gpv4xQ6w&#10;y3GZ0qQv6NU8m0fkJzk3hpjG728QnfQ440p2Bb0cFykdeIg4pUe+J8UG5f2+3B9NKE11QCHBDBOM&#10;Lw43rYHPlPQ4vQV1n7YMBCXqtUYzrtJZUM7HYDa/QOUIjDPlOMM0R6iCekqG7doPT2RrQTYt3pTG&#10;5rW5QQNrGaUNVAdWR9txQqPix9cUnsA4jlW/3vz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Z6&#10;GBHZAAAACgEAAA8AAAAAAAAAAQAgAAAAIgAAAGRycy9kb3ducmV2LnhtbFBLAQIUABQAAAAIAIdO&#10;4kArAPmYIgIAADsEAAAOAAAAAAAAAAEAIAAAACgBAABkcnMvZTJvRG9jLnhtbFBLBQYAAAAABgAG&#10;AFkBAAC8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1312;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DKPQk4IwIAADsEAAAOAAAAZHJzL2Uyb0RvYy54bWytU1GO&#10;0zAQ/UfiDpb/aZrQdnejpqtVV0VIC6y0cADHcRILxzZjt2m5DBJ/ewiOg7gGY6ctWeALkQ/Lkxk/&#10;v3lvvLzed4rsBDhpdEHTyZQSobmppG4K+uH95sUlJc4zXTFltCjoQTh6vXr+bNnbXGSmNaoSQBBE&#10;u7y3BW29t3mSON6KjrmJsUJjsjbQMY8hNEkFrEf0TiXZdLpIegOVBcOFc/j3dkjSVcSva8H9u7p2&#10;whNVUOTm4wpxLcOarJYsb4DZVvIjDfYPLDomNV56hrplnpEtyD+gOsnBOFP7CTddYupachF7wG7S&#10;6W/dPLTMitgLiuPsWSb3/2D52909EFmhd5Ro1qFFP748fv/2laRBm966HEse7D2E7py9M/yjI9qs&#10;W6YbcQNg+lawChnF+uTJgRA4PErK/o2pEJptvYky7WvoAiAKQPbRjcPZDbH3hOPP7GW2WMzQNI65&#10;9CLL0iz6lbD8dNyC86+E6UjYFBTQ7gjPdnfOI30sPZVE+kbJaiOVigE05VoB2TEcjU38Qsd4xI3L&#10;lCZ9Qa/m2TwiP8m5McQ0fn+D6KTHGVeyK+jluEjpwEPEKT3yPSk2KO/35f5oQmmqAwoJZphgfHG4&#10;aQ18pqTH6S2o+7RlIChRrzWacZXOgnI+BrP5BSpHYJwpxxmmOUIV1FMybNd+eCJbC7Jp8aY0Nq/N&#10;DRpYyyhtoDqwQtFCgBMa5Tu+pvAExnGs+vXm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qqi&#10;kdcAAAAJAQAADwAAAAAAAAABACAAAAAiAAAAZHJzL2Rvd25yZXYueG1sUEsBAhQAFAAAAAgAh07i&#10;QMo9CTgjAgAAOwQAAA4AAAAAAAAAAQAgAAAAJgEAAGRycy9lMm9Eb2MueG1sUEsFBgAAAAAGAAYA&#10;WQEAALs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9B819B3"/>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spacing w:before="240" w:after="240"/>
      <w:outlineLvl w:val="2"/>
    </w:pPr>
    <w:rPr>
      <w:b/>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3"/>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0</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2020-06-11T00:08:00Z</cp:lastPrinted>
  <dcterms:modified xsi:type="dcterms:W3CDTF">2020-09-07T00:19:43Z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