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1"/>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评分项</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一</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价格部分</w:t>
            </w:r>
          </w:p>
        </w:tc>
        <w:tc>
          <w:tcPr>
            <w:tcW w:w="439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30</w:t>
            </w:r>
            <w:r>
              <w:rPr>
                <w:rFonts w:hint="eastAsia" w:asciiTheme="minorEastAsia" w:hAnsiTheme="minorEastAsia" w:eastAsiaTheme="minor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二</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48</w:t>
            </w:r>
            <w:r>
              <w:rPr>
                <w:rFonts w:hint="eastAsia" w:asciiTheme="minorEastAsia" w:hAnsiTheme="minorEastAsia" w:eastAsiaTheme="minorEastAsia"/>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评分因素</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评分方式</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技术响应情况</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45</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投标人应如实填写《技术规格偏离表》，评审委员会根据技术需求参数响应情况进行打分，各项技术参数指标及要求全部满足的得45分，带“</w:t>
            </w:r>
            <w:r>
              <w:rPr>
                <w:rFonts w:hint="eastAsia" w:asciiTheme="minorEastAsia" w:hAnsiTheme="minorEastAsia" w:eastAsiaTheme="minorEastAsia"/>
                <w:bCs/>
                <w:sz w:val="24"/>
                <w:szCs w:val="24"/>
              </w:rPr>
              <w:t>▲</w:t>
            </w:r>
            <w:r>
              <w:rPr>
                <w:rFonts w:hint="eastAsia" w:cs="宋体" w:asciiTheme="minorEastAsia" w:hAnsiTheme="minorEastAsia" w:eastAsiaTheme="minorEastAsia"/>
                <w:sz w:val="24"/>
                <w:szCs w:val="24"/>
              </w:rPr>
              <w:t>”为重要参数，每负偏离一项扣10分，其他参数</w:t>
            </w:r>
            <w:r>
              <w:rPr>
                <w:rFonts w:hint="eastAsia" w:cs="宋体" w:asciiTheme="minorEastAsia" w:hAnsiTheme="minorEastAsia" w:eastAsiaTheme="minorEastAsia"/>
                <w:sz w:val="24"/>
                <w:szCs w:val="24"/>
                <w:lang w:eastAsia="zh-CN"/>
              </w:rPr>
              <w:t>（每个最小排号的参数）</w:t>
            </w:r>
            <w:r>
              <w:rPr>
                <w:rFonts w:hint="eastAsia" w:cs="宋体" w:asciiTheme="minorEastAsia" w:hAnsiTheme="minorEastAsia" w:eastAsiaTheme="minorEastAsia"/>
                <w:sz w:val="24"/>
                <w:szCs w:val="24"/>
              </w:rPr>
              <w:t>每负偏离一项扣</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分，扣完为止。正偏离不加分。（重要参数不能超过参数总项的10%）</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注：</w:t>
            </w:r>
            <w:r>
              <w:rPr>
                <w:rFonts w:cs="宋体" w:asciiTheme="minorEastAsia" w:hAnsiTheme="minorEastAsia" w:eastAsiaTheme="minorEastAsia"/>
                <w:kern w:val="0"/>
                <w:sz w:val="24"/>
                <w:szCs w:val="24"/>
              </w:rPr>
              <w:t>对带三角号（</w:t>
            </w:r>
            <w:r>
              <w:rPr>
                <w:rFonts w:hint="eastAsia" w:cs="宋体" w:asciiTheme="minorEastAsia" w:hAnsiTheme="minorEastAsia" w:eastAsiaTheme="minorEastAsia"/>
                <w:sz w:val="24"/>
                <w:szCs w:val="24"/>
              </w:rPr>
              <w:t>“</w:t>
            </w:r>
            <w:r>
              <w:rPr>
                <w:rFonts w:hint="eastAsia" w:asciiTheme="minorEastAsia" w:hAnsiTheme="minorEastAsia" w:eastAsiaTheme="minorEastAsia"/>
                <w:bCs/>
                <w:sz w:val="24"/>
                <w:szCs w:val="24"/>
              </w:rPr>
              <w:t>▲</w:t>
            </w:r>
            <w:r>
              <w:rPr>
                <w:rFonts w:hint="eastAsia" w:cs="宋体" w:asciiTheme="minorEastAsia" w:hAnsiTheme="minorEastAsia" w:eastAsiaTheme="minorEastAsia"/>
                <w:sz w:val="24"/>
                <w:szCs w:val="24"/>
              </w:rPr>
              <w:t>”</w:t>
            </w:r>
            <w:r>
              <w:rPr>
                <w:rFonts w:cs="宋体" w:asciiTheme="minorEastAsia" w:hAnsiTheme="minorEastAsia" w:eastAsiaTheme="minorEastAsia"/>
                <w:kern w:val="0"/>
                <w:sz w:val="24"/>
                <w:szCs w:val="24"/>
              </w:rPr>
              <w:t>）的重要技术参数投标人必须提供相关证明材料（技术白皮书、彩页、产品说明书或检测报告等），否则按负偏离进行扣分。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60"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技术保障措施</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770"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专家打分</w:t>
            </w:r>
          </w:p>
        </w:tc>
        <w:tc>
          <w:tcPr>
            <w:tcW w:w="4394" w:type="dxa"/>
            <w:vAlign w:val="center"/>
          </w:tcPr>
          <w:p>
            <w:pPr>
              <w:spacing w:line="280" w:lineRule="exact"/>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商务部分</w:t>
            </w:r>
          </w:p>
        </w:tc>
        <w:tc>
          <w:tcPr>
            <w:tcW w:w="43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61" w:type="dxa"/>
            <w:gridSpan w:val="2"/>
            <w:vAlign w:val="center"/>
          </w:tcPr>
          <w:p>
            <w:pPr>
              <w:spacing w:line="2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245"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免费保修期内售后服务条款偏离情况</w:t>
            </w:r>
          </w:p>
        </w:tc>
        <w:tc>
          <w:tcPr>
            <w:tcW w:w="760" w:type="dxa"/>
            <w:gridSpan w:val="2"/>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5</w:t>
            </w:r>
          </w:p>
        </w:tc>
        <w:tc>
          <w:tcPr>
            <w:tcW w:w="709" w:type="dxa"/>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(1)投标人应如实填写《免费保修期内售后服务条款偏离表》，评审委员会根据响应情况进行打分。满足免费保修期的得2分。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(2)其他要求全部满足要求的得2分，每负偏离一项扣1分。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61" w:type="dxa"/>
            <w:gridSpan w:val="2"/>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45" w:type="dxa"/>
            <w:shd w:val="clear" w:color="auto" w:fill="auto"/>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免费保修期外售后服务条款偏离情况</w:t>
            </w:r>
          </w:p>
        </w:tc>
        <w:tc>
          <w:tcPr>
            <w:tcW w:w="760" w:type="dxa"/>
            <w:gridSpan w:val="2"/>
            <w:shd w:val="clear" w:color="auto" w:fill="auto"/>
            <w:vAlign w:val="center"/>
          </w:tcPr>
          <w:p>
            <w:pPr>
              <w:spacing w:line="24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8</w:t>
            </w:r>
          </w:p>
        </w:tc>
        <w:tc>
          <w:tcPr>
            <w:tcW w:w="709" w:type="dxa"/>
            <w:shd w:val="clear" w:color="auto" w:fill="auto"/>
            <w:vAlign w:val="center"/>
          </w:tcPr>
          <w:p>
            <w:pPr>
              <w:spacing w:line="2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shd w:val="clear" w:color="auto" w:fill="auto"/>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投标人应如实填写《免费保修期外售后服务条款偏离表》，评审委员会根据响应情况进行打分，每负偏离一项扣2分，扣完为止。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61" w:type="dxa"/>
            <w:gridSpan w:val="2"/>
            <w:vAlign w:val="center"/>
          </w:tcPr>
          <w:p>
            <w:pPr>
              <w:spacing w:line="2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1245" w:type="dxa"/>
            <w:shd w:val="clear" w:color="auto" w:fill="auto"/>
            <w:vAlign w:val="center"/>
          </w:tcPr>
          <w:p>
            <w:pPr>
              <w:spacing w:line="2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其他商务要求偏离情况</w:t>
            </w:r>
          </w:p>
        </w:tc>
        <w:tc>
          <w:tcPr>
            <w:tcW w:w="760" w:type="dxa"/>
            <w:gridSpan w:val="2"/>
            <w:shd w:val="clear" w:color="auto" w:fill="auto"/>
            <w:vAlign w:val="center"/>
          </w:tcPr>
          <w:p>
            <w:pPr>
              <w:spacing w:line="260" w:lineRule="exact"/>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4</w:t>
            </w:r>
          </w:p>
        </w:tc>
        <w:tc>
          <w:tcPr>
            <w:tcW w:w="709" w:type="dxa"/>
            <w:shd w:val="clear" w:color="auto" w:fill="auto"/>
            <w:vAlign w:val="center"/>
          </w:tcPr>
          <w:p>
            <w:pPr>
              <w:spacing w:line="2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shd w:val="clear" w:color="auto" w:fill="auto"/>
            <w:vAlign w:val="center"/>
          </w:tcPr>
          <w:p>
            <w:pPr>
              <w:spacing w:line="28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rPr>
              <w:t>投标人应如实填写《其他商务条款偏离表》，评审委员会根据响应情况进行打分，</w:t>
            </w:r>
            <w:r>
              <w:rPr>
                <w:rFonts w:hint="eastAsia" w:asciiTheme="minorEastAsia" w:hAnsiTheme="minorEastAsia" w:eastAsiaTheme="minorEastAsia"/>
                <w:sz w:val="24"/>
                <w:szCs w:val="24"/>
              </w:rPr>
              <w:t>全部满足要求的得4分，每负偏离一项扣2分,</w:t>
            </w:r>
            <w:r>
              <w:rPr>
                <w:rFonts w:hint="eastAsia" w:cs="宋体" w:asciiTheme="minorEastAsia" w:hAnsiTheme="minorEastAsia" w:eastAsiaTheme="minorEastAsia"/>
                <w:sz w:val="24"/>
                <w:szCs w:val="24"/>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w:t>
            </w:r>
          </w:p>
        </w:tc>
        <w:tc>
          <w:tcPr>
            <w:tcW w:w="3375" w:type="dxa"/>
            <w:gridSpan w:val="6"/>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诚信情况</w:t>
            </w:r>
          </w:p>
        </w:tc>
        <w:tc>
          <w:tcPr>
            <w:tcW w:w="4394" w:type="dxa"/>
            <w:vAlign w:val="center"/>
          </w:tcPr>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6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评分因素</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权重</w:t>
            </w:r>
          </w:p>
        </w:tc>
        <w:tc>
          <w:tcPr>
            <w:tcW w:w="770"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评分方式</w:t>
            </w:r>
          </w:p>
        </w:tc>
        <w:tc>
          <w:tcPr>
            <w:tcW w:w="4394" w:type="dxa"/>
            <w:vAlign w:val="center"/>
          </w:tcPr>
          <w:p>
            <w:pPr>
              <w:spacing w:line="28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vAlign w:val="center"/>
          </w:tcPr>
          <w:p>
            <w:pPr>
              <w:jc w:val="center"/>
              <w:rPr>
                <w:rFonts w:asciiTheme="minorEastAsia" w:hAnsiTheme="minorEastAsia" w:eastAsiaTheme="minorEastAsia"/>
                <w:sz w:val="24"/>
                <w:szCs w:val="24"/>
              </w:rPr>
            </w:pPr>
          </w:p>
        </w:tc>
        <w:tc>
          <w:tcPr>
            <w:tcW w:w="64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60" w:type="dxa"/>
            <w:gridSpan w:val="2"/>
            <w:vAlign w:val="center"/>
          </w:tcPr>
          <w:p>
            <w:pPr>
              <w:spacing w:before="100" w:beforeAutospacing="1" w:after="100" w:afterAutospacing="1" w:line="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诚信情况</w:t>
            </w:r>
          </w:p>
        </w:tc>
        <w:tc>
          <w:tcPr>
            <w:tcW w:w="699"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770" w:type="dxa"/>
            <w:gridSpan w:val="2"/>
            <w:vAlign w:val="center"/>
          </w:tcPr>
          <w:p>
            <w:pPr>
              <w:spacing w:before="100" w:beforeAutospacing="1" w:after="100" w:afterAutospacing="1" w:line="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专家评分</w:t>
            </w:r>
          </w:p>
        </w:tc>
        <w:tc>
          <w:tcPr>
            <w:tcW w:w="4394" w:type="dxa"/>
            <w:vAlign w:val="center"/>
          </w:tcPr>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评审标准：依据深财购[2013]27号文的有关规定，本项目将对投标人诚信进行评审：</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（1）投标人不存在不诚信情况且按照要求提供承诺函的，得5分。</w:t>
            </w:r>
          </w:p>
          <w:p>
            <w:pPr>
              <w:spacing w:line="28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（2）投标人存在不诚信情况或未按规定提供承诺函的，得0分。</w:t>
            </w: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注：1、每项得分均不能超过该项最高分值，得分精确至小数点后两位。</w:t>
      </w:r>
    </w:p>
    <w:p>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2、缺项或不合格，则该项为0分。</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3、重要参数不得超过技术参数总数的10%。</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1"/>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743"/>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2"/>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2"/>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2"/>
          </w:tcPr>
          <w:p>
            <w:pPr>
              <w:jc w:val="center"/>
              <w:rPr>
                <w:sz w:val="32"/>
                <w:szCs w:val="32"/>
              </w:rPr>
            </w:pPr>
          </w:p>
        </w:tc>
        <w:tc>
          <w:tcPr>
            <w:tcW w:w="2687" w:type="dxa"/>
          </w:tcPr>
          <w:p>
            <w:pPr>
              <w:jc w:val="center"/>
              <w:rPr>
                <w:sz w:val="32"/>
                <w:szCs w:val="32"/>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997946"/>
      <w:bookmarkStart w:id="4" w:name="_Toc201742861"/>
      <w:bookmarkStart w:id="5" w:name="_Toc201719118"/>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6"/>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kAd+1wAAAAoBAAAPAAAAAAAAAAEA&#10;IAAAACIAAABkcnMvZG93bnJldi54bWxQSwECFAAUAAAACACHTuJA1/Vi3xACAAAwBAAADgAAAAAA&#10;AAABACAAAAAmAQAAZHJzL2Uyb0RvYy54bWxQSwUGAAAAAAYABgBZAQAAqA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1Ex2gAAAAsBAAAPAAAAAAAA&#10;AAEAIAAAACIAAABkcnMvZG93bnJldi54bWxQSwECFAAUAAAACACHTuJAy7JsXhACAAAwBAAADgAA&#10;AAAAAAABACAAAAAp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6GBHZAAAACgEAAA8AAAAA&#10;AAAAAQAgAAAAIgAAAGRycy9kb3ducmV2LnhtbFBLAQIUABQAAAAIAIdO4kBzfabpEwIAADAEAAAO&#10;AAAAAAAAAAEAIAAAACgBAABkcnMvZTJvRG9jLnhtbFBLBQYAAAAABgAGAFkBAACt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qqKR1wAAAAkBAAAPAAAAAAAA&#10;AAEAIAAAACIAAABkcnMvZG93bnJldi54bWxQSwECFAAUAAAACACHTuJAY0dwkhMCAAAwBAAADgAA&#10;AAAAAAABACAAAAAm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5"/>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1"/>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8"/>
        <w:jc w:val="left"/>
        <w:rPr>
          <w:rFonts w:asciiTheme="minorEastAsia" w:hAnsiTheme="minorEastAsia" w:eastAsiaTheme="minorEastAsia"/>
          <w:sz w:val="24"/>
          <w:szCs w:val="24"/>
        </w:rPr>
      </w:pPr>
    </w:p>
    <w:tbl>
      <w:tblPr>
        <w:tblStyle w:val="11"/>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8"/>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1"/>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1"/>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1"/>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19"/>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6"/>
        <w:jc w:val="left"/>
        <w:rPr>
          <w:rFonts w:asciiTheme="minorEastAsia" w:hAnsiTheme="minorEastAsia" w:eastAsiaTheme="minorEastAsia"/>
          <w:sz w:val="24"/>
          <w:szCs w:val="24"/>
        </w:rPr>
      </w:pPr>
    </w:p>
    <w:tbl>
      <w:tblPr>
        <w:tblStyle w:val="11"/>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bl>
    <w:p>
      <w:pPr>
        <w:pStyle w:val="6"/>
        <w:jc w:val="left"/>
        <w:rPr>
          <w:rFonts w:asciiTheme="minorEastAsia" w:hAnsiTheme="minorEastAsia" w:eastAsiaTheme="minorEastAsia"/>
          <w:sz w:val="24"/>
          <w:szCs w:val="24"/>
        </w:rPr>
      </w:pPr>
    </w:p>
    <w:p>
      <w:pPr>
        <w:pStyle w:val="6"/>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19"/>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1"/>
        <w:tblW w:w="0" w:type="auto"/>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8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tcBorders>
              <w:top w:val="single" w:color="auto" w:sz="6" w:space="0"/>
              <w:left w:val="single" w:color="auto" w:sz="6" w:space="0"/>
              <w:bottom w:val="nil"/>
              <w:right w:val="nil"/>
            </w:tcBorders>
            <w:noWrap w:val="0"/>
            <w:vAlign w:val="center"/>
          </w:tcPr>
          <w:tbl>
            <w:tblPr>
              <w:tblStyle w:val="11"/>
              <w:tblW w:w="0" w:type="auto"/>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高压灭菌锅</w:t>
                  </w:r>
                </w:p>
              </w:tc>
              <w:tc>
                <w:tcPr>
                  <w:tcW w:w="1344"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3</w:t>
                  </w:r>
                </w:p>
              </w:tc>
              <w:tc>
                <w:tcPr>
                  <w:tcW w:w="1311"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FF0000"/>
                      <w:kern w:val="0"/>
                      <w:sz w:val="24"/>
                      <w:szCs w:val="24"/>
                      <w:lang w:val="en-US" w:eastAsia="zh-CN"/>
                    </w:rPr>
                  </w:pPr>
                  <w:r>
                    <w:rPr>
                      <w:rFonts w:ascii="宋体" w:hAnsi="宋体" w:cs="宋体"/>
                      <w:color w:val="FF0000"/>
                      <w:kern w:val="0"/>
                      <w:sz w:val="24"/>
                      <w:szCs w:val="24"/>
                    </w:rPr>
                    <w:t> </w:t>
                  </w:r>
                  <w:r>
                    <w:rPr>
                      <w:rFonts w:hint="eastAsia" w:ascii="宋体" w:hAnsi="宋体" w:cs="宋体"/>
                      <w:color w:val="FF0000"/>
                      <w:kern w:val="0"/>
                      <w:sz w:val="24"/>
                      <w:szCs w:val="24"/>
                      <w:lang w:val="en-US" w:eastAsia="zh-CN"/>
                    </w:rPr>
                    <w:t>90000</w:t>
                  </w:r>
                </w:p>
              </w:tc>
              <w:tc>
                <w:tcPr>
                  <w:tcW w:w="1775" w:type="dxa"/>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r>
                    <w:rPr>
                      <w:rFonts w:hint="eastAsia" w:ascii="宋体" w:hAnsi="宋体" w:cs="宋体"/>
                      <w:color w:val="FF0000"/>
                      <w:kern w:val="0"/>
                      <w:sz w:val="24"/>
                      <w:szCs w:val="24"/>
                    </w:rPr>
                    <w:t>（</w:t>
                  </w:r>
                  <w:r>
                    <w:rPr>
                      <w:rFonts w:hint="eastAsia" w:ascii="宋体" w:hAnsi="宋体" w:cs="宋体"/>
                      <w:color w:val="FF0000"/>
                      <w:kern w:val="0"/>
                      <w:sz w:val="24"/>
                      <w:szCs w:val="24"/>
                      <w:lang w:eastAsia="zh-CN"/>
                    </w:rPr>
                    <w:t>拒绝</w:t>
                  </w:r>
                  <w:r>
                    <w:rPr>
                      <w:rFonts w:hint="eastAsia" w:ascii="宋体" w:hAnsi="宋体" w:cs="宋体"/>
                      <w:color w:val="FF0000"/>
                      <w:kern w:val="0"/>
                      <w:sz w:val="24"/>
                      <w:szCs w:val="24"/>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88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szCs w:val="21"/>
              </w:rPr>
            </w:pPr>
            <w:r>
              <w:rPr>
                <w:rFonts w:ascii="宋体" w:hAnsi="宋体" w:cs="宋体"/>
                <w:b/>
                <w:bCs/>
                <w:color w:val="FF0000"/>
                <w:kern w:val="0"/>
                <w:sz w:val="24"/>
                <w:szCs w:val="24"/>
              </w:rPr>
              <w:t>具体技术</w:t>
            </w:r>
            <w:r>
              <w:rPr>
                <w:rFonts w:hint="eastAsia" w:ascii="宋体" w:hAnsi="宋体" w:cs="宋体"/>
                <w:b/>
                <w:bCs/>
                <w:color w:val="FF0000"/>
                <w:kern w:val="0"/>
                <w:sz w:val="24"/>
                <w:szCs w:val="24"/>
              </w:rPr>
              <w:t>参数</w:t>
            </w:r>
            <w:r>
              <w:rPr>
                <w:rFonts w:ascii="宋体" w:hAnsi="宋体" w:cs="宋体"/>
                <w:b/>
                <w:bCs/>
                <w:color w:val="FF0000"/>
                <w:kern w:val="0"/>
                <w:sz w:val="24"/>
                <w:szCs w:val="24"/>
              </w:rPr>
              <w:t>要求</w:t>
            </w:r>
            <w:r>
              <w:rPr>
                <w:rFonts w:hint="eastAsia" w:ascii="宋体" w:hAnsi="宋体" w:cs="宋体"/>
                <w:b/>
                <w:bCs/>
                <w:color w:val="FF0000"/>
                <w:kern w:val="0"/>
                <w:sz w:val="24"/>
                <w:szCs w:val="24"/>
              </w:rPr>
              <w:t>：</w:t>
            </w:r>
            <w:r>
              <w:rPr>
                <w:rFonts w:hint="eastAsia" w:ascii="宋体" w:hAnsi="宋体" w:cs="宋体"/>
                <w:color w:val="3F3F3F"/>
                <w:kern w:val="0"/>
                <w:szCs w:val="21"/>
              </w:rPr>
              <w:t>1、</w:t>
            </w:r>
            <w:r>
              <w:rPr>
                <w:rFonts w:hint="eastAsia" w:ascii="宋体" w:hAnsi="宋体"/>
                <w:szCs w:val="21"/>
              </w:rPr>
              <w:t>大直径灭菌腔：灭菌腔尺寸</w:t>
            </w:r>
            <w:r>
              <w:rPr>
                <w:rFonts w:ascii="宋体" w:hAnsi="宋体"/>
                <w:szCs w:val="21"/>
              </w:rPr>
              <w:t>&gt;=400*800</w:t>
            </w:r>
            <w:r>
              <w:rPr>
                <w:rFonts w:hint="eastAsia" w:ascii="宋体" w:hAnsi="宋体"/>
                <w:szCs w:val="21"/>
              </w:rPr>
              <w:t>（直径</w:t>
            </w:r>
            <w:r>
              <w:rPr>
                <w:rFonts w:ascii="宋体" w:hAnsi="宋体"/>
                <w:szCs w:val="21"/>
              </w:rPr>
              <w:t>*</w:t>
            </w:r>
            <w:r>
              <w:rPr>
                <w:rFonts w:hint="eastAsia" w:ascii="宋体" w:hAnsi="宋体"/>
                <w:szCs w:val="21"/>
              </w:rPr>
              <w:t>高）（</w:t>
            </w:r>
            <w:r>
              <w:rPr>
                <w:rFonts w:ascii="宋体" w:hAnsi="宋体"/>
                <w:szCs w:val="21"/>
              </w:rPr>
              <w:t>mm</w:t>
            </w:r>
            <w:r>
              <w:rPr>
                <w:rFonts w:hint="eastAsia" w:ascii="宋体" w:hAnsi="宋体"/>
                <w:szCs w:val="21"/>
              </w:rPr>
              <w:t>）</w:t>
            </w:r>
          </w:p>
          <w:p>
            <w:pPr>
              <w:widowControl/>
              <w:numPr>
                <w:ilvl w:val="0"/>
                <w:numId w:val="1"/>
              </w:numPr>
              <w:spacing w:before="100" w:beforeAutospacing="1" w:after="100" w:afterAutospacing="1"/>
              <w:ind w:left="360" w:leftChars="0" w:hanging="360" w:firstLineChars="0"/>
              <w:jc w:val="left"/>
              <w:rPr>
                <w:rFonts w:ascii="宋体" w:hAnsi="宋体"/>
                <w:szCs w:val="21"/>
              </w:rPr>
            </w:pPr>
            <w:r>
              <w:rPr>
                <w:rFonts w:hint="eastAsia" w:ascii="宋体" w:hAnsi="宋体"/>
                <w:szCs w:val="21"/>
              </w:rPr>
              <w:t>容量要求：</w:t>
            </w:r>
            <w:r>
              <w:rPr>
                <w:rFonts w:ascii="宋体" w:hAnsi="宋体"/>
                <w:szCs w:val="21"/>
              </w:rPr>
              <w:t>&gt;=100L</w:t>
            </w:r>
          </w:p>
          <w:p>
            <w:pPr>
              <w:widowControl/>
              <w:numPr>
                <w:ilvl w:val="0"/>
                <w:numId w:val="1"/>
              </w:numPr>
              <w:spacing w:before="100" w:beforeAutospacing="1" w:after="100" w:afterAutospacing="1"/>
              <w:ind w:left="360" w:leftChars="0" w:hanging="360" w:firstLineChars="0"/>
              <w:jc w:val="left"/>
              <w:rPr>
                <w:rFonts w:ascii="宋体" w:hAnsi="宋体"/>
                <w:szCs w:val="21"/>
              </w:rPr>
            </w:pPr>
            <w:r>
              <w:rPr>
                <w:rFonts w:hint="eastAsia" w:ascii="宋体" w:hAnsi="宋体"/>
                <w:szCs w:val="21"/>
              </w:rPr>
              <w:t>压力表显示范围：</w:t>
            </w:r>
            <w:r>
              <w:rPr>
                <w:rFonts w:ascii="宋体" w:hAnsi="宋体"/>
                <w:szCs w:val="21"/>
              </w:rPr>
              <w:t>-0.1-0.25Mpa</w:t>
            </w:r>
          </w:p>
          <w:p>
            <w:pPr>
              <w:widowControl/>
              <w:numPr>
                <w:ilvl w:val="0"/>
                <w:numId w:val="1"/>
              </w:numPr>
              <w:spacing w:before="100" w:beforeAutospacing="1" w:after="100" w:afterAutospacing="1"/>
              <w:ind w:left="360" w:leftChars="0" w:hanging="360" w:firstLineChars="0"/>
              <w:jc w:val="left"/>
              <w:rPr>
                <w:rFonts w:ascii="宋体" w:hAnsi="宋体"/>
                <w:szCs w:val="21"/>
              </w:rPr>
            </w:pPr>
            <w:r>
              <w:rPr>
                <w:rFonts w:hint="eastAsia" w:ascii="宋体" w:hAnsi="宋体"/>
                <w:szCs w:val="21"/>
              </w:rPr>
              <w:t>灭菌温度：</w:t>
            </w:r>
            <w:r>
              <w:rPr>
                <w:rFonts w:ascii="宋体" w:hAnsi="宋体"/>
                <w:szCs w:val="21"/>
              </w:rPr>
              <w:t>110-135</w:t>
            </w:r>
            <w:r>
              <w:rPr>
                <w:rFonts w:hint="eastAsia" w:ascii="宋体" w:hAnsi="宋体"/>
                <w:szCs w:val="21"/>
              </w:rPr>
              <w:t>℃</w:t>
            </w:r>
          </w:p>
          <w:p>
            <w:pPr>
              <w:widowControl/>
              <w:numPr>
                <w:ilvl w:val="0"/>
                <w:numId w:val="1"/>
              </w:numPr>
              <w:spacing w:before="100" w:beforeAutospacing="1" w:after="100" w:afterAutospacing="1"/>
              <w:ind w:left="360" w:leftChars="0" w:hanging="360" w:firstLineChars="0"/>
              <w:jc w:val="left"/>
              <w:rPr>
                <w:rFonts w:ascii="宋体" w:hAnsi="宋体"/>
                <w:szCs w:val="21"/>
              </w:rPr>
            </w:pPr>
            <w:r>
              <w:rPr>
                <w:rFonts w:hint="eastAsia" w:ascii="宋体" w:hAnsi="宋体"/>
                <w:szCs w:val="21"/>
              </w:rPr>
              <w:t>电动式双内锁：控制系统实时监测灭菌腔内的温度、压力，只有在安全的温度和压力下才能开启灭菌腔盖，确保使用人员的安全</w:t>
            </w:r>
          </w:p>
          <w:p>
            <w:pPr>
              <w:widowControl/>
              <w:numPr>
                <w:ilvl w:val="0"/>
                <w:numId w:val="1"/>
              </w:numPr>
              <w:spacing w:before="100" w:beforeAutospacing="1" w:after="100" w:afterAutospacing="1"/>
              <w:ind w:left="360" w:leftChars="0" w:hanging="360" w:firstLineChars="0"/>
              <w:jc w:val="left"/>
              <w:rPr>
                <w:rFonts w:ascii="宋体" w:hAnsi="宋体"/>
                <w:szCs w:val="21"/>
              </w:rPr>
            </w:pPr>
            <w:r>
              <w:rPr>
                <w:rFonts w:hint="eastAsia" w:ascii="宋体" w:hAnsi="宋体"/>
                <w:szCs w:val="21"/>
              </w:rPr>
              <w:t>琼脂处理功能：可以对琼脂进行加热、融化、保温或对灭菌腔进行预热处理</w:t>
            </w:r>
          </w:p>
          <w:p>
            <w:pPr>
              <w:widowControl/>
              <w:numPr>
                <w:ilvl w:val="0"/>
                <w:numId w:val="1"/>
              </w:numPr>
              <w:spacing w:before="100" w:beforeAutospacing="1" w:after="100" w:afterAutospacing="1"/>
              <w:ind w:left="360" w:leftChars="0" w:hanging="360" w:firstLineChars="0"/>
              <w:jc w:val="left"/>
              <w:rPr>
                <w:rFonts w:ascii="宋体" w:hAnsi="宋体"/>
                <w:szCs w:val="21"/>
              </w:rPr>
            </w:pPr>
            <w:r>
              <w:rPr>
                <w:rFonts w:hint="eastAsia" w:ascii="宋体" w:hAnsi="宋体"/>
                <w:szCs w:val="21"/>
              </w:rPr>
              <w:t>排汽控制：灭菌完成后，排气阀可按预先设定的温度自动打开排汽</w:t>
            </w:r>
          </w:p>
          <w:p>
            <w:pPr>
              <w:widowControl/>
              <w:numPr>
                <w:ilvl w:val="0"/>
                <w:numId w:val="1"/>
              </w:numPr>
              <w:spacing w:before="100" w:beforeAutospacing="1" w:after="100" w:afterAutospacing="1"/>
              <w:ind w:left="360" w:leftChars="0" w:hanging="360" w:firstLineChars="0"/>
              <w:jc w:val="left"/>
              <w:rPr>
                <w:rFonts w:ascii="宋体" w:hAnsi="宋体"/>
                <w:szCs w:val="21"/>
              </w:rPr>
            </w:pPr>
            <w:r>
              <w:rPr>
                <w:rFonts w:hint="eastAsia" w:ascii="宋体" w:hAnsi="宋体"/>
                <w:szCs w:val="21"/>
              </w:rPr>
              <w:t>校验接口：提供温度、压力检验接口，方便进行检验</w:t>
            </w:r>
          </w:p>
          <w:p>
            <w:pPr>
              <w:widowControl/>
              <w:numPr>
                <w:ilvl w:val="0"/>
                <w:numId w:val="1"/>
              </w:numPr>
              <w:spacing w:before="100" w:beforeAutospacing="1" w:after="100" w:afterAutospacing="1"/>
              <w:ind w:left="360" w:leftChars="0" w:hanging="360" w:firstLineChars="0"/>
              <w:jc w:val="left"/>
              <w:rPr>
                <w:rFonts w:ascii="宋体" w:hAnsi="宋体"/>
                <w:szCs w:val="21"/>
              </w:rPr>
            </w:pPr>
            <w:r>
              <w:rPr>
                <w:rFonts w:hint="eastAsia" w:ascii="宋体" w:hAnsi="宋体"/>
                <w:szCs w:val="21"/>
              </w:rPr>
              <w:t>自动进水功能：免除频繁加水的不便，同时配备水位传感器，缺水自动停机并报警</w:t>
            </w:r>
          </w:p>
          <w:p>
            <w:pPr>
              <w:widowControl/>
              <w:numPr>
                <w:ilvl w:val="0"/>
                <w:numId w:val="1"/>
              </w:numPr>
              <w:spacing w:before="100" w:beforeAutospacing="1" w:after="100" w:afterAutospacing="1"/>
              <w:ind w:left="360" w:leftChars="0" w:hanging="360" w:firstLineChars="0"/>
              <w:jc w:val="left"/>
              <w:rPr>
                <w:rFonts w:ascii="宋体" w:hAnsi="宋体"/>
                <w:szCs w:val="21"/>
              </w:rPr>
            </w:pPr>
            <w:r>
              <w:rPr>
                <w:rFonts w:hint="eastAsia" w:ascii="宋体" w:hAnsi="宋体"/>
                <w:szCs w:val="21"/>
              </w:rPr>
              <w:t>饱和蒸汽监测：系统自动监测冷空气排放情况，确保纯蒸汽的灭菌环境，保证最佳灭菌效果</w:t>
            </w:r>
            <w:bookmarkStart w:id="15" w:name="_GoBack"/>
            <w:bookmarkEnd w:id="15"/>
          </w:p>
          <w:p>
            <w:pPr>
              <w:widowControl/>
              <w:numPr>
                <w:ilvl w:val="0"/>
                <w:numId w:val="1"/>
              </w:numPr>
              <w:spacing w:before="100" w:beforeAutospacing="1" w:after="100" w:afterAutospacing="1"/>
              <w:ind w:left="360" w:leftChars="0" w:hanging="360" w:firstLineChars="0"/>
              <w:jc w:val="left"/>
              <w:rPr>
                <w:rFonts w:hint="eastAsia" w:eastAsia="宋体"/>
                <w:lang w:eastAsia="zh-CN"/>
              </w:rPr>
            </w:pPr>
            <w:r>
              <w:rPr>
                <w:rFonts w:hint="eastAsia" w:eastAsia="宋体"/>
                <w:lang w:eastAsia="zh-CN"/>
              </w:rPr>
              <w:object>
                <v:shape id="_x0000_i1025" o:spt="75" type="#_x0000_t75" style="height:681.75pt;width:438pt;" o:ole="t" filled="f" o:preferrelative="t" stroked="f" coordsize="21600,21600">
                  <v:fill on="f" focussize="0,0"/>
                  <v:stroke on="f"/>
                  <v:imagedata r:id="rId7" o:title=""/>
                  <o:lock v:ext="edit" aspectratio="t"/>
                  <w10:wrap type="none"/>
                  <w10:anchorlock/>
                </v:shape>
                <o:OLEObject Type="Embed" ProgID="Word.Document.12" ShapeID="_x0000_i1025" DrawAspect="Content" ObjectID="_1468075725" r:id="rId6">
                  <o:LockedField>false</o:LockedField>
                </o:OLEObject>
              </w:objec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color w:val="FF0000"/>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w:t>
            </w:r>
            <w:r>
              <w:rPr>
                <w:rFonts w:hint="eastAsia" w:ascii="宋体" w:hAnsi="宋体" w:cs="宋体"/>
                <w:color w:val="FF0000"/>
                <w:sz w:val="24"/>
                <w:szCs w:val="24"/>
              </w:rPr>
              <w:t>3</w:t>
            </w:r>
            <w:r>
              <w:rPr>
                <w:rFonts w:hint="eastAsia" w:ascii="宋体" w:hAnsi="宋体" w:cs="宋体"/>
                <w:sz w:val="24"/>
                <w:szCs w:val="24"/>
              </w:rPr>
              <w:t>分，良</w:t>
            </w:r>
            <w:r>
              <w:rPr>
                <w:rFonts w:hint="eastAsia" w:ascii="宋体" w:hAnsi="宋体" w:cs="宋体"/>
                <w:color w:val="FF0000"/>
                <w:sz w:val="24"/>
                <w:szCs w:val="24"/>
              </w:rPr>
              <w:t>2</w:t>
            </w:r>
            <w:r>
              <w:rPr>
                <w:rFonts w:hint="eastAsia" w:ascii="宋体" w:hAnsi="宋体" w:cs="宋体"/>
                <w:sz w:val="24"/>
                <w:szCs w:val="24"/>
              </w:rPr>
              <w:t>分，中</w:t>
            </w:r>
            <w:r>
              <w:rPr>
                <w:rFonts w:hint="eastAsia" w:ascii="宋体" w:hAnsi="宋体" w:cs="宋体"/>
                <w:color w:val="FF0000"/>
                <w:sz w:val="24"/>
                <w:szCs w:val="24"/>
              </w:rPr>
              <w:t>1</w:t>
            </w:r>
            <w:r>
              <w:rPr>
                <w:rFonts w:hint="eastAsia" w:ascii="宋体" w:hAnsi="宋体" w:cs="宋体"/>
                <w:sz w:val="24"/>
                <w:szCs w:val="24"/>
              </w:rPr>
              <w:t>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1"/>
              <w:tblW w:w="0" w:type="auto"/>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r>
                    <w:rPr>
                      <w:rFonts w:hint="eastAsia" w:ascii="宋体" w:hAnsi="宋体" w:cs="宋体"/>
                      <w:b/>
                      <w:bCs/>
                      <w:color w:val="FF0000"/>
                      <w:kern w:val="0"/>
                      <w:sz w:val="24"/>
                      <w:szCs w:val="24"/>
                    </w:rPr>
                    <w:t>（根据货物种类不同自行改写）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货物免费保修期</w:t>
                  </w:r>
                  <w:r>
                    <w:rPr>
                      <w:rFonts w:ascii="宋体" w:hAnsi="宋体" w:cs="宋体"/>
                      <w:color w:val="FF0000"/>
                      <w:kern w:val="0"/>
                      <w:sz w:val="24"/>
                      <w:szCs w:val="24"/>
                    </w:rPr>
                    <w:t xml:space="preserve"> </w:t>
                  </w:r>
                  <w:r>
                    <w:rPr>
                      <w:rFonts w:hint="eastAsia" w:ascii="宋体" w:hAnsi="宋体" w:cs="宋体"/>
                      <w:color w:val="FF0000"/>
                      <w:kern w:val="0"/>
                      <w:sz w:val="24"/>
                      <w:szCs w:val="24"/>
                    </w:rPr>
                    <w:t>贰</w:t>
                  </w:r>
                  <w:r>
                    <w:rPr>
                      <w:rFonts w:ascii="宋体" w:hAnsi="宋体" w:cs="宋体"/>
                      <w:kern w:val="0"/>
                      <w:sz w:val="24"/>
                      <w:szCs w:val="24"/>
                    </w:rPr>
                    <w:t>年，时间自最终验收合格并交付使用之日起计算。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在保修期内，一旦发生质量问题，投标人保证在接到通知24小时内赶到现场进行修理或更换。</w:t>
                  </w:r>
                </w:p>
                <w:p>
                  <w:pPr>
                    <w:widowControl/>
                    <w:spacing w:before="100" w:beforeAutospacing="1" w:after="100" w:afterAutospacing="1" w:line="150" w:lineRule="atLeast"/>
                    <w:jc w:val="left"/>
                    <w:rPr>
                      <w:rFonts w:hint="eastAsia" w:ascii="宋体" w:hAnsi="宋体" w:cs="宋体"/>
                      <w:kern w:val="0"/>
                      <w:sz w:val="24"/>
                      <w:szCs w:val="24"/>
                    </w:rPr>
                  </w:pPr>
                  <w:r>
                    <w:rPr>
                      <w:rFonts w:hint="eastAsia"/>
                    </w:rPr>
                    <w:t>2、厂家必须在广东省有固定售后服务工作站（提供工程师电话和技术维修力量情况和维修的详细地址及联系方式）。专业工程师免费现场安装</w:t>
                  </w:r>
                </w:p>
                <w:p>
                  <w:pPr>
                    <w:jc w:val="left"/>
                    <w:rPr>
                      <w:rFonts w:hint="eastAsia"/>
                    </w:rPr>
                  </w:pPr>
                  <w:r>
                    <w:rPr>
                      <w:rFonts w:hint="eastAsia"/>
                    </w:rPr>
                    <w:t>3、提供400/800国内免费电话， 365天24小时的远程维护与服务，深圳地区有驻点工程师，4小时内电话响应，24小时维修到位（不可抗力情况除外），超过24小时不能完成维修的须提供备用机。</w:t>
                  </w:r>
                </w:p>
                <w:p>
                  <w:pPr>
                    <w:jc w:val="left"/>
                  </w:pPr>
                  <w:r>
                    <w:rPr>
                      <w:rFonts w:hint="eastAsia"/>
                    </w:rPr>
                    <w:t xml:space="preserve">4、保证供应仪器的维修与配件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产权合法性</w:t>
                  </w:r>
                  <w:r>
                    <w:rPr>
                      <w:rFonts w:hint="eastAsia" w:ascii="宋体" w:hAnsi="宋体" w:cs="宋体"/>
                      <w:kern w:val="0"/>
                      <w:sz w:val="24"/>
                      <w:szCs w:val="24"/>
                    </w:rPr>
                    <w:t>、软件升级及服务</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供应商保证所使用软件的合法性，任何知识产权纠纷与用户无关。</w:t>
                  </w:r>
                </w:p>
                <w:p>
                  <w:pPr>
                    <w:jc w:val="left"/>
                    <w:rPr>
                      <w:rFonts w:hint="eastAsia"/>
                    </w:rPr>
                  </w:pPr>
                  <w:r>
                    <w:rPr>
                      <w:rFonts w:hint="eastAsia" w:ascii="宋体" w:hAnsi="宋体" w:cs="宋体"/>
                      <w:kern w:val="0"/>
                      <w:sz w:val="24"/>
                      <w:szCs w:val="24"/>
                    </w:rPr>
                    <w:t>2.</w:t>
                  </w:r>
                  <w:r>
                    <w:rPr>
                      <w:rFonts w:hint="eastAsia"/>
                    </w:rPr>
                    <w:t xml:space="preserve"> 免费提供技术咨询、软件升级；</w:t>
                  </w:r>
                </w:p>
                <w:p>
                  <w:pPr>
                    <w:jc w:val="left"/>
                  </w:pPr>
                  <w:r>
                    <w:rPr>
                      <w:rFonts w:hint="eastAsia"/>
                    </w:rPr>
                    <w:t>3. 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r>
                    <w:rPr>
                      <w:rFonts w:hint="eastAsia" w:ascii="宋体" w:hAnsi="宋体" w:cs="宋体"/>
                      <w:b/>
                      <w:bCs/>
                      <w:color w:val="FF0000"/>
                      <w:kern w:val="0"/>
                      <w:sz w:val="24"/>
                      <w:szCs w:val="24"/>
                    </w:rPr>
                    <w:t>（根据货物种类不同自行改写）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 </w:t>
                  </w:r>
                  <w:r>
                    <w:rPr>
                      <w:rFonts w:ascii="宋体" w:hAnsi="宋体" w:cs="宋体"/>
                      <w:kern w:val="0"/>
                      <w:sz w:val="24"/>
                      <w:szCs w:val="24"/>
                    </w:rPr>
                    <w:t>维修响应时间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在保修期外，一旦发生质量问题，投标人保证在接到通知24小时内赶到现场进行修理或更换。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2</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产权合法性</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供应商保证所使用软件的合法性，任何知识产权纠纷与用户无关。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3</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43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其他</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厂家提供终身维修，终身免费提供软件升级，提供消耗品优惠价格，提供零配件优惠价格，而且必须提供设备的使用手册及维修手册</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r>
                    <w:rPr>
                      <w:rFonts w:hint="eastAsia" w:ascii="宋体" w:hAnsi="宋体" w:cs="宋体"/>
                      <w:b/>
                      <w:bCs/>
                      <w:color w:val="FF0000"/>
                      <w:kern w:val="0"/>
                      <w:sz w:val="24"/>
                      <w:szCs w:val="24"/>
                    </w:rPr>
                    <w:t>（根据货物种类不同自行改写）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关于交货</w:t>
                  </w:r>
                  <w:r>
                    <w:rPr>
                      <w:rFonts w:hint="eastAsia" w:ascii="宋体" w:hAnsi="宋体" w:cs="宋体"/>
                      <w:kern w:val="0"/>
                      <w:sz w:val="24"/>
                      <w:szCs w:val="24"/>
                    </w:rPr>
                    <w:t>、验收</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1.1签订合同后</w:t>
                  </w:r>
                  <w:r>
                    <w:rPr>
                      <w:rFonts w:ascii="宋体" w:hAnsi="宋体" w:cs="宋体"/>
                      <w:kern w:val="0"/>
                      <w:sz w:val="24"/>
                      <w:szCs w:val="24"/>
                      <w:u w:val="single"/>
                    </w:rPr>
                    <w:t> </w:t>
                  </w:r>
                  <w:r>
                    <w:rPr>
                      <w:rFonts w:ascii="宋体" w:hAnsi="宋体" w:cs="宋体"/>
                      <w:color w:val="FF0000"/>
                      <w:kern w:val="0"/>
                      <w:sz w:val="24"/>
                      <w:szCs w:val="24"/>
                      <w:u w:val="single"/>
                    </w:rPr>
                    <w:t>30 </w:t>
                  </w:r>
                  <w:r>
                    <w:rPr>
                      <w:rFonts w:ascii="宋体" w:hAnsi="宋体" w:cs="宋体"/>
                      <w:kern w:val="0"/>
                      <w:sz w:val="24"/>
                      <w:szCs w:val="24"/>
                    </w:rPr>
                    <w:t>天（日历日）内。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1.2投标人必须承担的设备运输、安装调试、验收检测和提供设备操作说明书、图纸等其他类似的义务。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nil"/>
                    <w:left w:val="single" w:color="auto" w:sz="8" w:space="0"/>
                    <w:bottom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2</w:t>
                  </w:r>
                </w:p>
              </w:tc>
              <w:tc>
                <w:tcPr>
                  <w:tcW w:w="1373" w:type="dxa"/>
                  <w:tcBorders>
                    <w:top w:val="nil"/>
                    <w:left w:val="nil"/>
                    <w:bottom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关于付款</w:t>
                  </w:r>
                </w:p>
              </w:tc>
              <w:tc>
                <w:tcPr>
                  <w:tcW w:w="6257" w:type="dxa"/>
                  <w:tcBorders>
                    <w:top w:val="nil"/>
                    <w:left w:val="nil"/>
                    <w:bottom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1、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 2、由于供应商的原因，未能按时供货，每迟一天罚款合同总额的0.5%；如超过供货期30天，我院将终止合同并通过法律程序对供应商进行索赔。</w:t>
                  </w:r>
                </w:p>
                <w:p>
                  <w:pPr>
                    <w:widowControl/>
                    <w:spacing w:before="100" w:beforeAutospacing="1" w:after="100" w:afterAutospacing="1" w:line="300" w:lineRule="atLeast"/>
                    <w:jc w:val="left"/>
                    <w:rPr>
                      <w:rFonts w:ascii="宋体" w:hAnsi="宋体" w:cs="宋体"/>
                      <w:kern w:val="0"/>
                      <w:sz w:val="24"/>
                      <w:szCs w:val="24"/>
                    </w:rPr>
                  </w:pPr>
                  <w:r>
                    <w:rPr>
                      <w:rFonts w:ascii="宋体" w:hAnsi="宋体" w:cs="宋体"/>
                      <w:kern w:val="0"/>
                      <w:sz w:val="24"/>
                      <w:szCs w:val="24"/>
                    </w:rPr>
                    <w:t>3、由于供应商的原因，在货到一周内未进行安装调试，或安装调试时间超过正常要求，按每超过一天罚款合同总额的0.5%或按我院损失罚款。情节严重者，我院将依法律程序对供应商进行索赔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kern w:val="0"/>
                      <w:sz w:val="24"/>
                      <w:szCs w:val="24"/>
                    </w:rPr>
                    <w:t>3</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rPr>
                    <w:t>标书响应情况</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55"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p>
        </w:tc>
        <w:tc>
          <w:tcPr>
            <w:tcW w:w="8880" w:type="dxa"/>
            <w:tcBorders>
              <w:top w:val="single" w:color="auto" w:sz="4" w:space="0"/>
              <w:left w:val="single" w:color="auto" w:sz="4" w:space="0"/>
              <w:bottom w:val="single" w:color="auto" w:sz="4" w:space="0"/>
              <w:right w:val="single" w:color="auto" w:sz="4" w:space="0"/>
            </w:tcBorders>
            <w:noWrap w:val="0"/>
            <w:vAlign w:val="center"/>
          </w:tcPr>
          <w:p>
            <w:pPr>
              <w:rPr>
                <w:rFonts w:hint="eastAsia" w:cs="宋体"/>
                <w:b/>
                <w:bCs/>
                <w:color w:val="FF0000"/>
              </w:rPr>
            </w:pPr>
          </w:p>
          <w:p>
            <w:pPr>
              <w:widowControl/>
              <w:spacing w:before="100" w:beforeAutospacing="1" w:after="100" w:afterAutospacing="1"/>
              <w:jc w:val="left"/>
              <w:rPr>
                <w:rFonts w:ascii="宋体" w:hAnsi="宋体" w:cs="宋体"/>
                <w:b/>
                <w:bCs/>
                <w:kern w:val="0"/>
                <w:sz w:val="24"/>
                <w:szCs w:val="24"/>
              </w:rPr>
            </w:pPr>
          </w:p>
        </w:tc>
      </w:tr>
    </w:tbl>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1"/>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5603A3"/>
    <w:rsid w:val="0C5C2346"/>
    <w:rsid w:val="0C5E5BB8"/>
    <w:rsid w:val="0C8D0956"/>
    <w:rsid w:val="0C94782E"/>
    <w:rsid w:val="0E215C17"/>
    <w:rsid w:val="0E9603EA"/>
    <w:rsid w:val="0FDB5BF8"/>
    <w:rsid w:val="0FF0756D"/>
    <w:rsid w:val="10BB60F9"/>
    <w:rsid w:val="10CB03AE"/>
    <w:rsid w:val="110A33B6"/>
    <w:rsid w:val="11973802"/>
    <w:rsid w:val="11EC5E17"/>
    <w:rsid w:val="121432F4"/>
    <w:rsid w:val="12DD2EED"/>
    <w:rsid w:val="13545A8B"/>
    <w:rsid w:val="13840F17"/>
    <w:rsid w:val="13992498"/>
    <w:rsid w:val="140F5863"/>
    <w:rsid w:val="14A2293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213878"/>
    <w:rsid w:val="1C6311B2"/>
    <w:rsid w:val="1CBE541D"/>
    <w:rsid w:val="1CDB04F6"/>
    <w:rsid w:val="1D1D0E35"/>
    <w:rsid w:val="1D250BA1"/>
    <w:rsid w:val="1DD93DB9"/>
    <w:rsid w:val="1E5E3775"/>
    <w:rsid w:val="1E7F1AFF"/>
    <w:rsid w:val="1EFF09E6"/>
    <w:rsid w:val="1F8C23DA"/>
    <w:rsid w:val="1FA13095"/>
    <w:rsid w:val="1FE040BC"/>
    <w:rsid w:val="20152CE5"/>
    <w:rsid w:val="204801C9"/>
    <w:rsid w:val="21916F90"/>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C492AB0"/>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5330E7"/>
    <w:rsid w:val="3BD85452"/>
    <w:rsid w:val="3BF6596E"/>
    <w:rsid w:val="3C125C3B"/>
    <w:rsid w:val="3CC86BE5"/>
    <w:rsid w:val="3CED6006"/>
    <w:rsid w:val="3D132062"/>
    <w:rsid w:val="3D83213E"/>
    <w:rsid w:val="3DDB4F84"/>
    <w:rsid w:val="3F033133"/>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BB756F"/>
    <w:rsid w:val="66027D44"/>
    <w:rsid w:val="66420C8D"/>
    <w:rsid w:val="67434ACE"/>
    <w:rsid w:val="675160F0"/>
    <w:rsid w:val="67873AE3"/>
    <w:rsid w:val="679E29E3"/>
    <w:rsid w:val="67C46DBD"/>
    <w:rsid w:val="68043A23"/>
    <w:rsid w:val="68087A20"/>
    <w:rsid w:val="68124293"/>
    <w:rsid w:val="6849284A"/>
    <w:rsid w:val="68A37534"/>
    <w:rsid w:val="69006315"/>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C0039D3"/>
    <w:rsid w:val="7C6C6D2C"/>
    <w:rsid w:val="7C7163B3"/>
    <w:rsid w:val="7D45640A"/>
    <w:rsid w:val="7DDD641C"/>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qFormat/>
    <w:uiPriority w:val="0"/>
    <w:pPr>
      <w:spacing w:before="240" w:after="240"/>
      <w:outlineLvl w:val="2"/>
    </w:pPr>
    <w:rPr>
      <w:b/>
      <w:sz w:val="2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ody Text Indent"/>
    <w:basedOn w:val="1"/>
    <w:qFormat/>
    <w:uiPriority w:val="0"/>
    <w:pPr>
      <w:spacing w:line="360" w:lineRule="auto"/>
      <w:ind w:left="720" w:hanging="720" w:hangingChars="300"/>
    </w:pPr>
    <w:rPr>
      <w:sz w:val="24"/>
      <w:szCs w:val="20"/>
    </w:rPr>
  </w:style>
  <w:style w:type="paragraph" w:styleId="6">
    <w:name w:val="Plain Text"/>
    <w:basedOn w:val="1"/>
    <w:link w:val="17"/>
    <w:qFormat/>
    <w:uiPriority w:val="0"/>
    <w:rPr>
      <w:rFonts w:ascii="宋体" w:hAnsi="Courier New" w:cs="Courier New"/>
      <w:szCs w:val="21"/>
    </w:rPr>
  </w:style>
  <w:style w:type="paragraph" w:styleId="7">
    <w:name w:val="Date"/>
    <w:basedOn w:val="1"/>
    <w:next w:val="1"/>
    <w:qFormat/>
    <w:uiPriority w:val="0"/>
    <w:rPr>
      <w:szCs w:val="20"/>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0"/>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character" w:customStyle="1" w:styleId="16">
    <w:name w:val="标题 3 Char"/>
    <w:basedOn w:val="13"/>
    <w:link w:val="4"/>
    <w:qFormat/>
    <w:uiPriority w:val="0"/>
    <w:rPr>
      <w:b/>
      <w:kern w:val="2"/>
      <w:sz w:val="24"/>
    </w:rPr>
  </w:style>
  <w:style w:type="character" w:customStyle="1" w:styleId="17">
    <w:name w:val="纯文本 Char"/>
    <w:basedOn w:val="13"/>
    <w:link w:val="6"/>
    <w:qFormat/>
    <w:uiPriority w:val="0"/>
    <w:rPr>
      <w:rFonts w:ascii="宋体" w:hAnsi="Courier New" w:cs="Courier New"/>
      <w:kern w:val="2"/>
      <w:sz w:val="21"/>
      <w:szCs w:val="21"/>
    </w:rPr>
  </w:style>
  <w:style w:type="paragraph" w:customStyle="1" w:styleId="18">
    <w:name w:val="Char"/>
    <w:basedOn w:val="1"/>
    <w:qFormat/>
    <w:uiPriority w:val="0"/>
    <w:rPr>
      <w:rFonts w:ascii="仿宋_GB2312" w:eastAsia="仿宋_GB2312"/>
      <w:b/>
      <w:sz w:val="32"/>
      <w:szCs w:val="32"/>
    </w:rPr>
  </w:style>
  <w:style w:type="paragraph" w:customStyle="1" w:styleId="19">
    <w:name w:val="样式 (西文) 宋体 行距: 1.5 倍行距"/>
    <w:basedOn w:val="1"/>
    <w:qFormat/>
    <w:uiPriority w:val="0"/>
    <w:pPr>
      <w:spacing w:line="360" w:lineRule="auto"/>
    </w:pPr>
    <w:rPr>
      <w:rFonts w:ascii="宋体" w:hAnsi="宋体" w:cs="宋体"/>
    </w:rPr>
  </w:style>
  <w:style w:type="character" w:customStyle="1" w:styleId="20">
    <w:name w:val="页眉 Char"/>
    <w:basedOn w:val="13"/>
    <w:link w:val="9"/>
    <w:qFormat/>
    <w:uiPriority w:val="0"/>
    <w:rPr>
      <w:kern w:val="2"/>
      <w:sz w:val="18"/>
      <w:szCs w:val="18"/>
    </w:rPr>
  </w:style>
  <w:style w:type="character" w:customStyle="1" w:styleId="21">
    <w:name w:val="页脚 Char"/>
    <w:basedOn w:val="13"/>
    <w:link w:val="8"/>
    <w:qFormat/>
    <w:uiPriority w:val="99"/>
    <w:rPr>
      <w:kern w:val="2"/>
      <w:sz w:val="18"/>
      <w:szCs w:val="18"/>
    </w:rPr>
  </w:style>
  <w:style w:type="character" w:customStyle="1" w:styleId="22">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23">
    <w:name w:val="List Paragraph"/>
    <w:basedOn w:val="1"/>
    <w:qFormat/>
    <w:uiPriority w:val="34"/>
    <w:pPr>
      <w:ind w:firstLine="420" w:firstLineChars="200"/>
    </w:pPr>
    <w:rPr>
      <w:rFonts w:ascii="Calibri" w:hAnsi="Calibri"/>
      <w:szCs w:val="22"/>
    </w:rPr>
  </w:style>
  <w:style w:type="character" w:customStyle="1" w:styleId="24">
    <w:name w:val="标题 1 Char"/>
    <w:basedOn w:val="13"/>
    <w:link w:val="2"/>
    <w:qFormat/>
    <w:uiPriority w:val="0"/>
    <w:rPr>
      <w:b/>
      <w:bCs/>
      <w:kern w:val="44"/>
      <w:sz w:val="44"/>
      <w:szCs w:val="44"/>
    </w:rPr>
  </w:style>
  <w:style w:type="paragraph" w:customStyle="1" w:styleId="25">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6">
    <w:name w:val="_Style 1"/>
    <w:basedOn w:val="1"/>
    <w:qFormat/>
    <w:uiPriority w:val="34"/>
    <w:pPr>
      <w:ind w:firstLine="420" w:firstLineChars="200"/>
    </w:pPr>
  </w:style>
  <w:style w:type="paragraph" w:customStyle="1" w:styleId="27">
    <w:name w:val="样式3"/>
    <w:basedOn w:val="1"/>
    <w:qFormat/>
    <w:uiPriority w:val="0"/>
    <w:pPr>
      <w:spacing w:line="0" w:lineRule="atLeast"/>
      <w:outlineLvl w:val="0"/>
    </w:pPr>
    <w:rPr>
      <w:rFonts w:ascii="宋体" w:hAnsi="Courier New"/>
      <w:sz w:val="28"/>
      <w:szCs w:val="24"/>
    </w:rPr>
  </w:style>
  <w:style w:type="paragraph" w:customStyle="1" w:styleId="28">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29">
    <w:name w:val="招标文件样式2"/>
    <w:basedOn w:val="1"/>
    <w:qFormat/>
    <w:uiPriority w:val="99"/>
    <w:pPr>
      <w:jc w:val="center"/>
      <w:outlineLvl w:val="0"/>
    </w:pPr>
    <w:rPr>
      <w:rFonts w:ascii="宋体" w:hAnsi="宋体"/>
      <w:b/>
      <w:sz w:val="28"/>
      <w:szCs w:val="28"/>
    </w:rPr>
  </w:style>
  <w:style w:type="paragraph" w:customStyle="1" w:styleId="30">
    <w:name w:val="列出段落1"/>
    <w:basedOn w:val="1"/>
    <w:qFormat/>
    <w:uiPriority w:val="99"/>
    <w:pPr>
      <w:ind w:firstLine="420" w:firstLineChars="200"/>
    </w:pPr>
  </w:style>
  <w:style w:type="paragraph" w:customStyle="1" w:styleId="31">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2">
    <w:name w:val="List Paragraph1"/>
    <w:basedOn w:val="1"/>
    <w:qFormat/>
    <w:uiPriority w:val="99"/>
    <w:pPr>
      <w:ind w:firstLine="420" w:firstLineChars="200"/>
    </w:pPr>
  </w:style>
  <w:style w:type="paragraph" w:customStyle="1" w:styleId="33">
    <w:name w:val="msolistparagraph"/>
    <w:basedOn w:val="1"/>
    <w:qFormat/>
    <w:uiPriority w:val="0"/>
    <w:pPr>
      <w:adjustRightInd w:val="0"/>
      <w:snapToGrid w:val="0"/>
      <w:ind w:firstLine="420" w:firstLineChars="200"/>
    </w:pPr>
    <w:rPr>
      <w:sz w:val="28"/>
      <w:szCs w:val="24"/>
    </w:rPr>
  </w:style>
  <w:style w:type="character" w:customStyle="1" w:styleId="34">
    <w:name w:val="font31"/>
    <w:basedOn w:val="13"/>
    <w:qFormat/>
    <w:uiPriority w:val="0"/>
    <w:rPr>
      <w:rFonts w:hint="eastAsia" w:ascii="宋体" w:hAnsi="宋体" w:eastAsia="宋体" w:cs="Times New Roman"/>
      <w:color w:val="000000"/>
      <w:sz w:val="20"/>
      <w:szCs w:val="20"/>
      <w:u w:val="none"/>
    </w:rPr>
  </w:style>
  <w:style w:type="character" w:customStyle="1" w:styleId="35">
    <w:name w:val="font21"/>
    <w:basedOn w:val="13"/>
    <w:qFormat/>
    <w:uiPriority w:val="0"/>
    <w:rPr>
      <w:rFonts w:hint="eastAsia" w:ascii="宋体" w:hAnsi="宋体" w:eastAsia="宋体" w:cs="宋体"/>
      <w:color w:val="000000"/>
      <w:sz w:val="18"/>
      <w:szCs w:val="18"/>
      <w:u w:val="none"/>
    </w:rPr>
  </w:style>
  <w:style w:type="paragraph" w:customStyle="1" w:styleId="36">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2020-09-07T01:09:13Z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