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序号</w:t>
            </w:r>
          </w:p>
        </w:tc>
        <w:tc>
          <w:tcPr>
            <w:tcW w:w="4286"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评分项</w:t>
            </w:r>
          </w:p>
        </w:tc>
        <w:tc>
          <w:tcPr>
            <w:tcW w:w="338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ascii="宋体" w:hAnsi="宋体"/>
                <w:b/>
                <w:szCs w:val="21"/>
              </w:rPr>
              <w:t>1</w:t>
            </w:r>
          </w:p>
        </w:tc>
        <w:tc>
          <w:tcPr>
            <w:tcW w:w="4286"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2</w:t>
            </w:r>
            <w:r>
              <w:rPr>
                <w:rFonts w:ascii="宋体" w:hAnsi="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ascii="宋体" w:hAnsi="宋体"/>
                <w:b/>
                <w:szCs w:val="21"/>
              </w:rPr>
              <w:t>2</w:t>
            </w:r>
          </w:p>
        </w:tc>
        <w:tc>
          <w:tcPr>
            <w:tcW w:w="4286"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b/>
                <w:color w:val="auto"/>
                <w:szCs w:val="21"/>
                <w:lang w:val="en-US" w:eastAsia="zh-CN"/>
              </w:rPr>
            </w:pPr>
            <w:r>
              <w:rPr>
                <w:rFonts w:hint="eastAsia" w:ascii="宋体" w:hAnsi="宋体"/>
                <w:b/>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序号</w:t>
            </w:r>
          </w:p>
        </w:tc>
        <w:tc>
          <w:tcPr>
            <w:tcW w:w="223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hint="eastAsia" w:ascii="宋体" w:hAnsi="宋体" w:cs="宋体"/>
                <w:kern w:val="0"/>
                <w:szCs w:val="21"/>
              </w:rPr>
              <w:t>根据提交材料</w:t>
            </w:r>
            <w:r>
              <w:rPr>
                <w:rFonts w:ascii="宋体" w:hAnsi="宋体" w:cs="宋体"/>
                <w:kern w:val="0"/>
                <w:szCs w:val="21"/>
              </w:rPr>
              <w:t>的整体印象，</w:t>
            </w:r>
            <w:r>
              <w:rPr>
                <w:rFonts w:hint="eastAsia" w:ascii="宋体" w:hAnsi="宋体" w:cs="宋体"/>
                <w:kern w:val="0"/>
                <w:szCs w:val="21"/>
              </w:rPr>
              <w:t>包括</w:t>
            </w:r>
            <w:r>
              <w:rPr>
                <w:rFonts w:ascii="宋体" w:hAnsi="宋体" w:cs="宋体"/>
                <w:kern w:val="0"/>
                <w:szCs w:val="21"/>
              </w:rPr>
              <w:t>材料制作</w:t>
            </w:r>
            <w:r>
              <w:rPr>
                <w:rFonts w:hint="eastAsia" w:ascii="宋体" w:hAnsi="宋体" w:cs="宋体"/>
                <w:kern w:val="0"/>
                <w:szCs w:val="21"/>
              </w:rPr>
              <w:t>的</w:t>
            </w:r>
            <w:r>
              <w:rPr>
                <w:rFonts w:ascii="宋体" w:hAnsi="宋体" w:cs="宋体"/>
                <w:kern w:val="0"/>
                <w:szCs w:val="21"/>
              </w:rPr>
              <w:t>精细化程度、</w:t>
            </w:r>
            <w:r>
              <w:rPr>
                <w:rFonts w:hint="eastAsia" w:ascii="宋体" w:hAnsi="宋体" w:cs="宋体"/>
                <w:kern w:val="0"/>
                <w:szCs w:val="21"/>
              </w:rPr>
              <w:t>材料</w:t>
            </w:r>
            <w:r>
              <w:rPr>
                <w:rFonts w:ascii="宋体" w:hAnsi="宋体" w:cs="宋体"/>
                <w:kern w:val="0"/>
                <w:szCs w:val="21"/>
              </w:rPr>
              <w:t>的细节、方案的字数、</w:t>
            </w:r>
            <w:r>
              <w:rPr>
                <w:rFonts w:hint="eastAsia" w:ascii="宋体" w:hAnsi="宋体" w:cs="宋体"/>
                <w:kern w:val="0"/>
                <w:szCs w:val="21"/>
              </w:rPr>
              <w:t>整体</w:t>
            </w:r>
            <w:r>
              <w:rPr>
                <w:rFonts w:ascii="宋体" w:hAnsi="宋体" w:cs="宋体"/>
                <w:kern w:val="0"/>
                <w:szCs w:val="21"/>
              </w:rPr>
              <w:t>结构等评分。优</w:t>
            </w:r>
            <w:r>
              <w:rPr>
                <w:rFonts w:hint="eastAsia" w:ascii="宋体" w:hAnsi="宋体" w:cs="宋体"/>
                <w:kern w:val="0"/>
                <w:szCs w:val="21"/>
              </w:rPr>
              <w:t>得</w:t>
            </w:r>
            <w:r>
              <w:rPr>
                <w:rFonts w:ascii="宋体" w:hAnsi="宋体" w:cs="宋体"/>
                <w:kern w:val="0"/>
                <w:szCs w:val="21"/>
              </w:rPr>
              <w:t>10</w:t>
            </w:r>
            <w:r>
              <w:rPr>
                <w:rFonts w:hint="eastAsia" w:ascii="宋体" w:hAnsi="宋体" w:cs="宋体"/>
                <w:kern w:val="0"/>
                <w:szCs w:val="21"/>
              </w:rPr>
              <w:t>分，</w:t>
            </w:r>
            <w:r>
              <w:rPr>
                <w:rFonts w:ascii="宋体" w:hAnsi="宋体" w:cs="宋体"/>
                <w:kern w:val="0"/>
                <w:szCs w:val="21"/>
              </w:rPr>
              <w:t>良</w:t>
            </w:r>
            <w:r>
              <w:rPr>
                <w:rFonts w:hint="eastAsia" w:ascii="宋体" w:hAnsi="宋体" w:cs="宋体"/>
                <w:kern w:val="0"/>
                <w:szCs w:val="21"/>
              </w:rPr>
              <w:t>得</w:t>
            </w:r>
            <w:r>
              <w:rPr>
                <w:rFonts w:ascii="宋体" w:hAnsi="宋体" w:cs="宋体"/>
                <w:kern w:val="0"/>
                <w:szCs w:val="21"/>
              </w:rPr>
              <w:t>7</w:t>
            </w:r>
            <w:r>
              <w:rPr>
                <w:rFonts w:hint="eastAsia" w:ascii="宋体" w:hAnsi="宋体" w:cs="宋体"/>
                <w:kern w:val="0"/>
                <w:szCs w:val="21"/>
              </w:rPr>
              <w:t>分，合格</w:t>
            </w:r>
            <w:r>
              <w:rPr>
                <w:rFonts w:ascii="宋体" w:hAnsi="宋体" w:cs="宋体"/>
                <w:kern w:val="0"/>
                <w:szCs w:val="21"/>
              </w:rPr>
              <w:t>得</w:t>
            </w:r>
            <w:r>
              <w:rPr>
                <w:rFonts w:hint="eastAsia" w:ascii="宋体" w:hAnsi="宋体" w:cs="宋体"/>
                <w:kern w:val="0"/>
                <w:szCs w:val="21"/>
              </w:rPr>
              <w:t>5分</w:t>
            </w:r>
            <w:r>
              <w:rPr>
                <w:rFonts w:hint="eastAsia" w:ascii="宋体" w:hAnsi="宋体" w:cs="宋体"/>
                <w:kern w:val="0"/>
                <w:szCs w:val="21"/>
                <w:lang w:val="en-US" w:eastAsia="zh-CN"/>
              </w:rPr>
              <w:t>,</w:t>
            </w:r>
            <w:r>
              <w:rPr>
                <w:rFonts w:ascii="宋体" w:hAnsi="宋体" w:cs="仿宋"/>
                <w:szCs w:val="21"/>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w:t>
            </w:r>
            <w:r>
              <w:rPr>
                <w:rFonts w:ascii="宋体" w:hAnsi="宋体" w:cs="仿宋"/>
                <w:szCs w:val="21"/>
              </w:rPr>
              <w:t>分；评价为良得</w:t>
            </w:r>
            <w:r>
              <w:rPr>
                <w:rFonts w:hint="eastAsia" w:ascii="宋体" w:hAnsi="宋体" w:cs="仿宋"/>
                <w:szCs w:val="21"/>
              </w:rPr>
              <w:t>5</w:t>
            </w:r>
            <w:r>
              <w:rPr>
                <w:rFonts w:ascii="宋体" w:hAnsi="宋体" w:cs="仿宋"/>
                <w:szCs w:val="21"/>
              </w:rPr>
              <w:t>分；评价为中得</w:t>
            </w:r>
            <w:r>
              <w:rPr>
                <w:rFonts w:hint="eastAsia" w:ascii="宋体" w:hAnsi="宋体" w:cs="仿宋"/>
                <w:szCs w:val="21"/>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8</w:t>
            </w:r>
            <w:r>
              <w:rPr>
                <w:rFonts w:ascii="宋体" w:hAnsi="宋体" w:cs="仿宋"/>
                <w:szCs w:val="21"/>
              </w:rPr>
              <w:t>分；评价为良得</w:t>
            </w:r>
            <w:r>
              <w:rPr>
                <w:rFonts w:hint="eastAsia" w:ascii="宋体" w:hAnsi="宋体" w:cs="仿宋"/>
                <w:szCs w:val="21"/>
              </w:rPr>
              <w:t>6</w:t>
            </w:r>
            <w:r>
              <w:rPr>
                <w:rFonts w:ascii="宋体" w:hAnsi="宋体" w:cs="仿宋"/>
                <w:szCs w:val="21"/>
              </w:rPr>
              <w:t>分；评价为中得</w:t>
            </w:r>
            <w:r>
              <w:rPr>
                <w:rFonts w:hint="eastAsia" w:ascii="宋体" w:hAnsi="宋体" w:cs="仿宋"/>
                <w:szCs w:val="21"/>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rPr>
              <w:t>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ascii="宋体" w:hAnsi="宋体"/>
                <w:b/>
                <w:szCs w:val="21"/>
              </w:rPr>
              <w:t>3</w:t>
            </w:r>
          </w:p>
        </w:tc>
        <w:tc>
          <w:tcPr>
            <w:tcW w:w="4286" w:type="dxa"/>
            <w:gridSpan w:val="4"/>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top"/>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color w:val="auto"/>
                <w:szCs w:val="21"/>
              </w:rPr>
              <w:t>投标人近三年（20</w:t>
            </w:r>
            <w:r>
              <w:rPr>
                <w:rFonts w:hint="eastAsia" w:ascii="宋体" w:hAnsi="宋体"/>
                <w:color w:val="auto"/>
                <w:szCs w:val="21"/>
              </w:rPr>
              <w:t>18</w:t>
            </w:r>
            <w:r>
              <w:rPr>
                <w:rFonts w:ascii="宋体" w:hAnsi="宋体"/>
                <w:color w:val="auto"/>
                <w:szCs w:val="21"/>
              </w:rPr>
              <w:t>年至今）</w:t>
            </w:r>
            <w:r>
              <w:rPr>
                <w:rFonts w:hint="eastAsia" w:ascii="宋体" w:hAnsi="宋体"/>
                <w:color w:val="auto"/>
                <w:szCs w:val="21"/>
              </w:rPr>
              <w:t>具有</w:t>
            </w:r>
            <w:r>
              <w:rPr>
                <w:rFonts w:ascii="宋体" w:hAnsi="宋体"/>
                <w:color w:val="auto"/>
                <w:szCs w:val="21"/>
              </w:rPr>
              <w:t>综合档案整理服务业绩，提供3个或以上同类业绩即得满分，提供2个得</w:t>
            </w:r>
            <w:r>
              <w:rPr>
                <w:rFonts w:hint="eastAsia" w:ascii="宋体" w:hAnsi="宋体"/>
                <w:color w:val="auto"/>
                <w:szCs w:val="21"/>
              </w:rPr>
              <w:t>3分</w:t>
            </w:r>
            <w:r>
              <w:rPr>
                <w:rFonts w:ascii="宋体" w:hAnsi="宋体"/>
                <w:color w:val="auto"/>
                <w:szCs w:val="21"/>
              </w:rPr>
              <w:t>，提供1个</w:t>
            </w:r>
            <w:r>
              <w:rPr>
                <w:rFonts w:ascii="宋体" w:hAnsi="宋体"/>
                <w:szCs w:val="21"/>
              </w:rPr>
              <w:t>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szCs w:val="21"/>
              </w:rPr>
              <w:t>4</w:t>
            </w:r>
          </w:p>
        </w:tc>
        <w:tc>
          <w:tcPr>
            <w:tcW w:w="13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b/>
                <w:color w:val="auto"/>
                <w:szCs w:val="21"/>
              </w:rPr>
            </w:pPr>
            <w:r>
              <w:rPr>
                <w:rFonts w:hint="eastAsia" w:ascii="宋体" w:hAnsi="宋体"/>
                <w:b/>
                <w:szCs w:val="21"/>
              </w:rPr>
              <w:t>5</w:t>
            </w:r>
          </w:p>
        </w:tc>
        <w:tc>
          <w:tcPr>
            <w:tcW w:w="681" w:type="dxa"/>
            <w:vAlign w:val="top"/>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olor w:val="auto"/>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olor w:val="auto"/>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12</w:t>
      </w:r>
      <w:r>
        <w:rPr>
          <w:rFonts w:hint="eastAsia" w:ascii="宋体" w:hAnsi="宋体"/>
          <w:color w:val="auto"/>
          <w:sz w:val="40"/>
          <w:szCs w:val="40"/>
        </w:rPr>
        <w:t>万元</w:t>
      </w:r>
    </w:p>
    <w:p>
      <w:pPr>
        <w:spacing w:after="78"/>
        <w:jc w:val="center"/>
        <w:outlineLvl w:val="0"/>
        <w:rPr>
          <w:rFonts w:ascii="宋体" w:hAnsi="宋体"/>
          <w:color w:val="auto"/>
          <w:sz w:val="40"/>
          <w:szCs w:val="40"/>
        </w:rPr>
      </w:pPr>
      <w:r>
        <w:rPr>
          <w:rFonts w:hint="eastAsia" w:ascii="宋体" w:hAnsi="宋体"/>
          <w:color w:val="auto"/>
          <w:sz w:val="40"/>
          <w:szCs w:val="40"/>
        </w:rPr>
        <w:t>招标参数</w:t>
      </w:r>
    </w:p>
    <w:tbl>
      <w:tblPr>
        <w:tblStyle w:val="1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937"/>
        <w:gridCol w:w="3377"/>
        <w:gridCol w:w="99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gridSpan w:val="4"/>
            <w:tcBorders>
              <w:top w:val="single" w:color="auto" w:sz="4" w:space="0"/>
              <w:left w:val="single" w:color="auto" w:sz="4" w:space="0"/>
              <w:bottom w:val="single" w:color="auto" w:sz="4" w:space="0"/>
              <w:right w:val="single" w:color="auto" w:sz="4" w:space="0"/>
            </w:tcBorders>
          </w:tcPr>
          <w:p>
            <w:pPr>
              <w:spacing w:after="78"/>
              <w:jc w:val="center"/>
              <w:rPr>
                <w:color w:val="000000"/>
                <w:sz w:val="22"/>
                <w:szCs w:val="22"/>
              </w:rPr>
            </w:pPr>
          </w:p>
          <w:p>
            <w:pPr>
              <w:spacing w:after="78"/>
              <w:jc w:val="center"/>
              <w:rPr>
                <w:color w:val="000000"/>
                <w:sz w:val="22"/>
                <w:szCs w:val="22"/>
              </w:rPr>
            </w:pPr>
            <w:r>
              <w:rPr>
                <w:rFonts w:hint="eastAsia"/>
              </w:rPr>
              <w:t>综合档案管理辅助服务项目</w:t>
            </w:r>
          </w:p>
          <w:p>
            <w:pPr>
              <w:spacing w:after="78"/>
              <w:jc w:val="center"/>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gridSpan w:val="4"/>
            <w:tcBorders>
              <w:top w:val="single" w:color="auto" w:sz="4" w:space="0"/>
              <w:left w:val="single" w:color="auto" w:sz="4" w:space="0"/>
              <w:bottom w:val="single" w:color="auto" w:sz="4" w:space="0"/>
              <w:right w:val="single" w:color="auto" w:sz="4" w:space="0"/>
            </w:tcBorders>
          </w:tcPr>
          <w:p>
            <w:pPr>
              <w:spacing w:after="78"/>
              <w:rPr>
                <w:color w:val="000000"/>
                <w:sz w:val="22"/>
                <w:szCs w:val="22"/>
              </w:rPr>
            </w:pPr>
            <w:r>
              <w:rPr>
                <w:rFonts w:hint="eastAsia"/>
                <w:color w:val="000000"/>
                <w:sz w:val="22"/>
                <w:szCs w:val="22"/>
              </w:rPr>
              <w:t xml:space="preserve">  </w:t>
            </w:r>
          </w:p>
          <w:p>
            <w:pPr>
              <w:spacing w:after="78"/>
              <w:rPr>
                <w:rFonts w:hint="eastAsia" w:eastAsia="宋体"/>
                <w:color w:val="000000"/>
                <w:sz w:val="22"/>
                <w:szCs w:val="22"/>
                <w:lang w:eastAsia="zh-CN"/>
              </w:rPr>
            </w:pPr>
            <w:r>
              <w:rPr>
                <w:rFonts w:hint="eastAsia"/>
                <w:color w:val="000000"/>
                <w:sz w:val="22"/>
                <w:szCs w:val="22"/>
                <w:lang w:eastAsia="zh-CN"/>
              </w:rPr>
              <w:t>协助医院档案管理</w:t>
            </w:r>
            <w:bookmarkStart w:id="22" w:name="_GoBack"/>
            <w:bookmarkEnd w:id="22"/>
          </w:p>
          <w:p>
            <w:pPr>
              <w:spacing w:after="78"/>
              <w:rPr>
                <w:rFonts w:ascii="宋体" w:hAnsi="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restart"/>
            <w:tcBorders>
              <w:top w:val="single" w:color="auto" w:sz="4" w:space="0"/>
              <w:left w:val="single" w:color="auto" w:sz="4" w:space="0"/>
              <w:right w:val="single" w:color="auto" w:sz="4" w:space="0"/>
            </w:tcBorders>
          </w:tcPr>
          <w:p>
            <w:pPr>
              <w:spacing w:after="78"/>
              <w:jc w:val="center"/>
              <w:rPr>
                <w:rFonts w:ascii="宋体" w:hAnsi="宋体"/>
                <w:color w:val="000000"/>
                <w:kern w:val="0"/>
                <w:sz w:val="22"/>
                <w:szCs w:val="22"/>
              </w:rPr>
            </w:pPr>
            <w:r>
              <w:rPr>
                <w:rFonts w:hint="eastAsia" w:ascii="宋体" w:hAnsi="宋体"/>
                <w:color w:val="000000"/>
                <w:kern w:val="0"/>
                <w:sz w:val="22"/>
                <w:szCs w:val="22"/>
              </w:rPr>
              <w:t>内容</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服务项目</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工作内容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数量</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单用户版档案管理系统</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B/S架构，单用户版（收集、著录、图像挂接、数据上传、存储、查询、利用、导出等功能）</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1套</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18000元/套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文书档案整理服务</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核对材料完整性、分类（划分保管期限）、排序（文件顺序）、编制档号、编制页码、信息著录（件号、文号、责任者、题名、文件形成时间、页数、备注）、打印归档文件目录、装订、装盒、完善盒信息、质量检查、上架移交</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1件</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8元/件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设备档案、基建档案整理服务</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核对材料类型及完整性、分类（按台或套、项目分类）、排序（案卷顺序，卷内顺序）、编制档号、编制页码、信息著录（案卷信息、卷内信息）、打印目录、装订、装盒、完善盒信息、质量检查、上架移交</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1卷</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120元/卷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会计档案整理服务</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核对材料完整性、分类（凭证、账簿、报表、其他类）、排序（时间排序）、编制档号、信息著录（案卷信息）、装盒、完善盒信息、质量检查、移交</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1卷</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18元/卷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实物档案整理服务</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分类（荣誉、纪念、其他）、排序（时间、事件）、编制档号、信息著录、打印、贴标签、拍照、上架移交</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1件</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18元/件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vMerge w:val="continue"/>
            <w:tcBorders>
              <w:left w:val="single" w:color="auto" w:sz="4" w:space="0"/>
              <w:bottom w:val="single" w:color="auto" w:sz="4" w:space="0"/>
              <w:right w:val="single" w:color="auto" w:sz="4" w:space="0"/>
            </w:tcBorders>
          </w:tcPr>
          <w:p>
            <w:pPr>
              <w:spacing w:after="78"/>
              <w:rPr>
                <w:rFonts w:ascii="宋体" w:hAnsi="宋体"/>
                <w:color w:val="000000"/>
                <w:kern w:val="0"/>
                <w:sz w:val="22"/>
                <w:szCs w:val="22"/>
              </w:rPr>
            </w:pPr>
          </w:p>
        </w:tc>
        <w:tc>
          <w:tcPr>
            <w:tcW w:w="193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档案盒</w:t>
            </w:r>
          </w:p>
        </w:tc>
        <w:tc>
          <w:tcPr>
            <w:tcW w:w="337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国标无酸纸档案盒，包括文书、基建、业务类档案盒</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1个</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2"/>
                <w:szCs w:val="22"/>
              </w:rPr>
            </w:pPr>
            <w:r>
              <w:rPr>
                <w:rFonts w:hint="eastAsia" w:ascii="宋体" w:hAnsi="宋体" w:cs="宋体"/>
                <w:color w:val="000000"/>
                <w:kern w:val="0"/>
                <w:szCs w:val="21"/>
              </w:rPr>
              <w:t>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gridSpan w:val="4"/>
            <w:tcBorders>
              <w:top w:val="single" w:color="auto" w:sz="4" w:space="0"/>
              <w:left w:val="single" w:color="auto" w:sz="4" w:space="0"/>
              <w:bottom w:val="single" w:color="auto" w:sz="4" w:space="0"/>
              <w:right w:val="single" w:color="auto" w:sz="4" w:space="0"/>
            </w:tcBorders>
          </w:tcPr>
          <w:tbl>
            <w:tblPr>
              <w:tblStyle w:val="11"/>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trHeight w:val="2538" w:hRule="atLeast"/>
                <w:jc w:val="center"/>
              </w:trPr>
              <w:tc>
                <w:tcPr>
                  <w:tcW w:w="7766" w:type="dxa"/>
                </w:tcPr>
                <w:p>
                  <w:pPr>
                    <w:ind w:firstLine="420" w:firstLineChars="200"/>
                  </w:pPr>
                  <w:r>
                    <w:rPr>
                      <w:rFonts w:hint="eastAsia"/>
                    </w:rPr>
                    <w:t>(一）服务期限：自</w:t>
                  </w:r>
                  <w:r>
                    <w:t>合同签订之日起一年</w:t>
                  </w:r>
                  <w:r>
                    <w:rPr>
                      <w:rFonts w:hint="eastAsia"/>
                    </w:rPr>
                    <w:t>。</w:t>
                  </w:r>
                </w:p>
                <w:p>
                  <w:pPr>
                    <w:ind w:right="-6" w:rightChars="-3" w:firstLine="420" w:firstLineChars="200"/>
                  </w:pPr>
                  <w:r>
                    <w:rPr>
                      <w:rFonts w:hint="eastAsia"/>
                    </w:rPr>
                    <w:t>（二）付款方式：项目资金分三期支付。</w:t>
                  </w:r>
                </w:p>
                <w:p>
                  <w:pPr>
                    <w:ind w:right="-6" w:rightChars="-3" w:firstLine="420" w:firstLineChars="200"/>
                  </w:pPr>
                  <w:r>
                    <w:rPr>
                      <w:rFonts w:hint="eastAsia"/>
                    </w:rPr>
                    <w:t>第一期付款：合同签订后二十个工作日，采购人向中标人支付人民币</w:t>
                  </w:r>
                  <w:r>
                    <w:t>1</w:t>
                  </w:r>
                  <w:r>
                    <w:rPr>
                      <w:rFonts w:hint="eastAsia"/>
                    </w:rPr>
                    <w:t>0000元作为项目启动预付款；</w:t>
                  </w:r>
                </w:p>
                <w:p>
                  <w:pPr>
                    <w:ind w:left="420" w:leftChars="200" w:right="-6" w:rightChars="-3"/>
                  </w:pPr>
                  <w:r>
                    <w:rPr>
                      <w:rFonts w:hint="eastAsia"/>
                    </w:rPr>
                    <w:t>第二期付款：2021年</w:t>
                  </w:r>
                  <w:r>
                    <w:t>3</w:t>
                  </w:r>
                  <w:r>
                    <w:rPr>
                      <w:rFonts w:hint="eastAsia"/>
                    </w:rPr>
                    <w:t>月31日前进行第一次验收并支付第二期服务</w:t>
                  </w:r>
                  <w:r>
                    <w:t>费用</w:t>
                  </w:r>
                  <w:r>
                    <w:rPr>
                      <w:rFonts w:hint="eastAsia"/>
                    </w:rPr>
                    <w:t>（实际服务数量*对应单价总和）；</w:t>
                  </w:r>
                </w:p>
                <w:p>
                  <w:pPr>
                    <w:ind w:left="420" w:leftChars="200" w:right="-6" w:rightChars="-3"/>
                    <w:rPr>
                      <w:rFonts w:ascii="宋体" w:hAnsi="宋体"/>
                    </w:rPr>
                  </w:pPr>
                  <w:r>
                    <w:rPr>
                      <w:rFonts w:hint="eastAsia"/>
                    </w:rPr>
                    <w:t>第三期</w:t>
                  </w:r>
                  <w:r>
                    <w:t>付款：</w:t>
                  </w:r>
                  <w:r>
                    <w:rPr>
                      <w:rFonts w:hint="eastAsia"/>
                    </w:rPr>
                    <w:t>项目服务</w:t>
                  </w:r>
                  <w:r>
                    <w:t>结束后完成</w:t>
                  </w:r>
                  <w:r>
                    <w:rPr>
                      <w:rFonts w:hint="eastAsia"/>
                    </w:rPr>
                    <w:t>全部</w:t>
                  </w:r>
                  <w:r>
                    <w:t>项目验收，支付</w:t>
                  </w:r>
                  <w:r>
                    <w:rPr>
                      <w:rFonts w:hint="eastAsia"/>
                    </w:rPr>
                    <w:t>尾款</w:t>
                  </w:r>
                  <w:r>
                    <w:t>（</w:t>
                  </w:r>
                  <w:r>
                    <w:rPr>
                      <w:rFonts w:hint="eastAsia"/>
                    </w:rPr>
                    <w:t>实际服务数量*对应单价总和—第二期</w:t>
                  </w:r>
                  <w:r>
                    <w:t>服务费用—1</w:t>
                  </w:r>
                  <w:r>
                    <w:rPr>
                      <w:rFonts w:hint="eastAsia"/>
                    </w:rPr>
                    <w:t>0000元）。</w:t>
                  </w:r>
                </w:p>
                <w:p>
                  <w:pPr>
                    <w:spacing w:line="480" w:lineRule="auto"/>
                    <w:ind w:left="728" w:leftChars="213" w:right="353" w:rightChars="168" w:hanging="281" w:hangingChars="134"/>
                    <w:contextualSpacing/>
                    <w:rPr>
                      <w:rFonts w:ascii="宋体" w:hAnsi="宋体"/>
                    </w:rPr>
                  </w:pPr>
                </w:p>
              </w:tc>
            </w:tr>
          </w:tbl>
          <w:p>
            <w:pPr>
              <w:snapToGrid w:val="0"/>
              <w:spacing w:after="78"/>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gridSpan w:val="4"/>
            <w:tcBorders>
              <w:top w:val="single" w:color="auto" w:sz="4" w:space="0"/>
              <w:left w:val="single" w:color="auto" w:sz="4" w:space="0"/>
              <w:bottom w:val="single" w:color="auto" w:sz="4" w:space="0"/>
              <w:right w:val="single" w:color="auto" w:sz="4" w:space="0"/>
            </w:tcBorders>
          </w:tcPr>
          <w:p>
            <w:pPr>
              <w:ind w:right="-6" w:rightChars="-3" w:firstLine="420" w:firstLineChars="200"/>
              <w:rPr>
                <w:rFonts w:ascii="宋体" w:hAnsi="宋体"/>
                <w:szCs w:val="21"/>
              </w:rPr>
            </w:pPr>
            <w:r>
              <w:rPr>
                <w:rFonts w:hint="eastAsia" w:ascii="宋体" w:hAnsi="宋体"/>
                <w:szCs w:val="21"/>
              </w:rPr>
              <w:t>（一）工作要求</w:t>
            </w:r>
          </w:p>
          <w:p>
            <w:pPr>
              <w:ind w:right="-6" w:rightChars="-3" w:firstLine="420" w:firstLineChars="200"/>
              <w:rPr>
                <w:rFonts w:ascii="宋体" w:hAnsi="宋体"/>
                <w:szCs w:val="21"/>
              </w:rPr>
            </w:pPr>
            <w:r>
              <w:rPr>
                <w:rFonts w:hint="eastAsia" w:ascii="宋体" w:hAnsi="宋体"/>
                <w:szCs w:val="21"/>
              </w:rPr>
              <w:t>1.合规性，符合国家、省、市有关行政事业单位综合档案管理、档案法律法规和标准规范的要求，保证在综合档案管理中不出现重大差错；</w:t>
            </w:r>
          </w:p>
          <w:p>
            <w:pPr>
              <w:ind w:right="-6" w:rightChars="-3" w:firstLine="420" w:firstLineChars="200"/>
              <w:rPr>
                <w:rFonts w:ascii="宋体" w:hAnsi="宋体"/>
                <w:szCs w:val="21"/>
              </w:rPr>
            </w:pPr>
            <w:r>
              <w:rPr>
                <w:rFonts w:hint="eastAsia" w:ascii="宋体" w:hAnsi="宋体"/>
                <w:szCs w:val="21"/>
              </w:rPr>
              <w:t>2.及时性，保证日常综合档案材料归档的及时性；</w:t>
            </w:r>
          </w:p>
          <w:p>
            <w:pPr>
              <w:ind w:right="-6" w:rightChars="-3" w:firstLine="420" w:firstLineChars="200"/>
              <w:rPr>
                <w:rFonts w:ascii="宋体" w:hAnsi="宋体"/>
                <w:szCs w:val="21"/>
              </w:rPr>
            </w:pPr>
            <w:r>
              <w:rPr>
                <w:rFonts w:hint="eastAsia" w:ascii="宋体" w:hAnsi="宋体"/>
                <w:szCs w:val="21"/>
              </w:rPr>
              <w:t>3.准确性，保证日常综合档案室台账和综合档案材料分类和归档的准确性。</w:t>
            </w:r>
          </w:p>
          <w:p>
            <w:pPr>
              <w:ind w:right="-6" w:rightChars="-3" w:firstLine="420" w:firstLineChars="200"/>
              <w:rPr>
                <w:rFonts w:ascii="宋体" w:hAnsi="宋体"/>
                <w:szCs w:val="21"/>
              </w:rPr>
            </w:pPr>
            <w:r>
              <w:rPr>
                <w:rFonts w:hint="eastAsia" w:ascii="宋体" w:hAnsi="宋体"/>
                <w:szCs w:val="21"/>
              </w:rPr>
              <w:t>（二）管理要求</w:t>
            </w:r>
          </w:p>
          <w:p>
            <w:pPr>
              <w:ind w:right="-6" w:rightChars="-3" w:firstLine="420" w:firstLineChars="200"/>
              <w:rPr>
                <w:rFonts w:ascii="宋体" w:hAnsi="宋体"/>
                <w:szCs w:val="21"/>
              </w:rPr>
            </w:pPr>
            <w:r>
              <w:rPr>
                <w:rFonts w:hint="eastAsia" w:ascii="宋体" w:hAnsi="宋体"/>
                <w:szCs w:val="21"/>
              </w:rPr>
              <w:t>1.保密要求</w:t>
            </w:r>
          </w:p>
          <w:p>
            <w:pPr>
              <w:ind w:right="-6" w:rightChars="-3" w:firstLine="420" w:firstLineChars="200"/>
              <w:rPr>
                <w:rFonts w:ascii="宋体" w:hAnsi="宋体"/>
                <w:szCs w:val="21"/>
              </w:rPr>
            </w:pPr>
            <w:r>
              <w:rPr>
                <w:rFonts w:hint="eastAsia" w:ascii="宋体" w:hAnsi="宋体"/>
                <w:szCs w:val="21"/>
              </w:rPr>
              <w:t>中标单位需与我院签订保密协议，同时中标单位应与驻点人员签订保密协议并抄送我院。</w:t>
            </w:r>
          </w:p>
          <w:p>
            <w:pPr>
              <w:ind w:right="-6" w:rightChars="-3" w:firstLine="420" w:firstLineChars="200"/>
              <w:rPr>
                <w:rFonts w:ascii="宋体" w:hAnsi="宋体"/>
                <w:szCs w:val="21"/>
              </w:rPr>
            </w:pPr>
            <w:r>
              <w:rPr>
                <w:rFonts w:hint="eastAsia" w:ascii="宋体" w:hAnsi="宋体"/>
                <w:szCs w:val="21"/>
              </w:rPr>
              <w:t>2.人员要求</w:t>
            </w:r>
          </w:p>
          <w:p>
            <w:pPr>
              <w:ind w:right="-6" w:rightChars="-3" w:firstLine="420" w:firstLineChars="200"/>
              <w:rPr>
                <w:rFonts w:ascii="宋体" w:hAnsi="宋体"/>
                <w:szCs w:val="21"/>
              </w:rPr>
            </w:pPr>
            <w:r>
              <w:rPr>
                <w:rFonts w:hint="eastAsia" w:ascii="宋体" w:hAnsi="宋体"/>
                <w:szCs w:val="21"/>
              </w:rPr>
              <w:t>（1）投标方必须保证投入本项目的驻点服务人员不少于2人，并对驻点人员提供综合档案管理相关服务所需业务培训。</w:t>
            </w:r>
          </w:p>
          <w:p>
            <w:pPr>
              <w:ind w:right="-6" w:rightChars="-3" w:firstLine="420" w:firstLineChars="200"/>
              <w:rPr>
                <w:rFonts w:ascii="宋体" w:hAnsi="宋体"/>
                <w:szCs w:val="21"/>
              </w:rPr>
            </w:pPr>
            <w:r>
              <w:rPr>
                <w:rFonts w:hint="eastAsia" w:ascii="宋体" w:hAnsi="宋体"/>
                <w:szCs w:val="21"/>
              </w:rPr>
              <w:t>（2）驻点人员必须经招标方试用并合格（试用期为1个月），试用不合格，可要求投标方一周内更换。</w:t>
            </w:r>
          </w:p>
          <w:p>
            <w:pPr>
              <w:ind w:right="-6" w:rightChars="-3" w:firstLine="420" w:firstLineChars="200"/>
              <w:rPr>
                <w:rFonts w:ascii="宋体" w:hAnsi="宋体"/>
                <w:szCs w:val="21"/>
              </w:rPr>
            </w:pPr>
            <w:r>
              <w:rPr>
                <w:rFonts w:hint="eastAsia" w:ascii="宋体" w:hAnsi="宋体"/>
                <w:szCs w:val="21"/>
              </w:rPr>
              <w:t>3.有关罚则</w:t>
            </w:r>
          </w:p>
          <w:p>
            <w:pPr>
              <w:tabs>
                <w:tab w:val="left" w:pos="-720"/>
              </w:tabs>
              <w:suppressAutoHyphens/>
              <w:spacing w:after="78"/>
              <w:rPr>
                <w:color w:val="000000"/>
                <w:sz w:val="22"/>
                <w:szCs w:val="22"/>
              </w:rPr>
            </w:pPr>
            <w:r>
              <w:rPr>
                <w:rFonts w:hint="eastAsia" w:ascii="宋体" w:hAnsi="宋体"/>
                <w:szCs w:val="21"/>
              </w:rPr>
              <w:t>招标方按合同约定组织验收，若发现中标单位提供综合档案管理服务不符合要求的，在该中标单位应得服务费总款中扣减相应比例的费用。有关比例由双方商定。</w:t>
            </w:r>
          </w:p>
          <w:p>
            <w:pPr>
              <w:tabs>
                <w:tab w:val="left" w:pos="-720"/>
              </w:tabs>
              <w:suppressAutoHyphens/>
              <w:spacing w:after="78"/>
              <w:rPr>
                <w:color w:val="000000"/>
                <w:sz w:val="22"/>
                <w:szCs w:val="22"/>
              </w:rPr>
            </w:pPr>
          </w:p>
          <w:p>
            <w:pPr>
              <w:spacing w:after="78" w:line="360" w:lineRule="auto"/>
              <w:ind w:left="780"/>
              <w:rPr>
                <w:sz w:val="22"/>
                <w:szCs w:val="22"/>
              </w:rPr>
            </w:pPr>
          </w:p>
        </w:tc>
      </w:tr>
    </w:tbl>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1074904"/>
      <w:bookmarkStart w:id="10" w:name="_Toc73521707"/>
      <w:bookmarkStart w:id="11" w:name="_Toc73521619"/>
      <w:bookmarkStart w:id="12"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708"/>
      <w:bookmarkStart w:id="15" w:name="_Toc101074905"/>
      <w:bookmarkStart w:id="16" w:name="_Toc73521620"/>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997946"/>
      <w:bookmarkStart w:id="18" w:name="_Toc201743116"/>
      <w:bookmarkStart w:id="19" w:name="_Toc201742861"/>
      <w:bookmarkStart w:id="20" w:name="_Toc201401658"/>
      <w:bookmarkStart w:id="21" w:name="_Toc201719118"/>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824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5926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028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131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AD0753"/>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semiHidden/>
    <w:qFormat/>
    <w:uiPriority w:val="0"/>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b/>
      <w:kern w:val="2"/>
      <w:sz w:val="24"/>
    </w:rPr>
  </w:style>
  <w:style w:type="character" w:customStyle="1" w:styleId="18">
    <w:name w:val="纯文本 Char"/>
    <w:basedOn w:val="13"/>
    <w:link w:val="6"/>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3"/>
    <w:link w:val="9"/>
    <w:qFormat/>
    <w:uiPriority w:val="0"/>
    <w:rPr>
      <w:kern w:val="2"/>
      <w:sz w:val="18"/>
      <w:szCs w:val="18"/>
    </w:rPr>
  </w:style>
  <w:style w:type="character" w:customStyle="1" w:styleId="22">
    <w:name w:val="页脚 Char"/>
    <w:basedOn w:val="13"/>
    <w:link w:val="8"/>
    <w:qFormat/>
    <w:uiPriority w:val="99"/>
    <w:rPr>
      <w:kern w:val="2"/>
      <w:sz w:val="18"/>
      <w:szCs w:val="18"/>
    </w:rPr>
  </w:style>
  <w:style w:type="character" w:customStyle="1" w:styleId="23">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3"/>
    <w:link w:val="2"/>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3"/>
    <w:qFormat/>
    <w:uiPriority w:val="0"/>
    <w:rPr>
      <w:rFonts w:hint="eastAsia" w:ascii="宋体" w:hAnsi="宋体" w:eastAsia="宋体" w:cs="Times New Roman"/>
      <w:color w:val="000000"/>
      <w:sz w:val="20"/>
      <w:szCs w:val="20"/>
      <w:u w:val="none"/>
    </w:rPr>
  </w:style>
  <w:style w:type="character" w:customStyle="1" w:styleId="36">
    <w:name w:val="font21"/>
    <w:basedOn w:val="13"/>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2020-11-10T08:54:00Z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