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r>
              <w:rPr>
                <w:rFonts w:hint="eastAsia" w:asciiTheme="minorEastAsia" w:hAnsiTheme="minorEastAsia" w:eastAsiaTheme="minorEastAsia"/>
                <w:sz w:val="24"/>
                <w:szCs w:val="24"/>
                <w:lang w:eastAsia="zh-CN"/>
              </w:rPr>
              <w:t>（设备占</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耗材占</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6</w:t>
            </w:r>
            <w:bookmarkStart w:id="15" w:name="_GoBack"/>
            <w:bookmarkEnd w:id="15"/>
            <w:r>
              <w:rPr>
                <w:rFonts w:hint="eastAsia"/>
              </w:rPr>
              <w:t>分，其他参数每负偏离一项扣</w:t>
            </w:r>
            <w:r>
              <w:rPr>
                <w:rFonts w:hint="eastAsia"/>
                <w:lang w:val="en-US" w:eastAsia="zh-CN"/>
              </w:rPr>
              <w:t>3</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401658"/>
      <w:bookmarkStart w:id="3" w:name="_Toc201743116"/>
      <w:bookmarkStart w:id="4" w:name="_Toc201742861"/>
      <w:bookmarkStart w:id="5" w:name="_Toc201997946"/>
      <w:bookmarkStart w:id="6" w:name="_Toc20171911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0" w:type="auto"/>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设备</w:t>
                  </w:r>
                  <w:r>
                    <w:rPr>
                      <w:rFonts w:ascii="宋体" w:hAnsi="宋体" w:cs="宋体"/>
                      <w:b/>
                      <w:bCs/>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ascii="宋体" w:hAnsi="宋体" w:cs="宋体"/>
                      <w:b/>
                      <w:bCs/>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总</w:t>
                  </w:r>
                  <w:r>
                    <w:rPr>
                      <w:rFonts w:ascii="宋体" w:hAnsi="宋体" w:cs="宋体"/>
                      <w:b/>
                      <w:bCs/>
                      <w:kern w:val="0"/>
                      <w:sz w:val="24"/>
                      <w:szCs w:val="24"/>
                    </w:rPr>
                    <w:t>预算</w:t>
                  </w:r>
                  <w:r>
                    <w:rPr>
                      <w:rFonts w:hint="eastAsia" w:ascii="宋体" w:hAnsi="宋体" w:cs="宋体"/>
                      <w:b/>
                      <w:bCs/>
                      <w:kern w:val="0"/>
                      <w:sz w:val="24"/>
                      <w:szCs w:val="24"/>
                    </w:rPr>
                    <w:t>金</w:t>
                  </w:r>
                  <w:r>
                    <w:rPr>
                      <w:rFonts w:ascii="宋体" w:hAnsi="宋体" w:cs="宋体"/>
                      <w:b/>
                      <w:bCs/>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ascii="宋体" w:hAnsi="宋体" w:cs="宋体"/>
                      <w:b/>
                      <w:bCs/>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尿液分析仪</w:t>
                  </w:r>
                </w:p>
              </w:tc>
              <w:tc>
                <w:tcPr>
                  <w:tcW w:w="1344"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台</w:t>
                  </w:r>
                </w:p>
              </w:tc>
              <w:tc>
                <w:tcPr>
                  <w:tcW w:w="1770" w:type="dxa"/>
                  <w:tcBorders>
                    <w:top w:val="single" w:color="auto" w:sz="6" w:space="0"/>
                    <w:left w:val="single" w:color="auto" w:sz="6" w:space="0"/>
                    <w:bottom w:val="nil"/>
                    <w:right w:val="nil"/>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25000</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cs="宋体"/>
                <w:color w:val="auto"/>
                <w:sz w:val="24"/>
                <w:szCs w:val="24"/>
                <w:lang w:val="en-US" w:eastAsia="zh-CN"/>
              </w:rPr>
            </w:pPr>
            <w:r>
              <w:rPr>
                <w:rFonts w:hint="eastAsia"/>
              </w:rPr>
              <w:t>1</w:t>
            </w:r>
          </w:p>
        </w:tc>
        <w:tc>
          <w:tcPr>
            <w:tcW w:w="5415" w:type="dxa"/>
            <w:tcBorders>
              <w:top w:val="single" w:color="auto" w:sz="6" w:space="0"/>
              <w:left w:val="single" w:color="auto" w:sz="6" w:space="0"/>
              <w:bottom w:val="nil"/>
              <w:right w:val="nil"/>
            </w:tcBorders>
            <w:noWrap w:val="0"/>
            <w:vAlign w:val="top"/>
          </w:tcPr>
          <w:p>
            <w:pPr>
              <w:rPr>
                <w:rFonts w:ascii="宋体" w:hAnsi="宋体" w:eastAsia="宋体" w:cs="宋体"/>
                <w:kern w:val="0"/>
                <w:sz w:val="24"/>
                <w:szCs w:val="24"/>
                <w:lang w:val="en-US" w:eastAsia="zh-CN" w:bidi="ar-SA"/>
              </w:rPr>
            </w:pPr>
            <w:r>
              <w:rPr>
                <w:rFonts w:hint="eastAsia" w:ascii="宋体" w:hAnsi="宋体"/>
              </w:rPr>
              <w:t>测定原理：</w:t>
            </w:r>
            <w:r>
              <w:rPr>
                <w:rFonts w:hint="eastAsia" w:ascii="宋体" w:hAnsi="宋体" w:cs="宋体"/>
              </w:rPr>
              <w:t>光学系统采用发光二极管并使用光电耦合感应系统进行光电信号转换</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rPr>
              <w:t>▲</w:t>
            </w:r>
            <w:r>
              <w:rPr>
                <w:rFonts w:hint="eastAsia" w:ascii="宋体" w:hAnsi="宋体" w:cs="宋体"/>
                <w:kern w:val="0"/>
                <w:sz w:val="24"/>
                <w:szCs w:val="24"/>
              </w:rPr>
              <w:t>2</w:t>
            </w:r>
          </w:p>
        </w:tc>
        <w:tc>
          <w:tcPr>
            <w:tcW w:w="5415" w:type="dxa"/>
            <w:tcBorders>
              <w:top w:val="single" w:color="auto" w:sz="6" w:space="0"/>
              <w:left w:val="single" w:color="auto" w:sz="6" w:space="0"/>
              <w:bottom w:val="nil"/>
              <w:right w:val="nil"/>
            </w:tcBorders>
            <w:noWrap w:val="0"/>
            <w:vAlign w:val="top"/>
          </w:tcPr>
          <w:p>
            <w:pPr>
              <w:spacing w:line="400" w:lineRule="exact"/>
              <w:rPr>
                <w:rFonts w:ascii="宋体" w:hAnsi="宋体" w:eastAsia="宋体" w:cs="宋体"/>
                <w:kern w:val="0"/>
                <w:sz w:val="24"/>
                <w:szCs w:val="24"/>
                <w:lang w:val="en-US" w:eastAsia="zh-CN" w:bidi="ar-SA"/>
              </w:rPr>
            </w:pPr>
            <w:r>
              <w:rPr>
                <w:rFonts w:hint="eastAsia" w:ascii="宋体" w:hAnsi="宋体" w:cs="宋体"/>
              </w:rPr>
              <w:t>测量方式：具有6个分析波长，波长范围470－845nm的宽波长光学检测</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cs="宋体"/>
                <w:color w:val="auto"/>
                <w:sz w:val="24"/>
                <w:szCs w:val="24"/>
                <w:lang w:val="en-US" w:eastAsia="zh-CN"/>
              </w:rPr>
            </w:pPr>
            <w:r>
              <w:rPr>
                <w:rFonts w:hint="eastAsia" w:ascii="宋体" w:hAnsi="宋体" w:cs="宋体"/>
                <w:color w:val="000000"/>
                <w:kern w:val="0"/>
                <w:sz w:val="24"/>
                <w:szCs w:val="24"/>
              </w:rPr>
              <w:t>3</w:t>
            </w:r>
          </w:p>
        </w:tc>
        <w:tc>
          <w:tcPr>
            <w:tcW w:w="5415" w:type="dxa"/>
            <w:tcBorders>
              <w:top w:val="single" w:color="auto" w:sz="6" w:space="0"/>
              <w:left w:val="single" w:color="auto" w:sz="6" w:space="0"/>
              <w:bottom w:val="nil"/>
              <w:right w:val="nil"/>
            </w:tcBorders>
            <w:noWrap w:val="0"/>
            <w:vAlign w:val="top"/>
          </w:tcPr>
          <w:p>
            <w:pPr>
              <w:rPr>
                <w:rFonts w:ascii="宋体" w:hAnsi="宋体" w:eastAsia="宋体" w:cs="宋体"/>
                <w:kern w:val="0"/>
                <w:sz w:val="24"/>
                <w:szCs w:val="24"/>
                <w:lang w:val="en-US" w:eastAsia="zh-CN" w:bidi="ar-SA"/>
              </w:rPr>
            </w:pPr>
            <w:r>
              <w:rPr>
                <w:rFonts w:hint="eastAsia" w:ascii="宋体" w:hAnsi="宋体" w:cs="宋体"/>
                <w:color w:val="000000"/>
              </w:rPr>
              <w:t>校准方式</w:t>
            </w:r>
            <w:r>
              <w:rPr>
                <w:rFonts w:hint="eastAsia" w:ascii="宋体" w:hAnsi="宋体"/>
              </w:rPr>
              <w:t>：</w:t>
            </w:r>
            <w:r>
              <w:rPr>
                <w:rFonts w:hint="eastAsia" w:ascii="宋体" w:hAnsi="宋体" w:cs="宋体"/>
                <w:color w:val="000000"/>
              </w:rPr>
              <w:t>仪器内置空白校准条并自动针对每个测试进行校准</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4</w:t>
            </w:r>
          </w:p>
        </w:tc>
        <w:tc>
          <w:tcPr>
            <w:tcW w:w="5415" w:type="dxa"/>
            <w:tcBorders>
              <w:top w:val="single" w:color="auto" w:sz="6" w:space="0"/>
              <w:left w:val="single" w:color="auto" w:sz="6" w:space="0"/>
              <w:bottom w:val="nil"/>
              <w:right w:val="nil"/>
            </w:tcBorders>
            <w:noWrap w:val="0"/>
            <w:vAlign w:val="top"/>
          </w:tcPr>
          <w:p>
            <w:pPr>
              <w:spacing w:line="400" w:lineRule="exact"/>
              <w:rPr>
                <w:rFonts w:ascii="宋体" w:hAnsi="宋体" w:eastAsia="宋体" w:cs="宋体"/>
                <w:kern w:val="0"/>
                <w:sz w:val="24"/>
                <w:szCs w:val="24"/>
                <w:lang w:val="en-US" w:eastAsia="zh-CN" w:bidi="ar-SA"/>
              </w:rPr>
            </w:pPr>
            <w:r>
              <w:rPr>
                <w:rFonts w:hint="eastAsia" w:ascii="宋体" w:hAnsi="宋体" w:cs="宋体"/>
                <w:color w:val="000000"/>
              </w:rPr>
              <w:t>测量参数</w:t>
            </w:r>
            <w:r>
              <w:rPr>
                <w:rFonts w:hint="eastAsia" w:ascii="宋体" w:hAnsi="宋体"/>
              </w:rPr>
              <w:t>：</w:t>
            </w:r>
            <w:r>
              <w:rPr>
                <w:rFonts w:hint="eastAsia" w:ascii="宋体" w:hAnsi="宋体" w:cs="宋体"/>
                <w:color w:val="000000"/>
              </w:rPr>
              <w:t>尿液常规化学项目：PH， 尿葡萄糖，红细胞，亚硝酸盐，比重，白细胞，尿蛋白，尿酮体，尿胆红素，尿胆原，</w:t>
            </w:r>
            <w:r>
              <w:rPr>
                <w:rFonts w:hint="eastAsia" w:ascii="宋体" w:hAnsi="宋体" w:cs="宋体"/>
              </w:rPr>
              <w:t>尿微量白蛋白，尿肌酐，蛋白/肌酐比值，HCG等项目</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5</w:t>
            </w:r>
          </w:p>
        </w:tc>
        <w:tc>
          <w:tcPr>
            <w:tcW w:w="5415" w:type="dxa"/>
            <w:tcBorders>
              <w:top w:val="single" w:color="auto" w:sz="6" w:space="0"/>
              <w:left w:val="single" w:color="auto" w:sz="6" w:space="0"/>
              <w:bottom w:val="nil"/>
              <w:right w:val="nil"/>
            </w:tcBorders>
            <w:noWrap w:val="0"/>
            <w:vAlign w:val="top"/>
          </w:tcPr>
          <w:p>
            <w:pPr>
              <w:rPr>
                <w:rFonts w:ascii="宋体" w:hAnsi="宋体" w:eastAsia="宋体" w:cs="宋体"/>
                <w:kern w:val="0"/>
                <w:sz w:val="24"/>
                <w:szCs w:val="24"/>
                <w:lang w:val="en-US" w:eastAsia="zh-CN" w:bidi="ar-SA"/>
              </w:rPr>
            </w:pPr>
            <w:r>
              <w:rPr>
                <w:rFonts w:hint="eastAsia" w:ascii="宋体" w:hAnsi="宋体" w:cs="宋体"/>
                <w:color w:val="000000"/>
              </w:rPr>
              <w:t>特殊测量参数</w:t>
            </w:r>
            <w:r>
              <w:rPr>
                <w:rFonts w:hint="eastAsia" w:ascii="宋体" w:hAnsi="宋体"/>
              </w:rPr>
              <w:t>：</w:t>
            </w:r>
            <w:r>
              <w:rPr>
                <w:rFonts w:hint="eastAsia" w:ascii="宋体" w:hAnsi="宋体" w:cs="宋体"/>
                <w:color w:val="000000"/>
              </w:rPr>
              <w:t>仪器系统开放，除可以使用尿十项试纸以外，还可以测试尿微量白蛋白。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6</w:t>
            </w:r>
          </w:p>
        </w:tc>
        <w:tc>
          <w:tcPr>
            <w:tcW w:w="5415" w:type="dxa"/>
            <w:tcBorders>
              <w:top w:val="single" w:color="auto" w:sz="6" w:space="0"/>
              <w:left w:val="single" w:color="auto" w:sz="6" w:space="0"/>
              <w:bottom w:val="nil"/>
              <w:right w:val="nil"/>
            </w:tcBorders>
            <w:noWrap w:val="0"/>
            <w:vAlign w:val="top"/>
          </w:tcPr>
          <w:p>
            <w:pPr>
              <w:spacing w:line="400" w:lineRule="exact"/>
              <w:rPr>
                <w:rFonts w:ascii="宋体" w:hAnsi="宋体" w:eastAsia="宋体" w:cs="宋体"/>
                <w:kern w:val="0"/>
                <w:sz w:val="24"/>
                <w:szCs w:val="24"/>
                <w:lang w:val="en-US" w:eastAsia="zh-CN" w:bidi="ar-SA"/>
              </w:rPr>
            </w:pPr>
            <w:r>
              <w:rPr>
                <w:rFonts w:hint="eastAsia" w:ascii="宋体" w:hAnsi="宋体" w:cs="宋体"/>
                <w:color w:val="000000"/>
              </w:rPr>
              <w:t>分析速度</w:t>
            </w:r>
            <w:r>
              <w:rPr>
                <w:rFonts w:hint="eastAsia" w:ascii="宋体" w:hAnsi="宋体" w:cs="宋体"/>
              </w:rPr>
              <w:t>：</w:t>
            </w:r>
            <w:r>
              <w:rPr>
                <w:rFonts w:hint="eastAsia" w:ascii="宋体" w:hAnsi="宋体" w:cs="宋体"/>
                <w:color w:val="000000"/>
              </w:rPr>
              <w:t>分析速度每小时不低于60个样本</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7</w:t>
            </w:r>
          </w:p>
        </w:tc>
        <w:tc>
          <w:tcPr>
            <w:tcW w:w="5415" w:type="dxa"/>
            <w:tcBorders>
              <w:top w:val="single" w:color="auto" w:sz="6" w:space="0"/>
              <w:left w:val="single" w:color="auto" w:sz="6" w:space="0"/>
              <w:bottom w:val="nil"/>
              <w:right w:val="nil"/>
            </w:tcBorders>
            <w:noWrap w:val="0"/>
            <w:vAlign w:val="top"/>
          </w:tcPr>
          <w:p>
            <w:pPr>
              <w:rPr>
                <w:rFonts w:ascii="宋体" w:hAnsi="宋体" w:eastAsia="宋体" w:cs="宋体"/>
                <w:kern w:val="0"/>
                <w:sz w:val="24"/>
                <w:szCs w:val="24"/>
                <w:lang w:val="en-US" w:eastAsia="zh-CN" w:bidi="ar-SA"/>
              </w:rPr>
            </w:pPr>
            <w:r>
              <w:rPr>
                <w:rFonts w:hint="eastAsia" w:ascii="宋体" w:hAnsi="宋体" w:cs="宋体"/>
                <w:color w:val="000000"/>
              </w:rPr>
              <w:t>操作软件：采用中文操作软件，全中文语言以方便操作</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8</w:t>
            </w:r>
          </w:p>
        </w:tc>
        <w:tc>
          <w:tcPr>
            <w:tcW w:w="5415" w:type="dxa"/>
            <w:tcBorders>
              <w:top w:val="single" w:color="auto" w:sz="6" w:space="0"/>
              <w:left w:val="single" w:color="auto" w:sz="6" w:space="0"/>
              <w:bottom w:val="nil"/>
              <w:right w:val="nil"/>
            </w:tcBorders>
            <w:noWrap w:val="0"/>
            <w:vAlign w:val="top"/>
          </w:tcPr>
          <w:p>
            <w:pPr>
              <w:spacing w:line="400" w:lineRule="exact"/>
              <w:rPr>
                <w:rFonts w:ascii="宋体" w:hAnsi="宋体" w:eastAsia="宋体" w:cs="宋体"/>
                <w:kern w:val="0"/>
                <w:sz w:val="24"/>
                <w:szCs w:val="24"/>
                <w:lang w:val="en-US" w:eastAsia="zh-CN" w:bidi="ar-SA"/>
              </w:rPr>
            </w:pPr>
            <w:r>
              <w:rPr>
                <w:rFonts w:hint="eastAsia" w:ascii="宋体" w:hAnsi="宋体" w:cs="宋体"/>
                <w:color w:val="000000"/>
              </w:rPr>
              <w:t>操作界面</w:t>
            </w:r>
            <w:r>
              <w:rPr>
                <w:rFonts w:hint="eastAsia" w:ascii="宋体" w:hAnsi="宋体"/>
              </w:rPr>
              <w:t>：</w:t>
            </w:r>
            <w:r>
              <w:rPr>
                <w:rFonts w:hint="eastAsia" w:ascii="宋体" w:hAnsi="宋体" w:cs="宋体"/>
                <w:color w:val="000000"/>
              </w:rPr>
              <w:t>采用大型触摸屏操作界面，同时显示所有分析参数</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9</w:t>
            </w:r>
          </w:p>
        </w:tc>
        <w:tc>
          <w:tcPr>
            <w:tcW w:w="5415" w:type="dxa"/>
            <w:tcBorders>
              <w:top w:val="single" w:color="auto" w:sz="6" w:space="0"/>
              <w:left w:val="single" w:color="auto" w:sz="6" w:space="0"/>
              <w:bottom w:val="nil"/>
              <w:right w:val="nil"/>
            </w:tcBorders>
            <w:noWrap w:val="0"/>
            <w:vAlign w:val="top"/>
          </w:tcPr>
          <w:p>
            <w:pPr>
              <w:spacing w:line="360" w:lineRule="auto"/>
              <w:rPr>
                <w:rFonts w:ascii="宋体" w:hAnsi="宋体" w:eastAsia="宋体" w:cs="宋体"/>
                <w:kern w:val="0"/>
                <w:sz w:val="24"/>
                <w:szCs w:val="24"/>
                <w:lang w:val="en-US" w:eastAsia="zh-CN" w:bidi="ar-SA"/>
              </w:rPr>
            </w:pPr>
            <w:r>
              <w:rPr>
                <w:rFonts w:hint="eastAsia" w:ascii="宋体" w:hAnsi="宋体" w:cs="宋体"/>
                <w:color w:val="000000"/>
              </w:rPr>
              <w:t>存储功能</w:t>
            </w:r>
            <w:r>
              <w:rPr>
                <w:rFonts w:hint="eastAsia" w:ascii="宋体" w:hAnsi="宋体"/>
              </w:rPr>
              <w:t>：</w:t>
            </w:r>
            <w:r>
              <w:rPr>
                <w:rFonts w:hint="eastAsia" w:ascii="宋体" w:hAnsi="宋体" w:cs="宋体"/>
                <w:color w:val="000000"/>
              </w:rPr>
              <w:t>仪器存储不少于200个检测结果，并具有RS-232数据输出接口</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10</w:t>
            </w:r>
          </w:p>
        </w:tc>
        <w:tc>
          <w:tcPr>
            <w:tcW w:w="5415" w:type="dxa"/>
            <w:tcBorders>
              <w:top w:val="single" w:color="auto" w:sz="6" w:space="0"/>
              <w:left w:val="single" w:color="auto" w:sz="6" w:space="0"/>
              <w:bottom w:val="nil"/>
              <w:right w:val="nil"/>
            </w:tcBorders>
            <w:noWrap w:val="0"/>
            <w:vAlign w:val="top"/>
          </w:tcPr>
          <w:p>
            <w:pPr>
              <w:spacing w:line="360" w:lineRule="auto"/>
              <w:rPr>
                <w:rFonts w:ascii="宋体" w:hAnsi="宋体" w:eastAsia="宋体" w:cs="宋体"/>
                <w:kern w:val="0"/>
                <w:sz w:val="24"/>
                <w:szCs w:val="24"/>
                <w:lang w:val="en-US" w:eastAsia="zh-CN" w:bidi="ar-SA"/>
              </w:rPr>
            </w:pPr>
            <w:r>
              <w:rPr>
                <w:rFonts w:hint="eastAsia" w:ascii="宋体" w:hAnsi="宋体" w:cs="宋体"/>
                <w:color w:val="000000"/>
              </w:rPr>
              <w:t>报告方式</w:t>
            </w:r>
            <w:r>
              <w:rPr>
                <w:rFonts w:hint="eastAsia" w:ascii="宋体" w:hAnsi="宋体"/>
              </w:rPr>
              <w:t>：</w:t>
            </w:r>
            <w:r>
              <w:rPr>
                <w:rFonts w:hint="eastAsia" w:ascii="宋体" w:hAnsi="宋体" w:cs="宋体"/>
                <w:color w:val="000000"/>
              </w:rPr>
              <w:t>可选择半定量国际单位结果或+/-系统，并可标注异常结果</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sz w:val="24"/>
                <w:szCs w:val="24"/>
                <w:lang w:val="en-US" w:eastAsia="zh-CN"/>
              </w:rPr>
            </w:pPr>
            <w:r>
              <w:rPr>
                <w:rFonts w:hint="eastAsia" w:ascii="宋体" w:hAnsi="宋体" w:cs="宋体"/>
                <w:color w:val="000000"/>
                <w:kern w:val="0"/>
                <w:sz w:val="24"/>
                <w:szCs w:val="24"/>
              </w:rPr>
              <w:t>11</w:t>
            </w:r>
          </w:p>
        </w:tc>
        <w:tc>
          <w:tcPr>
            <w:tcW w:w="5415" w:type="dxa"/>
            <w:tcBorders>
              <w:top w:val="single" w:color="auto" w:sz="6" w:space="0"/>
              <w:left w:val="single" w:color="auto" w:sz="6" w:space="0"/>
              <w:bottom w:val="nil"/>
              <w:right w:val="nil"/>
            </w:tcBorders>
            <w:noWrap w:val="0"/>
            <w:vAlign w:val="top"/>
          </w:tcPr>
          <w:p>
            <w:pPr>
              <w:spacing w:line="360" w:lineRule="auto"/>
              <w:rPr>
                <w:rFonts w:ascii="宋体" w:hAnsi="宋体" w:eastAsia="宋体" w:cs="宋体"/>
                <w:kern w:val="0"/>
                <w:sz w:val="24"/>
                <w:szCs w:val="24"/>
                <w:lang w:val="en-US" w:eastAsia="zh-CN" w:bidi="ar-SA"/>
              </w:rPr>
            </w:pPr>
            <w:r>
              <w:rPr>
                <w:rFonts w:hint="eastAsia" w:ascii="宋体" w:hAnsi="宋体" w:cs="宋体"/>
                <w:color w:val="000000"/>
              </w:rPr>
              <w:t>故障诊断：仪器可自检功能并提供出错信息和操作指示</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12</w:t>
            </w:r>
          </w:p>
        </w:tc>
        <w:tc>
          <w:tcPr>
            <w:tcW w:w="5415" w:type="dxa"/>
            <w:tcBorders>
              <w:top w:val="single" w:color="auto" w:sz="6" w:space="0"/>
              <w:left w:val="single" w:color="auto" w:sz="6" w:space="0"/>
              <w:bottom w:val="nil"/>
              <w:right w:val="nil"/>
            </w:tcBorders>
            <w:noWrap w:val="0"/>
            <w:vAlign w:val="top"/>
          </w:tcPr>
          <w:p>
            <w:pPr>
              <w:spacing w:line="400" w:lineRule="exact"/>
              <w:rPr>
                <w:rFonts w:hint="eastAsia" w:ascii="宋体" w:hAnsi="宋体" w:eastAsia="宋体" w:cs="宋体"/>
                <w:kern w:val="0"/>
                <w:sz w:val="24"/>
                <w:szCs w:val="24"/>
                <w:lang w:val="en-US" w:eastAsia="zh-CN" w:bidi="ar-SA"/>
              </w:rPr>
            </w:pPr>
            <w:r>
              <w:rPr>
                <w:rFonts w:hint="eastAsia" w:ascii="宋体" w:hAnsi="宋体" w:cs="宋体"/>
                <w:color w:val="000000"/>
              </w:rPr>
              <w:t>能够辨别完整红细胞或潜血</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13</w:t>
            </w:r>
          </w:p>
        </w:tc>
        <w:tc>
          <w:tcPr>
            <w:tcW w:w="5415" w:type="dxa"/>
            <w:tcBorders>
              <w:top w:val="single" w:color="auto" w:sz="6" w:space="0"/>
              <w:left w:val="single" w:color="auto" w:sz="6" w:space="0"/>
              <w:bottom w:val="nil"/>
              <w:right w:val="nil"/>
            </w:tcBorders>
            <w:noWrap w:val="0"/>
            <w:vAlign w:val="top"/>
          </w:tcPr>
          <w:p>
            <w:pPr>
              <w:spacing w:line="400" w:lineRule="exact"/>
              <w:rPr>
                <w:rFonts w:hint="eastAsia" w:ascii="宋体" w:hAnsi="宋体" w:eastAsia="宋体" w:cs="宋体"/>
                <w:kern w:val="0"/>
                <w:sz w:val="24"/>
                <w:szCs w:val="24"/>
                <w:lang w:val="en-US" w:eastAsia="zh-CN" w:bidi="ar-SA"/>
              </w:rPr>
            </w:pPr>
            <w:r>
              <w:rPr>
                <w:rFonts w:hint="eastAsia" w:ascii="宋体" w:hAnsi="宋体" w:cs="宋体"/>
                <w:color w:val="000000"/>
              </w:rPr>
              <w:t>仪器重量：便携式仪器，交直流两用</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14</w:t>
            </w:r>
          </w:p>
        </w:tc>
        <w:tc>
          <w:tcPr>
            <w:tcW w:w="5415" w:type="dxa"/>
            <w:tcBorders>
              <w:top w:val="single" w:color="auto" w:sz="6" w:space="0"/>
              <w:left w:val="single" w:color="auto" w:sz="6" w:space="0"/>
              <w:bottom w:val="nil"/>
              <w:right w:val="nil"/>
            </w:tcBorders>
            <w:noWrap w:val="0"/>
            <w:vAlign w:val="top"/>
          </w:tcPr>
          <w:p>
            <w:pPr>
              <w:spacing w:line="400" w:lineRule="exact"/>
              <w:rPr>
                <w:rFonts w:hint="eastAsia" w:ascii="宋体" w:hAnsi="宋体" w:eastAsia="宋体" w:cs="宋体"/>
                <w:kern w:val="0"/>
                <w:sz w:val="24"/>
                <w:szCs w:val="24"/>
                <w:lang w:val="en-US" w:eastAsia="zh-CN" w:bidi="ar-SA"/>
              </w:rPr>
            </w:pPr>
            <w:r>
              <w:rPr>
                <w:rFonts w:hint="eastAsia" w:ascii="宋体" w:hAnsi="宋体" w:cs="宋体"/>
                <w:color w:val="000000"/>
              </w:rPr>
              <w:t>质量控制</w:t>
            </w:r>
            <w:r>
              <w:rPr>
                <w:rFonts w:hint="eastAsia" w:ascii="宋体" w:hAnsi="宋体"/>
              </w:rPr>
              <w:t>：</w:t>
            </w:r>
            <w:r>
              <w:rPr>
                <w:rFonts w:hint="eastAsia" w:ascii="宋体" w:hAnsi="宋体" w:cs="宋体"/>
                <w:color w:val="000000"/>
              </w:rPr>
              <w:t>提供原厂配套阴阳性尿液质控品</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r>
              <w:rPr>
                <w:rFonts w:hint="eastAsia" w:ascii="宋体" w:hAnsi="宋体" w:cs="宋体"/>
                <w:b/>
                <w:bCs/>
                <w:kern w:val="0"/>
                <w:sz w:val="24"/>
                <w:szCs w:val="24"/>
                <w:lang w:val="en-US" w:eastAsia="zh-CN"/>
              </w:rPr>
              <w:t>专机配套试剂/耗材最高限价</w:t>
            </w:r>
          </w:p>
        </w:tc>
        <w:tc>
          <w:tcPr>
            <w:tcW w:w="8880" w:type="dxa"/>
            <w:gridSpan w:val="3"/>
            <w:tcBorders>
              <w:top w:val="single" w:color="auto" w:sz="6" w:space="0"/>
              <w:left w:val="single" w:color="auto" w:sz="6" w:space="0"/>
              <w:bottom w:val="nil"/>
              <w:right w:val="nil"/>
            </w:tcBorders>
            <w:noWrap w:val="0"/>
            <w:vAlign w:val="center"/>
          </w:tcPr>
          <w:p>
            <w:pPr>
              <w:pStyle w:val="2"/>
              <w:jc w:val="left"/>
              <w:rPr>
                <w:rFonts w:hint="default" w:ascii="宋体" w:hAnsi="宋体" w:eastAsia="宋体" w:cs="宋体"/>
                <w:color w:val="auto"/>
                <w:sz w:val="24"/>
                <w:szCs w:val="24"/>
                <w:lang w:val="en-US" w:eastAsia="zh-CN"/>
              </w:rPr>
            </w:pPr>
            <w:r>
              <w:rPr>
                <w:rFonts w:hint="eastAsia" w:cs="宋体"/>
                <w:color w:val="FF0000"/>
                <w:kern w:val="2"/>
                <w:sz w:val="24"/>
                <w:szCs w:val="24"/>
                <w:lang w:val="en-US" w:eastAsia="zh-CN" w:bidi="ar-SA"/>
              </w:rPr>
              <w:t>尿试纸条1元/人份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0BB1BCE"/>
    <w:rsid w:val="51044E66"/>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3</TotalTime>
  <ScaleCrop>false</ScaleCrop>
  <LinksUpToDate>false</LinksUpToDate>
  <CharactersWithSpaces>6853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2020-11-10T00:26:42Z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