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r>
              <w:rPr>
                <w:rFonts w:hint="eastAsia" w:asciiTheme="minorEastAsia" w:hAnsiTheme="minorEastAsia" w:eastAsiaTheme="minorEastAsia"/>
                <w:sz w:val="24"/>
                <w:szCs w:val="24"/>
                <w:lang w:eastAsia="zh-CN"/>
              </w:rPr>
              <w:t>（设备占</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耗材占</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，无耗材报价耗材分零分）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9</w:t>
            </w:r>
            <w:r>
              <w:rPr>
                <w:rFonts w:hint="eastAsia"/>
              </w:rPr>
              <w:t>分，其他参数每负偏离一项扣</w:t>
            </w:r>
            <w:r>
              <w:rPr>
                <w:rFonts w:hint="eastAsia"/>
                <w:lang w:val="en-US" w:eastAsia="zh-CN"/>
              </w:rPr>
              <w:t>3</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3116"/>
      <w:bookmarkStart w:id="3" w:name="_Toc201997946"/>
      <w:bookmarkStart w:id="4" w:name="_Toc201719118"/>
      <w:bookmarkStart w:id="5" w:name="_Toc201401658"/>
      <w:bookmarkStart w:id="6" w:name="_Toc201742861"/>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60288;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1312;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2336;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3360;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设备</w:t>
                  </w:r>
                  <w:r>
                    <w:rPr>
                      <w:rFonts w:ascii="宋体" w:hAnsi="宋体" w:cs="宋体"/>
                      <w:b/>
                      <w:bCs/>
                      <w:color w:val="FF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总</w:t>
                  </w:r>
                  <w:r>
                    <w:rPr>
                      <w:rFonts w:ascii="宋体" w:hAnsi="宋体" w:cs="宋体"/>
                      <w:b/>
                      <w:bCs/>
                      <w:color w:val="FF0000"/>
                      <w:kern w:val="0"/>
                      <w:sz w:val="24"/>
                      <w:szCs w:val="24"/>
                    </w:rPr>
                    <w:t>预算</w:t>
                  </w:r>
                  <w:r>
                    <w:rPr>
                      <w:rFonts w:hint="eastAsia" w:ascii="宋体" w:hAnsi="宋体" w:cs="宋体"/>
                      <w:b/>
                      <w:bCs/>
                      <w:color w:val="FF0000"/>
                      <w:kern w:val="0"/>
                      <w:sz w:val="24"/>
                      <w:szCs w:val="24"/>
                    </w:rPr>
                    <w:t>金</w:t>
                  </w:r>
                  <w:r>
                    <w:rPr>
                      <w:rFonts w:ascii="宋体" w:hAnsi="宋体" w:cs="宋体"/>
                      <w:b/>
                      <w:bCs/>
                      <w:color w:val="FF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lang w:val="en-US" w:eastAsia="zh-CN" w:bidi="ar-SA"/>
                    </w:rPr>
                  </w:pPr>
                  <w:r>
                    <w:rPr>
                      <w:rFonts w:hint="eastAsia" w:ascii="宋体" w:hAnsi="宋体" w:cs="宋体"/>
                      <w:color w:val="FF0000"/>
                      <w:kern w:val="0"/>
                      <w:sz w:val="24"/>
                      <w:szCs w:val="24"/>
                    </w:rPr>
                    <w:t>肠内输注泵</w:t>
                  </w:r>
                </w:p>
              </w:tc>
              <w:tc>
                <w:tcPr>
                  <w:tcW w:w="1344" w:type="dxa"/>
                  <w:tcBorders>
                    <w:top w:val="single" w:color="auto" w:sz="6" w:space="0"/>
                    <w:left w:val="single" w:color="auto" w:sz="6" w:space="0"/>
                    <w:bottom w:val="nil"/>
                    <w:right w:val="nil"/>
                  </w:tcBorders>
                  <w:noWrap w:val="0"/>
                  <w:vAlign w:val="center"/>
                </w:tcPr>
                <w:p>
                  <w:pPr>
                    <w:widowControl/>
                    <w:jc w:val="left"/>
                    <w:rPr>
                      <w:rFonts w:hint="default" w:ascii="宋体" w:hAnsi="宋体" w:cs="宋体"/>
                      <w:color w:val="FF0000"/>
                      <w:kern w:val="0"/>
                      <w:sz w:val="24"/>
                      <w:szCs w:val="24"/>
                      <w:lang w:val="en-US" w:eastAsia="zh-CN" w:bidi="ar-SA"/>
                    </w:rPr>
                  </w:pPr>
                  <w:r>
                    <w:rPr>
                      <w:rFonts w:hint="eastAsia" w:ascii="宋体" w:hAnsi="宋体" w:cs="宋体"/>
                      <w:color w:val="FF0000"/>
                      <w:kern w:val="0"/>
                      <w:sz w:val="24"/>
                      <w:szCs w:val="24"/>
                      <w:lang w:val="en-US" w:eastAsia="zh-CN" w:bidi="ar-SA"/>
                    </w:rPr>
                    <w:t>2</w:t>
                  </w:r>
                </w:p>
              </w:tc>
              <w:tc>
                <w:tcPr>
                  <w:tcW w:w="1311" w:type="dxa"/>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lang w:val="en-US" w:eastAsia="zh-CN" w:bidi="ar-SA"/>
                    </w:rPr>
                  </w:pPr>
                  <w:r>
                    <w:rPr>
                      <w:rFonts w:hint="eastAsia" w:ascii="宋体" w:hAnsi="宋体" w:cs="宋体"/>
                      <w:color w:val="FF0000"/>
                      <w:kern w:val="0"/>
                      <w:sz w:val="24"/>
                      <w:szCs w:val="24"/>
                    </w:rPr>
                    <w:t>台</w:t>
                  </w:r>
                </w:p>
              </w:tc>
              <w:tc>
                <w:tcPr>
                  <w:tcW w:w="1770" w:type="dxa"/>
                  <w:tcBorders>
                    <w:top w:val="single" w:color="auto" w:sz="6" w:space="0"/>
                    <w:left w:val="single" w:color="auto" w:sz="6" w:space="0"/>
                    <w:bottom w:val="nil"/>
                    <w:right w:val="nil"/>
                  </w:tcBorders>
                  <w:noWrap w:val="0"/>
                  <w:vAlign w:val="center"/>
                </w:tcPr>
                <w:p>
                  <w:pPr>
                    <w:widowControl/>
                    <w:jc w:val="left"/>
                    <w:rPr>
                      <w:rFonts w:hint="default" w:ascii="宋体" w:hAnsi="宋体" w:eastAsia="宋体" w:cs="宋体"/>
                      <w:color w:val="FF0000"/>
                      <w:kern w:val="0"/>
                      <w:sz w:val="24"/>
                      <w:szCs w:val="24"/>
                      <w:lang w:val="en-US" w:eastAsia="zh-CN" w:bidi="ar-SA"/>
                    </w:rPr>
                  </w:pPr>
                  <w:r>
                    <w:rPr>
                      <w:rFonts w:ascii="宋体" w:hAnsi="宋体" w:cs="宋体"/>
                      <w:color w:val="FF0000"/>
                      <w:kern w:val="0"/>
                      <w:sz w:val="24"/>
                      <w:szCs w:val="24"/>
                    </w:rPr>
                    <w:t> </w:t>
                  </w:r>
                  <w:r>
                    <w:rPr>
                      <w:rFonts w:hint="eastAsia" w:ascii="宋体" w:hAnsi="宋体" w:cs="宋体"/>
                      <w:color w:val="FF0000"/>
                      <w:kern w:val="0"/>
                      <w:sz w:val="24"/>
                      <w:szCs w:val="24"/>
                      <w:lang w:val="en-US" w:eastAsia="zh-CN"/>
                    </w:rPr>
                    <w:t>80000</w:t>
                  </w:r>
                </w:p>
              </w:tc>
              <w:tc>
                <w:tcPr>
                  <w:tcW w:w="1775" w:type="dxa"/>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lang w:val="en-US" w:eastAsia="zh-CN" w:bidi="ar-SA"/>
                    </w:rPr>
                  </w:pPr>
                  <w:r>
                    <w:rPr>
                      <w:rFonts w:hint="eastAsia" w:ascii="宋体" w:hAnsi="宋体" w:cs="宋体"/>
                      <w:color w:val="FF0000"/>
                      <w:kern w:val="0"/>
                      <w:sz w:val="24"/>
                      <w:szCs w:val="24"/>
                    </w:rPr>
                    <w:t>（</w:t>
                  </w:r>
                  <w:r>
                    <w:rPr>
                      <w:rFonts w:hint="eastAsia" w:ascii="宋体" w:hAnsi="宋体" w:cs="宋体"/>
                      <w:color w:val="FF0000"/>
                      <w:kern w:val="0"/>
                      <w:sz w:val="24"/>
                      <w:szCs w:val="24"/>
                      <w:lang w:eastAsia="zh-CN"/>
                    </w:rPr>
                    <w:t>接受</w:t>
                  </w:r>
                  <w:r>
                    <w:rPr>
                      <w:rFonts w:hint="eastAsia" w:ascii="宋体" w:hAnsi="宋体" w:cs="宋体"/>
                      <w:color w:val="FF0000"/>
                      <w:kern w:val="0"/>
                      <w:sz w:val="24"/>
                      <w:szCs w:val="24"/>
                    </w:rPr>
                    <w:t>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color w:val="FF0000"/>
                <w:kern w:val="0"/>
                <w:sz w:val="24"/>
                <w:szCs w:val="24"/>
                <w:lang w:val="en-US" w:eastAsia="zh-CN"/>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lang w:eastAsia="zh-CN"/>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lang w:eastAsia="zh-CN"/>
              </w:rPr>
              <w:t>评分分值（合计</w:t>
            </w:r>
            <w:r>
              <w:rPr>
                <w:rFonts w:hint="eastAsia" w:ascii="宋体" w:hAnsi="宋体" w:cs="宋体"/>
                <w:b/>
                <w:bCs/>
                <w:color w:val="FF0000"/>
                <w:kern w:val="0"/>
                <w:sz w:val="24"/>
                <w:szCs w:val="24"/>
                <w:lang w:val="en-US" w:eastAsia="zh-CN"/>
              </w:rPr>
              <w:t>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jc w:val="both"/>
              <w:rPr>
                <w:rFonts w:hint="eastAsia" w:ascii="宋体" w:hAnsi="宋体" w:cs="宋体"/>
                <w:color w:val="auto"/>
                <w:sz w:val="24"/>
                <w:szCs w:val="24"/>
                <w:lang w:val="en-US" w:eastAsia="zh-CN"/>
              </w:rPr>
            </w:pPr>
            <w:r>
              <w:rPr>
                <w:rFonts w:hint="eastAsia"/>
                <w:color w:val="FF0000"/>
                <w:lang w:val="en-US" w:eastAsia="zh-CN"/>
              </w:rPr>
              <w:t>▲</w:t>
            </w:r>
            <w:r>
              <w:rPr>
                <w:rFonts w:hint="eastAsia"/>
                <w:lang w:val="en-US" w:eastAsia="zh-CN"/>
              </w:rPr>
              <w:t>1</w:t>
            </w:r>
          </w:p>
        </w:tc>
        <w:tc>
          <w:tcPr>
            <w:tcW w:w="5415" w:type="dxa"/>
            <w:tcBorders>
              <w:top w:val="single" w:color="auto" w:sz="6" w:space="0"/>
              <w:left w:val="single" w:color="auto" w:sz="6" w:space="0"/>
              <w:bottom w:val="nil"/>
              <w:right w:val="nil"/>
            </w:tcBorders>
            <w:noWrap w:val="0"/>
            <w:vAlign w:val="center"/>
          </w:tcPr>
          <w:p>
            <w:pPr>
              <w:pStyle w:val="24"/>
              <w:numPr>
                <w:ilvl w:val="0"/>
                <w:numId w:val="0"/>
              </w:numPr>
              <w:ind w:left="0" w:leftChars="0" w:firstLine="0" w:firstLineChars="0"/>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潮汐式蠕动模式，模拟胃的蠕动。</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9</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color w:val="FF0000"/>
                <w:lang w:val="en-US" w:eastAsia="zh-CN"/>
              </w:rPr>
              <w:t>▲</w:t>
            </w:r>
            <w:r>
              <w:rPr>
                <w:rFonts w:hint="eastAsia" w:ascii="宋体" w:hAnsi="宋体" w:cs="宋体"/>
                <w:color w:val="000000"/>
                <w:kern w:val="0"/>
                <w:sz w:val="24"/>
                <w:szCs w:val="24"/>
                <w:lang w:val="en-US" w:eastAsia="zh-CN"/>
              </w:rPr>
              <w:t>2</w:t>
            </w:r>
          </w:p>
        </w:tc>
        <w:tc>
          <w:tcPr>
            <w:tcW w:w="5415" w:type="dxa"/>
            <w:tcBorders>
              <w:top w:val="single" w:color="auto" w:sz="6" w:space="0"/>
              <w:left w:val="single" w:color="auto" w:sz="6" w:space="0"/>
              <w:bottom w:val="nil"/>
              <w:right w:val="nil"/>
            </w:tcBorders>
            <w:noWrap w:val="0"/>
            <w:vAlign w:val="center"/>
          </w:tcPr>
          <w:p>
            <w:pPr>
              <w:pStyle w:val="24"/>
              <w:numPr>
                <w:ilvl w:val="0"/>
                <w:numId w:val="0"/>
              </w:numPr>
              <w:ind w:left="0" w:leftChars="0" w:firstLine="0" w:firstLineChars="0"/>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具有以下输注模式：连续匀速喂养模式，间歇式匀速喂养模式，间歇式快速喂养模式，固定计量喂养。</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9</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jc w:val="both"/>
              <w:rPr>
                <w:rFonts w:hint="eastAsia" w:ascii="宋体" w:hAnsi="宋体" w:cs="宋体"/>
                <w:color w:val="auto"/>
                <w:sz w:val="24"/>
                <w:szCs w:val="24"/>
                <w:lang w:val="en-US" w:eastAsia="zh-CN"/>
              </w:rPr>
            </w:pPr>
            <w:r>
              <w:rPr>
                <w:rFonts w:hint="eastAsia" w:ascii="宋体" w:hAnsi="宋体" w:cs="宋体"/>
                <w:color w:val="000000"/>
                <w:kern w:val="0"/>
                <w:sz w:val="24"/>
                <w:szCs w:val="24"/>
                <w:lang w:val="en-US" w:eastAsia="zh-CN"/>
              </w:rPr>
              <w:t>3</w:t>
            </w:r>
          </w:p>
        </w:tc>
        <w:tc>
          <w:tcPr>
            <w:tcW w:w="5415" w:type="dxa"/>
            <w:tcBorders>
              <w:top w:val="single" w:color="auto" w:sz="6" w:space="0"/>
              <w:left w:val="single" w:color="auto" w:sz="6" w:space="0"/>
              <w:bottom w:val="nil"/>
              <w:right w:val="nil"/>
            </w:tcBorders>
            <w:noWrap w:val="0"/>
            <w:vAlign w:val="center"/>
          </w:tcPr>
          <w:p>
            <w:pPr>
              <w:pStyle w:val="24"/>
              <w:numPr>
                <w:ilvl w:val="0"/>
                <w:numId w:val="0"/>
              </w:numPr>
              <w:ind w:left="0" w:leftChars="0" w:firstLine="0" w:firstLineChars="0"/>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具有键盘锁定功能。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lang w:val="en-US" w:eastAsia="zh-CN"/>
              </w:rPr>
              <w:t>4</w:t>
            </w:r>
          </w:p>
        </w:tc>
        <w:tc>
          <w:tcPr>
            <w:tcW w:w="5415" w:type="dxa"/>
            <w:tcBorders>
              <w:top w:val="single" w:color="auto" w:sz="6" w:space="0"/>
              <w:left w:val="single" w:color="auto" w:sz="6" w:space="0"/>
              <w:bottom w:val="nil"/>
              <w:right w:val="nil"/>
            </w:tcBorders>
            <w:noWrap w:val="0"/>
            <w:vAlign w:val="center"/>
          </w:tcPr>
          <w:p>
            <w:pPr>
              <w:pStyle w:val="24"/>
              <w:numPr>
                <w:ilvl w:val="0"/>
                <w:numId w:val="0"/>
              </w:numPr>
              <w:ind w:left="0" w:leftChars="0" w:firstLine="0" w:firstLineChars="0"/>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储存记录功能：具有历史参数记忆功能，能记录24小时内所发生的500个历史事件。永久记忆关机前最后历史参数。</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lang w:val="en-US" w:eastAsia="zh-CN"/>
              </w:rPr>
              <w:t>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具有自动螺旋式填充装置功能，一键填充泵管，方便快捷使用。</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lang w:val="en-US" w:eastAsia="zh-CN"/>
              </w:rPr>
              <w:t>6</w:t>
            </w:r>
          </w:p>
        </w:tc>
        <w:tc>
          <w:tcPr>
            <w:tcW w:w="5415" w:type="dxa"/>
            <w:tcBorders>
              <w:top w:val="single" w:color="auto" w:sz="6" w:space="0"/>
              <w:left w:val="single" w:color="auto" w:sz="6" w:space="0"/>
              <w:bottom w:val="nil"/>
              <w:right w:val="nil"/>
            </w:tcBorders>
            <w:noWrap w:val="0"/>
            <w:vAlign w:val="center"/>
          </w:tcPr>
          <w:p>
            <w:pPr>
              <w:pStyle w:val="24"/>
              <w:numPr>
                <w:ilvl w:val="0"/>
                <w:numId w:val="0"/>
              </w:numPr>
              <w:ind w:left="0" w:leftChars="0" w:firstLine="0" w:firstLineChars="0"/>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电池功能：在125ml/h时可连续使用24小时，锂电池，5V  2.4A</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lang w:val="en-US" w:eastAsia="zh-CN"/>
              </w:rPr>
              <w:t>7</w:t>
            </w:r>
          </w:p>
        </w:tc>
        <w:tc>
          <w:tcPr>
            <w:tcW w:w="5415" w:type="dxa"/>
            <w:tcBorders>
              <w:top w:val="single" w:color="auto" w:sz="6" w:space="0"/>
              <w:left w:val="single" w:color="auto" w:sz="6" w:space="0"/>
              <w:bottom w:val="nil"/>
              <w:right w:val="nil"/>
            </w:tcBorders>
            <w:noWrap w:val="0"/>
            <w:vAlign w:val="center"/>
          </w:tcPr>
          <w:p>
            <w:pPr>
              <w:pStyle w:val="24"/>
              <w:numPr>
                <w:ilvl w:val="0"/>
                <w:numId w:val="0"/>
              </w:numPr>
              <w:ind w:left="0" w:leftChars="0" w:firstLine="0" w:firstLineChars="0"/>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输注速度设定范围：1-400ml/h，增量为1ml，输注总量范围：1-4000ml.输注精确度±5%。</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lang w:val="en-US" w:eastAsia="zh-CN"/>
              </w:rPr>
              <w:t>8</w:t>
            </w:r>
          </w:p>
        </w:tc>
        <w:tc>
          <w:tcPr>
            <w:tcW w:w="5415" w:type="dxa"/>
            <w:tcBorders>
              <w:top w:val="single" w:color="auto" w:sz="6" w:space="0"/>
              <w:left w:val="single" w:color="auto" w:sz="6" w:space="0"/>
              <w:bottom w:val="nil"/>
              <w:right w:val="nil"/>
            </w:tcBorders>
            <w:noWrap w:val="0"/>
            <w:vAlign w:val="center"/>
          </w:tcPr>
          <w:p>
            <w:pPr>
              <w:pStyle w:val="24"/>
              <w:numPr>
                <w:ilvl w:val="0"/>
                <w:numId w:val="0"/>
              </w:numPr>
              <w:ind w:left="0" w:leftChars="0" w:firstLine="0" w:firstLineChars="0"/>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具有液晶显示屏，可显示时间，参数，总量等，可设定喂养时间，具有定时提示功能。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lang w:val="en-US" w:eastAsia="zh-CN"/>
              </w:rPr>
              <w:t>9</w:t>
            </w:r>
          </w:p>
        </w:tc>
        <w:tc>
          <w:tcPr>
            <w:tcW w:w="5415" w:type="dxa"/>
            <w:tcBorders>
              <w:top w:val="single" w:color="auto" w:sz="6" w:space="0"/>
              <w:left w:val="single" w:color="auto" w:sz="6" w:space="0"/>
              <w:bottom w:val="nil"/>
              <w:right w:val="nil"/>
            </w:tcBorders>
            <w:noWrap w:val="0"/>
            <w:vAlign w:val="center"/>
          </w:tcPr>
          <w:p>
            <w:pPr>
              <w:pStyle w:val="24"/>
              <w:numPr>
                <w:ilvl w:val="0"/>
                <w:numId w:val="0"/>
              </w:numPr>
              <w:ind w:left="0" w:leftChars="0" w:firstLine="0" w:firstLineChars="0"/>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报警功能：未正确安装泵管报警，处于暂停状态3分钟报警，输注完毕报警，电池电量即将完毕的报警，管路的阻塞报警，气泡报警等。</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lang w:val="en-US" w:eastAsia="zh-CN"/>
              </w:rPr>
              <w:t>10</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紫色安全泵管，防止误接其他管路。</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sz w:val="24"/>
                <w:szCs w:val="24"/>
                <w:lang w:val="en-US" w:eastAsia="zh-CN"/>
              </w:rPr>
            </w:pPr>
            <w:r>
              <w:rPr>
                <w:rFonts w:hint="eastAsia" w:ascii="宋体" w:hAnsi="宋体" w:cs="宋体"/>
                <w:color w:val="000000"/>
                <w:kern w:val="0"/>
                <w:sz w:val="24"/>
                <w:szCs w:val="24"/>
                <w:lang w:val="en-US" w:eastAsia="zh-CN"/>
              </w:rPr>
              <w:t>11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防水等级:国际IPX防水标准5级，可直接在水龙头下冲洗清洁</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r>
              <w:rPr>
                <w:rFonts w:hint="eastAsia" w:ascii="宋体" w:hAnsi="宋体" w:cs="宋体"/>
                <w:b/>
                <w:bCs/>
                <w:kern w:val="0"/>
                <w:sz w:val="24"/>
                <w:szCs w:val="24"/>
                <w:lang w:val="en-US" w:eastAsia="zh-CN"/>
              </w:rPr>
              <w:t>专机配套试剂/耗材最高限价</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color w:val="FF0000"/>
                <w:kern w:val="2"/>
                <w:sz w:val="24"/>
                <w:szCs w:val="24"/>
                <w:lang w:val="en-US" w:eastAsia="zh-CN" w:bidi="ar-SA"/>
              </w:rPr>
            </w:pPr>
            <w:r>
              <w:rPr>
                <w:rFonts w:hint="eastAsia" w:ascii="宋体" w:hAnsi="宋体" w:cs="宋体"/>
                <w:color w:val="FF0000"/>
                <w:kern w:val="2"/>
                <w:sz w:val="24"/>
                <w:szCs w:val="24"/>
                <w:lang w:val="en-US" w:eastAsia="zh-CN" w:bidi="ar-SA"/>
              </w:rPr>
              <w:t>一次性使用肠内注射器 39元/个</w:t>
            </w:r>
          </w:p>
          <w:p>
            <w:pPr>
              <w:pStyle w:val="2"/>
              <w:jc w:val="left"/>
              <w:rPr>
                <w:rFonts w:hint="eastAsia" w:ascii="宋体" w:hAnsi="宋体" w:eastAsia="宋体" w:cs="宋体"/>
                <w:color w:val="auto"/>
                <w:sz w:val="24"/>
                <w:szCs w:val="24"/>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3F2D85"/>
    <w:rsid w:val="3B5330E7"/>
    <w:rsid w:val="3BD85452"/>
    <w:rsid w:val="3BF6596E"/>
    <w:rsid w:val="3C125C3B"/>
    <w:rsid w:val="3CC86BE5"/>
    <w:rsid w:val="3CED6006"/>
    <w:rsid w:val="3D132062"/>
    <w:rsid w:val="3D83213E"/>
    <w:rsid w:val="3DDB4F84"/>
    <w:rsid w:val="3F033133"/>
    <w:rsid w:val="3F07560F"/>
    <w:rsid w:val="3F6D6B69"/>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0BB1BCE"/>
    <w:rsid w:val="51044E66"/>
    <w:rsid w:val="5128622E"/>
    <w:rsid w:val="514725A2"/>
    <w:rsid w:val="51541FB9"/>
    <w:rsid w:val="51653541"/>
    <w:rsid w:val="51BA3918"/>
    <w:rsid w:val="52FB6FDA"/>
    <w:rsid w:val="533150FC"/>
    <w:rsid w:val="535459AE"/>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5</TotalTime>
  <ScaleCrop>false</ScaleCrop>
  <LinksUpToDate>false</LinksUpToDate>
  <CharactersWithSpaces>6853</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2020-10-28T02:04:52Z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