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B9B6C">
      <w:pPr>
        <w:spacing w:line="360" w:lineRule="auto"/>
        <w:ind w:firstLine="560" w:firstLineChars="200"/>
        <w:rPr>
          <w:rFonts w:hint="eastAsia" w:ascii="仿宋" w:hAnsi="仿宋" w:eastAsia="仿宋"/>
          <w:sz w:val="28"/>
          <w:lang w:val="en-US" w:eastAsia="zh-CN"/>
        </w:rPr>
      </w:pPr>
      <w:r>
        <w:rPr>
          <w:rFonts w:hint="eastAsia" w:ascii="仿宋" w:hAnsi="仿宋" w:eastAsia="仿宋"/>
          <w:sz w:val="28"/>
          <w:lang w:val="en-US" w:eastAsia="zh-CN"/>
        </w:rPr>
        <w:t>附件1：</w:t>
      </w:r>
    </w:p>
    <w:p w14:paraId="17B47002">
      <w:pPr>
        <w:spacing w:line="360" w:lineRule="auto"/>
        <w:ind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潜在供应商调查问卷</w:t>
      </w:r>
    </w:p>
    <w:p w14:paraId="0625DB40">
      <w:pPr>
        <w:pStyle w:val="1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一、基本情况</w:t>
      </w:r>
    </w:p>
    <w:tbl>
      <w:tblPr>
        <w:tblStyle w:val="9"/>
        <w:tblW w:w="838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22"/>
        <w:gridCol w:w="1756"/>
        <w:gridCol w:w="1463"/>
        <w:gridCol w:w="2440"/>
      </w:tblGrid>
      <w:tr w14:paraId="03846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03326941">
            <w:pPr>
              <w:spacing w:line="360" w:lineRule="auto"/>
              <w:jc w:val="center"/>
              <w:rPr>
                <w:rFonts w:hint="eastAsia" w:ascii="仿宋" w:hAnsi="仿宋" w:eastAsia="仿宋" w:cs="仿宋"/>
                <w:sz w:val="22"/>
                <w:szCs w:val="22"/>
                <w14:shadow w14:blurRad="50800" w14:dist="38100" w14:dir="2700000" w14:sx="100000" w14:sy="100000" w14:kx="0" w14:ky="0" w14:algn="tl">
                  <w14:srgbClr w14:val="000000">
                    <w14:alpha w14:val="60000"/>
                  </w14:srgbClr>
                </w14:shadow>
              </w:rPr>
            </w:pPr>
            <w:r>
              <w:rPr>
                <w:rFonts w:hint="eastAsia" w:ascii="仿宋" w:hAnsi="仿宋" w:eastAsia="仿宋"/>
                <w:sz w:val="21"/>
                <w:szCs w:val="21"/>
                <w:lang w:val="en-US" w:eastAsia="zh-CN"/>
              </w:rPr>
              <w:t>公司名称</w:t>
            </w:r>
          </w:p>
        </w:tc>
        <w:tc>
          <w:tcPr>
            <w:tcW w:w="5659" w:type="dxa"/>
            <w:gridSpan w:val="3"/>
            <w:noWrap w:val="0"/>
            <w:vAlign w:val="center"/>
          </w:tcPr>
          <w:p w14:paraId="5F1F5613">
            <w:pPr>
              <w:ind w:left="420" w:hanging="360" w:hangingChars="150"/>
              <w:jc w:val="center"/>
              <w:rPr>
                <w:rFonts w:hint="eastAsia" w:ascii="仿宋" w:hAnsi="仿宋" w:eastAsia="仿宋" w:cs="仿宋"/>
                <w:sz w:val="24"/>
                <w:szCs w:val="24"/>
                <w14:shadow w14:blurRad="50800" w14:dist="38100" w14:dir="2700000" w14:sx="100000" w14:sy="100000" w14:kx="0" w14:ky="0" w14:algn="tl">
                  <w14:srgbClr w14:val="000000">
                    <w14:alpha w14:val="60000"/>
                  </w14:srgbClr>
                </w14:shadow>
              </w:rPr>
            </w:pPr>
          </w:p>
        </w:tc>
      </w:tr>
      <w:tr w14:paraId="3C2C5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1B12ADB0">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成立时间</w:t>
            </w:r>
          </w:p>
        </w:tc>
        <w:tc>
          <w:tcPr>
            <w:tcW w:w="5659" w:type="dxa"/>
            <w:gridSpan w:val="3"/>
            <w:noWrap w:val="0"/>
            <w:vAlign w:val="center"/>
          </w:tcPr>
          <w:p w14:paraId="40FFE5C7">
            <w:pPr>
              <w:spacing w:line="360" w:lineRule="auto"/>
              <w:jc w:val="center"/>
              <w:rPr>
                <w:rFonts w:hint="eastAsia" w:ascii="仿宋" w:hAnsi="仿宋" w:eastAsia="仿宋"/>
                <w:sz w:val="21"/>
                <w:szCs w:val="21"/>
                <w:lang w:val="en-US" w:eastAsia="zh-CN"/>
              </w:rPr>
            </w:pPr>
          </w:p>
        </w:tc>
      </w:tr>
      <w:tr w14:paraId="12166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34F069DF">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联系人</w:t>
            </w:r>
          </w:p>
        </w:tc>
        <w:tc>
          <w:tcPr>
            <w:tcW w:w="1756" w:type="dxa"/>
            <w:noWrap w:val="0"/>
            <w:vAlign w:val="center"/>
          </w:tcPr>
          <w:p w14:paraId="31D66B7E">
            <w:pPr>
              <w:spacing w:line="360" w:lineRule="auto"/>
              <w:jc w:val="center"/>
              <w:rPr>
                <w:rFonts w:hint="eastAsia" w:ascii="仿宋" w:hAnsi="仿宋" w:eastAsia="仿宋"/>
                <w:sz w:val="21"/>
                <w:szCs w:val="21"/>
                <w:lang w:val="en-US" w:eastAsia="zh-CN"/>
              </w:rPr>
            </w:pPr>
          </w:p>
        </w:tc>
        <w:tc>
          <w:tcPr>
            <w:tcW w:w="1463" w:type="dxa"/>
            <w:noWrap w:val="0"/>
            <w:vAlign w:val="center"/>
          </w:tcPr>
          <w:p w14:paraId="20C0D485">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手机</w:t>
            </w:r>
          </w:p>
        </w:tc>
        <w:tc>
          <w:tcPr>
            <w:tcW w:w="2440" w:type="dxa"/>
            <w:noWrap w:val="0"/>
            <w:vAlign w:val="center"/>
          </w:tcPr>
          <w:p w14:paraId="4DADECFA">
            <w:pPr>
              <w:spacing w:line="360" w:lineRule="auto"/>
              <w:jc w:val="center"/>
              <w:rPr>
                <w:rFonts w:hint="eastAsia" w:ascii="仿宋" w:hAnsi="仿宋" w:eastAsia="仿宋"/>
                <w:sz w:val="21"/>
                <w:szCs w:val="21"/>
                <w:lang w:val="en-US" w:eastAsia="zh-CN"/>
              </w:rPr>
            </w:pPr>
          </w:p>
        </w:tc>
      </w:tr>
      <w:tr w14:paraId="50A02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1E0DE1FE">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电话</w:t>
            </w:r>
          </w:p>
        </w:tc>
        <w:tc>
          <w:tcPr>
            <w:tcW w:w="1756" w:type="dxa"/>
            <w:noWrap w:val="0"/>
            <w:vAlign w:val="center"/>
          </w:tcPr>
          <w:p w14:paraId="6BD3FBCF">
            <w:pPr>
              <w:spacing w:line="360" w:lineRule="auto"/>
              <w:jc w:val="center"/>
              <w:rPr>
                <w:rFonts w:hint="eastAsia" w:ascii="仿宋" w:hAnsi="仿宋" w:eastAsia="仿宋"/>
                <w:sz w:val="21"/>
                <w:szCs w:val="21"/>
                <w:lang w:val="en-US" w:eastAsia="zh-CN"/>
              </w:rPr>
            </w:pPr>
          </w:p>
        </w:tc>
        <w:tc>
          <w:tcPr>
            <w:tcW w:w="1463" w:type="dxa"/>
            <w:noWrap w:val="0"/>
            <w:vAlign w:val="center"/>
          </w:tcPr>
          <w:p w14:paraId="6F991CA4">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邮箱</w:t>
            </w:r>
          </w:p>
        </w:tc>
        <w:tc>
          <w:tcPr>
            <w:tcW w:w="2440" w:type="dxa"/>
            <w:noWrap w:val="0"/>
            <w:vAlign w:val="center"/>
          </w:tcPr>
          <w:p w14:paraId="3FC38377">
            <w:pPr>
              <w:spacing w:line="360" w:lineRule="auto"/>
              <w:jc w:val="center"/>
              <w:rPr>
                <w:rFonts w:hint="eastAsia" w:ascii="仿宋" w:hAnsi="仿宋" w:eastAsia="仿宋"/>
                <w:sz w:val="21"/>
                <w:szCs w:val="21"/>
                <w:lang w:val="en-US" w:eastAsia="zh-CN"/>
              </w:rPr>
            </w:pPr>
          </w:p>
        </w:tc>
      </w:tr>
      <w:tr w14:paraId="783E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7FE21AAF">
            <w:pPr>
              <w:spacing w:line="360" w:lineRule="auto"/>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本项目报价（万元）</w:t>
            </w:r>
          </w:p>
        </w:tc>
        <w:tc>
          <w:tcPr>
            <w:tcW w:w="5659" w:type="dxa"/>
            <w:gridSpan w:val="3"/>
            <w:noWrap w:val="0"/>
            <w:vAlign w:val="center"/>
          </w:tcPr>
          <w:p w14:paraId="2FDED4F1">
            <w:pPr>
              <w:spacing w:line="360" w:lineRule="auto"/>
              <w:jc w:val="center"/>
              <w:rPr>
                <w:rFonts w:hint="eastAsia" w:ascii="仿宋" w:hAnsi="仿宋" w:eastAsia="仿宋"/>
                <w:sz w:val="21"/>
                <w:szCs w:val="21"/>
                <w:lang w:val="en-US" w:eastAsia="zh-CN"/>
              </w:rPr>
            </w:pPr>
          </w:p>
        </w:tc>
      </w:tr>
      <w:tr w14:paraId="61AE9C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856" w:hRule="atLeast"/>
        </w:trPr>
        <w:tc>
          <w:tcPr>
            <w:tcW w:w="2722" w:type="dxa"/>
            <w:tcBorders>
              <w:top w:val="single" w:color="000000" w:sz="4" w:space="0"/>
              <w:left w:val="single" w:color="000000" w:sz="4" w:space="0"/>
              <w:bottom w:val="single" w:color="000000" w:sz="4" w:space="0"/>
              <w:right w:val="single" w:color="000000" w:sz="4" w:space="0"/>
            </w:tcBorders>
            <w:vAlign w:val="center"/>
          </w:tcPr>
          <w:p w14:paraId="1365C3D9">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投标人资质要求</w:t>
            </w:r>
          </w:p>
        </w:tc>
        <w:tc>
          <w:tcPr>
            <w:tcW w:w="5659" w:type="dxa"/>
            <w:gridSpan w:val="3"/>
            <w:tcBorders>
              <w:top w:val="single" w:color="000000" w:sz="4" w:space="0"/>
              <w:left w:val="single" w:color="000000" w:sz="4" w:space="0"/>
              <w:bottom w:val="single" w:color="000000" w:sz="4" w:space="0"/>
              <w:right w:val="single" w:color="000000" w:sz="4" w:space="0"/>
            </w:tcBorders>
            <w:vAlign w:val="center"/>
          </w:tcPr>
          <w:p w14:paraId="3578766C">
            <w:pPr>
              <w:numPr>
                <w:ilvl w:val="0"/>
                <w:numId w:val="1"/>
              </w:numPr>
              <w:spacing w:line="360" w:lineRule="auto"/>
              <w:ind w:left="425" w:leftChars="0" w:hanging="425" w:firstLineChars="0"/>
              <w:jc w:val="left"/>
              <w:rPr>
                <w:rFonts w:hint="eastAsia" w:ascii="仿宋" w:hAnsi="仿宋" w:eastAsia="仿宋"/>
                <w:sz w:val="21"/>
                <w:szCs w:val="21"/>
                <w:lang w:val="en-US" w:eastAsia="zh-CN"/>
              </w:rPr>
            </w:pPr>
            <w:r>
              <w:rPr>
                <w:rFonts w:hint="eastAsia" w:ascii="仿宋" w:hAnsi="仿宋" w:eastAsia="仿宋"/>
                <w:sz w:val="21"/>
                <w:szCs w:val="21"/>
                <w:lang w:val="en-US" w:eastAsia="zh-CN"/>
              </w:rPr>
              <w:t>营业执照副本复印件,加盖投标人公章;提供在国家企业信用信息公示系统中自行打印的所有信息（http://www.gsxt.gov.cn/index.html）；（包括基础信息，企业自行公示信息，行政许可信息，行政处罚信息，纳入经营异常名录信息，纳入严重违法失信企业名单（黑名单）信息）加盖投标人公章）；</w:t>
            </w:r>
          </w:p>
          <w:p w14:paraId="3382338E">
            <w:pPr>
              <w:numPr>
                <w:ilvl w:val="0"/>
                <w:numId w:val="1"/>
              </w:numPr>
              <w:spacing w:line="360" w:lineRule="auto"/>
              <w:ind w:left="425" w:leftChars="0" w:hanging="425" w:firstLineChars="0"/>
              <w:jc w:val="left"/>
              <w:rPr>
                <w:rFonts w:hint="eastAsia" w:ascii="仿宋" w:hAnsi="仿宋" w:eastAsia="仿宋"/>
                <w:sz w:val="21"/>
                <w:szCs w:val="21"/>
                <w:lang w:val="en-US" w:eastAsia="zh-CN"/>
              </w:rPr>
            </w:pPr>
            <w:r>
              <w:rPr>
                <w:rFonts w:hint="eastAsia" w:ascii="仿宋" w:hAnsi="仿宋" w:eastAsia="仿宋"/>
                <w:sz w:val="21"/>
                <w:szCs w:val="21"/>
                <w:lang w:val="en-US" w:eastAsia="zh-CN"/>
              </w:rPr>
              <w:t>设备生产企业如为中小微企业，请提供中小微企业声明函（格式自拟）。</w:t>
            </w:r>
          </w:p>
          <w:p w14:paraId="011E65EE">
            <w:pPr>
              <w:numPr>
                <w:ilvl w:val="0"/>
                <w:numId w:val="1"/>
              </w:numPr>
              <w:spacing w:line="360" w:lineRule="auto"/>
              <w:ind w:left="425" w:leftChars="0" w:hanging="425" w:firstLineChars="0"/>
              <w:jc w:val="left"/>
              <w:rPr>
                <w:rFonts w:hint="eastAsia" w:ascii="仿宋" w:hAnsi="仿宋" w:eastAsia="仿宋"/>
                <w:sz w:val="21"/>
                <w:szCs w:val="21"/>
                <w:lang w:val="en-US" w:eastAsia="zh-CN"/>
              </w:rPr>
            </w:pPr>
            <w:r>
              <w:rPr>
                <w:rFonts w:hint="eastAsia" w:ascii="仿宋" w:hAnsi="仿宋" w:eastAsia="仿宋"/>
                <w:sz w:val="21"/>
                <w:szCs w:val="21"/>
                <w:lang w:val="en-US" w:eastAsia="zh-CN"/>
              </w:rPr>
              <w:t>以上仅供参考，请根据项目实际情况进行填写</w:t>
            </w:r>
          </w:p>
        </w:tc>
      </w:tr>
    </w:tbl>
    <w:p w14:paraId="7B3BDE71"/>
    <w:p w14:paraId="70DD37A2"/>
    <w:p w14:paraId="575CADC7"/>
    <w:p w14:paraId="74D0F07E"/>
    <w:p w14:paraId="728EE6C6"/>
    <w:p w14:paraId="22CB3DF7"/>
    <w:p w14:paraId="62E0AAA4">
      <w:pPr>
        <w:pStyle w:val="2"/>
      </w:pPr>
    </w:p>
    <w:p w14:paraId="667F0CA2"/>
    <w:p w14:paraId="3B0549F7">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二、公司已获得的行业资质、资信证书及荣誉</w:t>
      </w:r>
    </w:p>
    <w:p w14:paraId="67004602">
      <w:pPr>
        <w:pStyle w:val="12"/>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（一）请提供企业营业执照扫描件</w:t>
      </w:r>
    </w:p>
    <w:p w14:paraId="7AB8348D">
      <w:pPr>
        <w:pStyle w:val="12"/>
        <w:rPr>
          <w:rFonts w:hint="eastAsia" w:ascii="方正楷体_GB2312" w:hAnsi="方正楷体_GB2312" w:eastAsia="方正楷体_GB2312" w:cs="方正楷体_GB2312"/>
          <w:sz w:val="28"/>
          <w:szCs w:val="28"/>
          <w:lang w:val="en-US" w:eastAsia="zh-CN"/>
        </w:rPr>
      </w:pPr>
    </w:p>
    <w:p w14:paraId="048D2817">
      <w:pPr>
        <w:pStyle w:val="12"/>
        <w:rPr>
          <w:rFonts w:hint="eastAsia" w:ascii="方正楷体_GB2312" w:hAnsi="方正楷体_GB2312" w:eastAsia="方正楷体_GB2312" w:cs="方正楷体_GB2312"/>
          <w:sz w:val="28"/>
          <w:szCs w:val="28"/>
          <w:lang w:val="en-US" w:eastAsia="zh-CN"/>
        </w:rPr>
      </w:pPr>
    </w:p>
    <w:p w14:paraId="0B357D15">
      <w:pPr>
        <w:pStyle w:val="12"/>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（二）请提供贵司已获得的、与本项目服务内容相关的行业资质、资信、认证证书列表（包括但不限于质量管理体系认证、医疗器械质量管理体系认证、职业健康安全管理体系认证、信息安全管理体系认证等）</w:t>
      </w:r>
    </w:p>
    <w:tbl>
      <w:tblPr>
        <w:tblStyle w:val="10"/>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2684"/>
        <w:gridCol w:w="1686"/>
        <w:gridCol w:w="1581"/>
      </w:tblGrid>
      <w:tr w14:paraId="4400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A2C2933">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证书名称</w:t>
            </w:r>
          </w:p>
        </w:tc>
        <w:tc>
          <w:tcPr>
            <w:tcW w:w="2684" w:type="dxa"/>
          </w:tcPr>
          <w:p w14:paraId="0017ACBA">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颁发机构</w:t>
            </w:r>
          </w:p>
        </w:tc>
        <w:tc>
          <w:tcPr>
            <w:tcW w:w="1686" w:type="dxa"/>
          </w:tcPr>
          <w:p w14:paraId="0367E400">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获得时间</w:t>
            </w:r>
          </w:p>
        </w:tc>
        <w:tc>
          <w:tcPr>
            <w:tcW w:w="1581" w:type="dxa"/>
          </w:tcPr>
          <w:p w14:paraId="46BD8F85">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有效期限</w:t>
            </w:r>
          </w:p>
        </w:tc>
      </w:tr>
      <w:tr w14:paraId="3F6D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9121A6D">
            <w:pPr>
              <w:spacing w:line="360" w:lineRule="auto"/>
              <w:jc w:val="center"/>
              <w:rPr>
                <w:rFonts w:hint="eastAsia" w:ascii="仿宋" w:hAnsi="仿宋" w:eastAsia="仿宋"/>
                <w:sz w:val="21"/>
                <w:szCs w:val="21"/>
                <w:vertAlign w:val="baseline"/>
                <w:lang w:val="en-US" w:eastAsia="zh-CN"/>
              </w:rPr>
            </w:pPr>
          </w:p>
        </w:tc>
        <w:tc>
          <w:tcPr>
            <w:tcW w:w="2684" w:type="dxa"/>
          </w:tcPr>
          <w:p w14:paraId="02CD67D0">
            <w:pPr>
              <w:spacing w:line="360" w:lineRule="auto"/>
              <w:jc w:val="center"/>
              <w:rPr>
                <w:rFonts w:hint="eastAsia" w:ascii="仿宋" w:hAnsi="仿宋" w:eastAsia="仿宋"/>
                <w:sz w:val="21"/>
                <w:szCs w:val="21"/>
                <w:vertAlign w:val="baseline"/>
                <w:lang w:val="en-US" w:eastAsia="zh-CN"/>
              </w:rPr>
            </w:pPr>
          </w:p>
        </w:tc>
        <w:tc>
          <w:tcPr>
            <w:tcW w:w="1686" w:type="dxa"/>
          </w:tcPr>
          <w:p w14:paraId="4D90FA0E">
            <w:pPr>
              <w:spacing w:line="360" w:lineRule="auto"/>
              <w:jc w:val="center"/>
              <w:rPr>
                <w:rFonts w:hint="eastAsia" w:ascii="仿宋" w:hAnsi="仿宋" w:eastAsia="仿宋"/>
                <w:sz w:val="21"/>
                <w:szCs w:val="21"/>
                <w:vertAlign w:val="baseline"/>
                <w:lang w:val="en-US" w:eastAsia="zh-CN"/>
              </w:rPr>
            </w:pPr>
          </w:p>
        </w:tc>
        <w:tc>
          <w:tcPr>
            <w:tcW w:w="1581" w:type="dxa"/>
          </w:tcPr>
          <w:p w14:paraId="08C1126D">
            <w:pPr>
              <w:spacing w:line="360" w:lineRule="auto"/>
              <w:jc w:val="center"/>
              <w:rPr>
                <w:rFonts w:hint="eastAsia" w:ascii="仿宋" w:hAnsi="仿宋" w:eastAsia="仿宋"/>
                <w:sz w:val="21"/>
                <w:szCs w:val="21"/>
                <w:vertAlign w:val="baseline"/>
                <w:lang w:val="en-US" w:eastAsia="zh-CN"/>
              </w:rPr>
            </w:pPr>
          </w:p>
        </w:tc>
      </w:tr>
      <w:tr w14:paraId="2798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15340F74">
            <w:pPr>
              <w:spacing w:line="360" w:lineRule="auto"/>
              <w:jc w:val="center"/>
              <w:rPr>
                <w:rFonts w:hint="eastAsia" w:ascii="仿宋" w:hAnsi="仿宋" w:eastAsia="仿宋"/>
                <w:sz w:val="21"/>
                <w:szCs w:val="21"/>
                <w:vertAlign w:val="baseline"/>
                <w:lang w:val="en-US" w:eastAsia="zh-CN"/>
              </w:rPr>
            </w:pPr>
          </w:p>
        </w:tc>
        <w:tc>
          <w:tcPr>
            <w:tcW w:w="2684" w:type="dxa"/>
          </w:tcPr>
          <w:p w14:paraId="0C5F127C">
            <w:pPr>
              <w:spacing w:line="360" w:lineRule="auto"/>
              <w:jc w:val="center"/>
              <w:rPr>
                <w:rFonts w:hint="eastAsia" w:ascii="仿宋" w:hAnsi="仿宋" w:eastAsia="仿宋"/>
                <w:sz w:val="21"/>
                <w:szCs w:val="21"/>
                <w:vertAlign w:val="baseline"/>
                <w:lang w:val="en-US" w:eastAsia="zh-CN"/>
              </w:rPr>
            </w:pPr>
          </w:p>
        </w:tc>
        <w:tc>
          <w:tcPr>
            <w:tcW w:w="1686" w:type="dxa"/>
          </w:tcPr>
          <w:p w14:paraId="20ABC5D3">
            <w:pPr>
              <w:spacing w:line="360" w:lineRule="auto"/>
              <w:jc w:val="center"/>
              <w:rPr>
                <w:rFonts w:hint="eastAsia" w:ascii="仿宋" w:hAnsi="仿宋" w:eastAsia="仿宋"/>
                <w:sz w:val="21"/>
                <w:szCs w:val="21"/>
                <w:vertAlign w:val="baseline"/>
                <w:lang w:val="en-US" w:eastAsia="zh-CN"/>
              </w:rPr>
            </w:pPr>
          </w:p>
        </w:tc>
        <w:tc>
          <w:tcPr>
            <w:tcW w:w="1581" w:type="dxa"/>
          </w:tcPr>
          <w:p w14:paraId="23D26DA5">
            <w:pPr>
              <w:spacing w:line="360" w:lineRule="auto"/>
              <w:jc w:val="center"/>
              <w:rPr>
                <w:rFonts w:hint="eastAsia" w:ascii="仿宋" w:hAnsi="仿宋" w:eastAsia="仿宋"/>
                <w:sz w:val="21"/>
                <w:szCs w:val="21"/>
                <w:vertAlign w:val="baseline"/>
                <w:lang w:val="en-US" w:eastAsia="zh-CN"/>
              </w:rPr>
            </w:pPr>
          </w:p>
        </w:tc>
      </w:tr>
      <w:tr w14:paraId="5B0C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170AD68">
            <w:pPr>
              <w:spacing w:line="360" w:lineRule="auto"/>
              <w:jc w:val="center"/>
              <w:rPr>
                <w:rFonts w:hint="eastAsia" w:ascii="仿宋" w:hAnsi="仿宋" w:eastAsia="仿宋"/>
                <w:sz w:val="21"/>
                <w:szCs w:val="21"/>
                <w:vertAlign w:val="baseline"/>
                <w:lang w:val="en-US" w:eastAsia="zh-CN"/>
              </w:rPr>
            </w:pPr>
          </w:p>
        </w:tc>
        <w:tc>
          <w:tcPr>
            <w:tcW w:w="2684" w:type="dxa"/>
          </w:tcPr>
          <w:p w14:paraId="1A7CDBED">
            <w:pPr>
              <w:spacing w:line="360" w:lineRule="auto"/>
              <w:jc w:val="center"/>
              <w:rPr>
                <w:rFonts w:hint="eastAsia" w:ascii="仿宋" w:hAnsi="仿宋" w:eastAsia="仿宋"/>
                <w:sz w:val="21"/>
                <w:szCs w:val="21"/>
                <w:vertAlign w:val="baseline"/>
                <w:lang w:val="en-US" w:eastAsia="zh-CN"/>
              </w:rPr>
            </w:pPr>
          </w:p>
        </w:tc>
        <w:tc>
          <w:tcPr>
            <w:tcW w:w="1686" w:type="dxa"/>
          </w:tcPr>
          <w:p w14:paraId="583D3459">
            <w:pPr>
              <w:spacing w:line="360" w:lineRule="auto"/>
              <w:jc w:val="center"/>
              <w:rPr>
                <w:rFonts w:hint="eastAsia" w:ascii="仿宋" w:hAnsi="仿宋" w:eastAsia="仿宋"/>
                <w:sz w:val="21"/>
                <w:szCs w:val="21"/>
                <w:vertAlign w:val="baseline"/>
                <w:lang w:val="en-US" w:eastAsia="zh-CN"/>
              </w:rPr>
            </w:pPr>
          </w:p>
        </w:tc>
        <w:tc>
          <w:tcPr>
            <w:tcW w:w="1581" w:type="dxa"/>
          </w:tcPr>
          <w:p w14:paraId="7D7E01FA">
            <w:pPr>
              <w:spacing w:line="360" w:lineRule="auto"/>
              <w:jc w:val="center"/>
              <w:rPr>
                <w:rFonts w:hint="eastAsia" w:ascii="仿宋" w:hAnsi="仿宋" w:eastAsia="仿宋"/>
                <w:sz w:val="21"/>
                <w:szCs w:val="21"/>
                <w:vertAlign w:val="baseline"/>
                <w:lang w:val="en-US" w:eastAsia="zh-CN"/>
              </w:rPr>
            </w:pPr>
          </w:p>
        </w:tc>
      </w:tr>
      <w:tr w14:paraId="61B0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56F6FC3">
            <w:pPr>
              <w:spacing w:line="360" w:lineRule="auto"/>
              <w:jc w:val="center"/>
              <w:rPr>
                <w:rFonts w:hint="eastAsia" w:ascii="仿宋" w:hAnsi="仿宋" w:eastAsia="仿宋"/>
                <w:sz w:val="21"/>
                <w:szCs w:val="21"/>
                <w:vertAlign w:val="baseline"/>
                <w:lang w:val="en-US" w:eastAsia="zh-CN"/>
              </w:rPr>
            </w:pPr>
          </w:p>
        </w:tc>
        <w:tc>
          <w:tcPr>
            <w:tcW w:w="2684" w:type="dxa"/>
          </w:tcPr>
          <w:p w14:paraId="4766A6F5">
            <w:pPr>
              <w:spacing w:line="360" w:lineRule="auto"/>
              <w:jc w:val="center"/>
              <w:rPr>
                <w:rFonts w:hint="eastAsia" w:ascii="仿宋" w:hAnsi="仿宋" w:eastAsia="仿宋"/>
                <w:sz w:val="21"/>
                <w:szCs w:val="21"/>
                <w:vertAlign w:val="baseline"/>
                <w:lang w:val="en-US" w:eastAsia="zh-CN"/>
              </w:rPr>
            </w:pPr>
          </w:p>
        </w:tc>
        <w:tc>
          <w:tcPr>
            <w:tcW w:w="1686" w:type="dxa"/>
          </w:tcPr>
          <w:p w14:paraId="55FA2CC5">
            <w:pPr>
              <w:spacing w:line="360" w:lineRule="auto"/>
              <w:jc w:val="center"/>
              <w:rPr>
                <w:rFonts w:hint="eastAsia" w:ascii="仿宋" w:hAnsi="仿宋" w:eastAsia="仿宋"/>
                <w:sz w:val="21"/>
                <w:szCs w:val="21"/>
                <w:vertAlign w:val="baseline"/>
                <w:lang w:val="en-US" w:eastAsia="zh-CN"/>
              </w:rPr>
            </w:pPr>
          </w:p>
        </w:tc>
        <w:tc>
          <w:tcPr>
            <w:tcW w:w="1581" w:type="dxa"/>
          </w:tcPr>
          <w:p w14:paraId="6E13E94A">
            <w:pPr>
              <w:spacing w:line="360" w:lineRule="auto"/>
              <w:jc w:val="center"/>
              <w:rPr>
                <w:rFonts w:hint="eastAsia" w:ascii="仿宋" w:hAnsi="仿宋" w:eastAsia="仿宋"/>
                <w:sz w:val="21"/>
                <w:szCs w:val="21"/>
                <w:vertAlign w:val="baseline"/>
                <w:lang w:val="en-US" w:eastAsia="zh-CN"/>
              </w:rPr>
            </w:pPr>
          </w:p>
        </w:tc>
      </w:tr>
      <w:tr w14:paraId="634B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0BE5FBB">
            <w:pPr>
              <w:spacing w:line="360" w:lineRule="auto"/>
              <w:jc w:val="center"/>
              <w:rPr>
                <w:rFonts w:hint="eastAsia" w:ascii="仿宋" w:hAnsi="仿宋" w:eastAsia="仿宋"/>
                <w:sz w:val="21"/>
                <w:szCs w:val="21"/>
                <w:vertAlign w:val="baseline"/>
                <w:lang w:val="en-US" w:eastAsia="zh-CN"/>
              </w:rPr>
            </w:pPr>
          </w:p>
        </w:tc>
        <w:tc>
          <w:tcPr>
            <w:tcW w:w="2684" w:type="dxa"/>
          </w:tcPr>
          <w:p w14:paraId="2F736400">
            <w:pPr>
              <w:spacing w:line="360" w:lineRule="auto"/>
              <w:jc w:val="center"/>
              <w:rPr>
                <w:rFonts w:hint="eastAsia" w:ascii="仿宋" w:hAnsi="仿宋" w:eastAsia="仿宋"/>
                <w:sz w:val="21"/>
                <w:szCs w:val="21"/>
                <w:vertAlign w:val="baseline"/>
                <w:lang w:val="en-US" w:eastAsia="zh-CN"/>
              </w:rPr>
            </w:pPr>
          </w:p>
        </w:tc>
        <w:tc>
          <w:tcPr>
            <w:tcW w:w="1686" w:type="dxa"/>
          </w:tcPr>
          <w:p w14:paraId="0C2BA27F">
            <w:pPr>
              <w:spacing w:line="360" w:lineRule="auto"/>
              <w:jc w:val="center"/>
              <w:rPr>
                <w:rFonts w:hint="eastAsia" w:ascii="仿宋" w:hAnsi="仿宋" w:eastAsia="仿宋"/>
                <w:sz w:val="21"/>
                <w:szCs w:val="21"/>
                <w:vertAlign w:val="baseline"/>
                <w:lang w:val="en-US" w:eastAsia="zh-CN"/>
              </w:rPr>
            </w:pPr>
          </w:p>
        </w:tc>
        <w:tc>
          <w:tcPr>
            <w:tcW w:w="1581" w:type="dxa"/>
          </w:tcPr>
          <w:p w14:paraId="194E6FDF">
            <w:pPr>
              <w:spacing w:line="360" w:lineRule="auto"/>
              <w:jc w:val="center"/>
              <w:rPr>
                <w:rFonts w:hint="eastAsia" w:ascii="仿宋" w:hAnsi="仿宋" w:eastAsia="仿宋"/>
                <w:sz w:val="21"/>
                <w:szCs w:val="21"/>
                <w:vertAlign w:val="baseline"/>
                <w:lang w:val="en-US" w:eastAsia="zh-CN"/>
              </w:rPr>
            </w:pPr>
          </w:p>
        </w:tc>
      </w:tr>
    </w:tbl>
    <w:p w14:paraId="31244BE4">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20BA0A84">
      <w:pPr>
        <w:pStyle w:val="12"/>
        <w:rPr>
          <w:rFonts w:hint="eastAsia" w:ascii="仿宋" w:hAnsi="仿宋" w:eastAsia="仿宋"/>
          <w:sz w:val="21"/>
          <w:szCs w:val="21"/>
          <w:lang w:val="en-US" w:eastAsia="zh-CN"/>
        </w:rPr>
      </w:pPr>
    </w:p>
    <w:p w14:paraId="29F73287">
      <w:pPr>
        <w:pStyle w:val="12"/>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（三）请提供企业行业资质、资信、认证证书扫描件：</w:t>
      </w:r>
    </w:p>
    <w:p w14:paraId="07BC3B03"/>
    <w:p w14:paraId="6D4AA9A0"/>
    <w:p w14:paraId="37D81D7F"/>
    <w:p w14:paraId="508305E6"/>
    <w:p w14:paraId="4327B8DC">
      <w:pPr>
        <w:pStyle w:val="12"/>
        <w:rPr>
          <w:rFonts w:hint="eastAsia" w:ascii="黑体" w:hAnsi="黑体" w:eastAsia="黑体" w:cs="黑体"/>
          <w:sz w:val="28"/>
          <w:szCs w:val="28"/>
          <w:lang w:val="en-US" w:eastAsia="zh-CN"/>
        </w:rPr>
        <w:sectPr>
          <w:pgSz w:w="11906" w:h="16838"/>
          <w:pgMar w:top="1440" w:right="1800" w:bottom="1440" w:left="1800" w:header="851" w:footer="992" w:gutter="0"/>
          <w:cols w:space="425" w:num="1"/>
          <w:docGrid w:type="lines" w:linePitch="312" w:charSpace="0"/>
        </w:sectPr>
      </w:pPr>
    </w:p>
    <w:p w14:paraId="67F6E2EE">
      <w:pPr>
        <w:pStyle w:val="12"/>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三、根据本项目规模，请提供贵司拟投入的服务团队规划：</w:t>
      </w:r>
    </w:p>
    <w:tbl>
      <w:tblPr>
        <w:tblStyle w:val="10"/>
        <w:tblW w:w="14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1603"/>
        <w:gridCol w:w="712"/>
        <w:gridCol w:w="666"/>
        <w:gridCol w:w="834"/>
        <w:gridCol w:w="1677"/>
        <w:gridCol w:w="2264"/>
        <w:gridCol w:w="3488"/>
        <w:gridCol w:w="2206"/>
      </w:tblGrid>
      <w:tr w14:paraId="148E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65" w:type="dxa"/>
            <w:vMerge w:val="restart"/>
            <w:vAlign w:val="center"/>
          </w:tcPr>
          <w:p w14:paraId="58B7FC4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序号</w:t>
            </w:r>
          </w:p>
        </w:tc>
        <w:tc>
          <w:tcPr>
            <w:tcW w:w="1603" w:type="dxa"/>
            <w:vMerge w:val="restart"/>
            <w:vAlign w:val="center"/>
          </w:tcPr>
          <w:p w14:paraId="2A129C2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岗位</w:t>
            </w:r>
          </w:p>
        </w:tc>
        <w:tc>
          <w:tcPr>
            <w:tcW w:w="712" w:type="dxa"/>
            <w:vMerge w:val="restart"/>
            <w:vAlign w:val="center"/>
          </w:tcPr>
          <w:p w14:paraId="54C766CC">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姓名</w:t>
            </w:r>
          </w:p>
        </w:tc>
        <w:tc>
          <w:tcPr>
            <w:tcW w:w="11135" w:type="dxa"/>
            <w:gridSpan w:val="6"/>
            <w:vAlign w:val="center"/>
          </w:tcPr>
          <w:p w14:paraId="79C91C55">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人员须具备的条件</w:t>
            </w:r>
          </w:p>
        </w:tc>
      </w:tr>
      <w:tr w14:paraId="40B8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65" w:type="dxa"/>
            <w:vMerge w:val="continue"/>
            <w:vAlign w:val="center"/>
          </w:tcPr>
          <w:p w14:paraId="2967C4C2">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603" w:type="dxa"/>
            <w:vMerge w:val="continue"/>
            <w:vAlign w:val="center"/>
          </w:tcPr>
          <w:p w14:paraId="67D25E93">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712" w:type="dxa"/>
            <w:vMerge w:val="continue"/>
            <w:vAlign w:val="center"/>
          </w:tcPr>
          <w:p w14:paraId="55E7125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666" w:type="dxa"/>
            <w:vAlign w:val="center"/>
          </w:tcPr>
          <w:p w14:paraId="5562859C">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学历</w:t>
            </w:r>
          </w:p>
        </w:tc>
        <w:tc>
          <w:tcPr>
            <w:tcW w:w="834" w:type="dxa"/>
            <w:vAlign w:val="center"/>
          </w:tcPr>
          <w:p w14:paraId="7641862C">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专业</w:t>
            </w:r>
          </w:p>
        </w:tc>
        <w:tc>
          <w:tcPr>
            <w:tcW w:w="1677" w:type="dxa"/>
            <w:vAlign w:val="center"/>
          </w:tcPr>
          <w:p w14:paraId="59537640">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医疗设备维修维护工作年限</w:t>
            </w:r>
          </w:p>
        </w:tc>
        <w:tc>
          <w:tcPr>
            <w:tcW w:w="2264" w:type="dxa"/>
            <w:vAlign w:val="center"/>
          </w:tcPr>
          <w:p w14:paraId="14D8EA6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相关证书获得情况</w:t>
            </w:r>
          </w:p>
        </w:tc>
        <w:tc>
          <w:tcPr>
            <w:tcW w:w="3488" w:type="dxa"/>
            <w:vAlign w:val="center"/>
          </w:tcPr>
          <w:p w14:paraId="339B31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维修资质及经验</w:t>
            </w:r>
          </w:p>
        </w:tc>
        <w:tc>
          <w:tcPr>
            <w:tcW w:w="2206" w:type="dxa"/>
            <w:vAlign w:val="center"/>
          </w:tcPr>
          <w:p w14:paraId="3CEB16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同类项目经验</w:t>
            </w:r>
          </w:p>
        </w:tc>
      </w:tr>
      <w:tr w14:paraId="34FD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Align w:val="center"/>
          </w:tcPr>
          <w:p w14:paraId="3E61426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1</w:t>
            </w:r>
          </w:p>
        </w:tc>
        <w:tc>
          <w:tcPr>
            <w:tcW w:w="1603" w:type="dxa"/>
            <w:vAlign w:val="center"/>
          </w:tcPr>
          <w:p w14:paraId="1E5FE6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项目负责人</w:t>
            </w:r>
          </w:p>
        </w:tc>
        <w:tc>
          <w:tcPr>
            <w:tcW w:w="712" w:type="dxa"/>
            <w:vAlign w:val="center"/>
          </w:tcPr>
          <w:p w14:paraId="412BD00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2CDAD31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26E29AE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03E4FA7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692CCFF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vAlign w:val="center"/>
          </w:tcPr>
          <w:p w14:paraId="0286F2E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6C9FF26B">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40F6F18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255D6AD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25AA37B0">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45911FA7">
            <w:pPr>
              <w:pStyle w:val="2"/>
              <w:rPr>
                <w:rFonts w:hint="eastAsia"/>
                <w:lang w:val="en-US" w:eastAsia="zh-CN"/>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vAlign w:val="center"/>
          </w:tcPr>
          <w:p w14:paraId="1EA2EBF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（请注意：须提供以项目主管或项目经理身份负责管理过的医疗设备维保项目经验）</w:t>
            </w:r>
          </w:p>
        </w:tc>
      </w:tr>
      <w:tr w14:paraId="37F1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Align w:val="center"/>
          </w:tcPr>
          <w:p w14:paraId="514D10C8">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2</w:t>
            </w:r>
          </w:p>
        </w:tc>
        <w:tc>
          <w:tcPr>
            <w:tcW w:w="13450" w:type="dxa"/>
            <w:gridSpan w:val="8"/>
            <w:vAlign w:val="center"/>
          </w:tcPr>
          <w:p w14:paraId="1AE3883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项目团队成员</w:t>
            </w:r>
          </w:p>
        </w:tc>
      </w:tr>
      <w:tr w14:paraId="284D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restart"/>
            <w:vAlign w:val="center"/>
          </w:tcPr>
          <w:p w14:paraId="32EB25E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w:t>
            </w:r>
          </w:p>
        </w:tc>
        <w:tc>
          <w:tcPr>
            <w:tcW w:w="1603" w:type="dxa"/>
            <w:vMerge w:val="restart"/>
            <w:vAlign w:val="center"/>
          </w:tcPr>
          <w:p w14:paraId="4EF20D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质控工程师</w:t>
            </w:r>
          </w:p>
        </w:tc>
        <w:tc>
          <w:tcPr>
            <w:tcW w:w="712" w:type="dxa"/>
            <w:vAlign w:val="center"/>
          </w:tcPr>
          <w:p w14:paraId="6E77F49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3DFBA70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6CFF598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291A90F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23890F0F">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仿宋" w:hAnsi="仿宋" w:eastAsia="仿宋"/>
                <w:sz w:val="22"/>
                <w:szCs w:val="22"/>
                <w:u w:val="none"/>
                <w:vertAlign w:val="baseline"/>
                <w:lang w:val="en-US" w:eastAsia="zh-CN"/>
              </w:rPr>
              <w:t>校准员证</w:t>
            </w:r>
          </w:p>
          <w:p w14:paraId="30ABE306">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仿宋" w:hAnsi="仿宋" w:eastAsia="仿宋"/>
                <w:sz w:val="22"/>
                <w:szCs w:val="22"/>
                <w:u w:val="none"/>
                <w:vertAlign w:val="baseline"/>
                <w:lang w:val="en-US" w:eastAsia="zh-CN"/>
              </w:rPr>
              <w:t>注册计量师证</w:t>
            </w:r>
          </w:p>
          <w:p w14:paraId="4A6E41E9">
            <w:pPr>
              <w:pStyle w:val="2"/>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□其他，证书名称：</w:t>
            </w:r>
          </w:p>
          <w:p w14:paraId="031DBCAD">
            <w:pPr>
              <w:pStyle w:val="2"/>
              <w:rPr>
                <w:rFonts w:hint="default" w:ascii="仿宋" w:hAnsi="仿宋" w:eastAsia="仿宋"/>
                <w:sz w:val="22"/>
                <w:szCs w:val="22"/>
                <w:u w:val="single"/>
                <w:vertAlign w:val="baseline"/>
                <w:lang w:val="en-US" w:eastAsia="zh-CN"/>
              </w:rPr>
            </w:pPr>
            <w:r>
              <w:rPr>
                <w:rFonts w:hint="eastAsia" w:ascii="仿宋" w:hAnsi="仿宋" w:eastAsia="仿宋"/>
                <w:sz w:val="22"/>
                <w:szCs w:val="22"/>
                <w:u w:val="single"/>
                <w:vertAlign w:val="baseline"/>
                <w:lang w:val="en-US" w:eastAsia="zh-CN"/>
              </w:rPr>
              <w:t xml:space="preserve">                </w:t>
            </w:r>
          </w:p>
        </w:tc>
        <w:tc>
          <w:tcPr>
            <w:tcW w:w="3488" w:type="dxa"/>
            <w:shd w:val="clear"/>
            <w:vAlign w:val="center"/>
          </w:tcPr>
          <w:p w14:paraId="0A08CCE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6951F12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0021F13B">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57B8E4D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2D701F08">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6EDA5E5F">
            <w:pPr>
              <w:pStyle w:val="2"/>
              <w:rPr>
                <w:rFonts w:hint="default"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vAlign w:val="center"/>
          </w:tcPr>
          <w:p w14:paraId="678001E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r>
      <w:tr w14:paraId="14B6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7D93B19A">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p>
        </w:tc>
        <w:tc>
          <w:tcPr>
            <w:tcW w:w="1603" w:type="dxa"/>
            <w:vMerge w:val="continue"/>
            <w:tcBorders/>
            <w:vAlign w:val="center"/>
          </w:tcPr>
          <w:p w14:paraId="58EAB9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5D7E968C">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0AC23C0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3D82CF5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04D6358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shd w:val="clear"/>
            <w:vAlign w:val="center"/>
          </w:tcPr>
          <w:p w14:paraId="70B59F56">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仿宋" w:hAnsi="仿宋" w:eastAsia="仿宋"/>
                <w:sz w:val="22"/>
                <w:szCs w:val="22"/>
                <w:u w:val="none"/>
                <w:vertAlign w:val="baseline"/>
                <w:lang w:val="en-US" w:eastAsia="zh-CN"/>
              </w:rPr>
              <w:t>校准员证</w:t>
            </w:r>
          </w:p>
          <w:p w14:paraId="3026BFD4">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仿宋" w:hAnsi="仿宋" w:eastAsia="仿宋"/>
                <w:sz w:val="22"/>
                <w:szCs w:val="22"/>
                <w:u w:val="none"/>
                <w:vertAlign w:val="baseline"/>
                <w:lang w:val="en-US" w:eastAsia="zh-CN"/>
              </w:rPr>
              <w:t>注册计量师证</w:t>
            </w:r>
          </w:p>
          <w:p w14:paraId="7D908613">
            <w:pPr>
              <w:pStyle w:val="2"/>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□其他，证书名称：</w:t>
            </w:r>
          </w:p>
          <w:p w14:paraId="45A9BCF2">
            <w:pPr>
              <w:pStyle w:val="2"/>
              <w:rPr>
                <w:rFonts w:hint="eastAsia" w:ascii="仿宋" w:hAnsi="仿宋" w:eastAsia="仿宋" w:cs="Courier New"/>
                <w:kern w:val="2"/>
                <w:sz w:val="22"/>
                <w:szCs w:val="22"/>
                <w:u w:val="single"/>
                <w:vertAlign w:val="baseline"/>
                <w:lang w:val="en-US" w:eastAsia="zh-CN" w:bidi="ar-SA"/>
              </w:rPr>
            </w:pPr>
            <w:r>
              <w:rPr>
                <w:rFonts w:hint="eastAsia" w:ascii="仿宋" w:hAnsi="仿宋" w:eastAsia="仿宋"/>
                <w:sz w:val="22"/>
                <w:szCs w:val="22"/>
                <w:u w:val="single"/>
                <w:vertAlign w:val="baseline"/>
                <w:lang w:val="en-US" w:eastAsia="zh-CN"/>
              </w:rPr>
              <w:t xml:space="preserve">                </w:t>
            </w:r>
          </w:p>
        </w:tc>
        <w:tc>
          <w:tcPr>
            <w:tcW w:w="3488" w:type="dxa"/>
            <w:shd w:val="clear" w:color="auto" w:fill="auto"/>
            <w:vAlign w:val="center"/>
          </w:tcPr>
          <w:p w14:paraId="7A4BC99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5395511A">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37733BB1">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1097763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78ABD175">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2041F660">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vAlign w:val="center"/>
          </w:tcPr>
          <w:p w14:paraId="3EF2CE6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r>
      <w:tr w14:paraId="06F7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1A4A33C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p>
        </w:tc>
        <w:tc>
          <w:tcPr>
            <w:tcW w:w="1603" w:type="dxa"/>
            <w:vMerge w:val="continue"/>
            <w:tcBorders/>
            <w:vAlign w:val="center"/>
          </w:tcPr>
          <w:p w14:paraId="278783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1F1F413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61853B8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4EFF75B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71BBF59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shd w:val="clear"/>
            <w:vAlign w:val="center"/>
          </w:tcPr>
          <w:p w14:paraId="46BABB77">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仿宋" w:hAnsi="仿宋" w:eastAsia="仿宋"/>
                <w:sz w:val="22"/>
                <w:szCs w:val="22"/>
                <w:u w:val="none"/>
                <w:vertAlign w:val="baseline"/>
                <w:lang w:val="en-US" w:eastAsia="zh-CN"/>
              </w:rPr>
              <w:t>校准员证</w:t>
            </w:r>
          </w:p>
          <w:p w14:paraId="225F65D1">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仿宋" w:hAnsi="仿宋" w:eastAsia="仿宋"/>
                <w:sz w:val="22"/>
                <w:szCs w:val="22"/>
                <w:u w:val="none"/>
                <w:vertAlign w:val="baseline"/>
                <w:lang w:val="en-US" w:eastAsia="zh-CN"/>
              </w:rPr>
              <w:t>注册计量师证</w:t>
            </w:r>
          </w:p>
          <w:p w14:paraId="479408A7">
            <w:pPr>
              <w:pStyle w:val="2"/>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□其他，证书名称：</w:t>
            </w:r>
          </w:p>
          <w:p w14:paraId="5C0D9198">
            <w:pPr>
              <w:pStyle w:val="2"/>
              <w:rPr>
                <w:rFonts w:hint="eastAsia" w:ascii="仿宋" w:hAnsi="仿宋" w:eastAsia="仿宋" w:cs="Courier New"/>
                <w:kern w:val="2"/>
                <w:sz w:val="22"/>
                <w:szCs w:val="22"/>
                <w:u w:val="single"/>
                <w:vertAlign w:val="baseline"/>
                <w:lang w:val="en-US" w:eastAsia="zh-CN" w:bidi="ar-SA"/>
              </w:rPr>
            </w:pPr>
            <w:r>
              <w:rPr>
                <w:rFonts w:hint="eastAsia" w:ascii="仿宋" w:hAnsi="仿宋" w:eastAsia="仿宋"/>
                <w:sz w:val="22"/>
                <w:szCs w:val="22"/>
                <w:u w:val="single"/>
                <w:vertAlign w:val="baseline"/>
                <w:lang w:val="en-US" w:eastAsia="zh-CN"/>
              </w:rPr>
              <w:t xml:space="preserve">                </w:t>
            </w:r>
          </w:p>
        </w:tc>
        <w:tc>
          <w:tcPr>
            <w:tcW w:w="3488" w:type="dxa"/>
            <w:shd w:val="clear" w:color="auto" w:fill="auto"/>
            <w:vAlign w:val="center"/>
          </w:tcPr>
          <w:p w14:paraId="1090D22B">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6F08D67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41DB1F4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4E7C0350">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74A9422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2EDC4B5A">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vAlign w:val="center"/>
          </w:tcPr>
          <w:p w14:paraId="5C83D6E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r>
      <w:tr w14:paraId="10E9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restart"/>
            <w:vAlign w:val="center"/>
          </w:tcPr>
          <w:p w14:paraId="0F3BFE7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2.2</w:t>
            </w:r>
          </w:p>
        </w:tc>
        <w:tc>
          <w:tcPr>
            <w:tcW w:w="1603" w:type="dxa"/>
            <w:vMerge w:val="restart"/>
            <w:vAlign w:val="center"/>
          </w:tcPr>
          <w:p w14:paraId="699051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血液透析维修保养工程师</w:t>
            </w:r>
          </w:p>
        </w:tc>
        <w:tc>
          <w:tcPr>
            <w:tcW w:w="712" w:type="dxa"/>
            <w:vAlign w:val="center"/>
          </w:tcPr>
          <w:p w14:paraId="03FA8AB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0818DAB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6324342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10D2490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7ED15A51">
            <w:pPr>
              <w:pStyle w:val="2"/>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□血液透析设备维修培训合格证书</w:t>
            </w:r>
          </w:p>
        </w:tc>
        <w:tc>
          <w:tcPr>
            <w:tcW w:w="3488" w:type="dxa"/>
            <w:shd w:val="clear" w:color="auto" w:fill="auto"/>
            <w:vAlign w:val="center"/>
          </w:tcPr>
          <w:p w14:paraId="76CB0B77">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5D7FEBF7">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40343E5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7D7F649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7A81197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28ADF9CB">
            <w:pPr>
              <w:pStyle w:val="2"/>
              <w:rPr>
                <w:rFonts w:hint="default"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4C0EB05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theme="minorBidi"/>
                <w:kern w:val="2"/>
                <w:sz w:val="22"/>
                <w:szCs w:val="22"/>
                <w:u w:val="none"/>
                <w:vertAlign w:val="baseline"/>
                <w:lang w:val="en-US" w:eastAsia="zh-CN" w:bidi="ar-SA"/>
              </w:rPr>
            </w:pPr>
          </w:p>
        </w:tc>
      </w:tr>
      <w:tr w14:paraId="616B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7D004FF8">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55B7E0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1DE1C93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691BDDB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278F758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422033B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3749CD75">
            <w:pPr>
              <w:keepNext w:val="0"/>
              <w:keepLines w:val="0"/>
              <w:pageBreakBefore w:val="0"/>
              <w:kinsoku/>
              <w:wordWrap/>
              <w:overflowPunct/>
              <w:topLinePunct w:val="0"/>
              <w:autoSpaceDE/>
              <w:autoSpaceDN/>
              <w:bidi w:val="0"/>
              <w:adjustRightInd/>
              <w:snapToGrid/>
              <w:spacing w:line="240" w:lineRule="auto"/>
              <w:jc w:val="left"/>
              <w:rPr>
                <w:rFonts w:hint="default" w:ascii="仿宋" w:hAnsi="仿宋" w:eastAsia="仿宋"/>
                <w:sz w:val="22"/>
                <w:szCs w:val="22"/>
                <w:u w:val="none"/>
                <w:vertAlign w:val="baseline"/>
                <w:lang w:val="en-US" w:eastAsia="zh-CN"/>
              </w:rPr>
            </w:pPr>
          </w:p>
        </w:tc>
        <w:tc>
          <w:tcPr>
            <w:tcW w:w="3488" w:type="dxa"/>
            <w:shd w:val="clear" w:color="auto" w:fill="auto"/>
            <w:vAlign w:val="center"/>
          </w:tcPr>
          <w:p w14:paraId="49ADC74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288B975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65E7124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15E214EB">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7204E565">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5CC52157">
            <w:pPr>
              <w:pStyle w:val="2"/>
              <w:rPr>
                <w:rFonts w:hint="default"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5371E65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theme="minorBidi"/>
                <w:kern w:val="2"/>
                <w:sz w:val="22"/>
                <w:szCs w:val="22"/>
                <w:u w:val="none"/>
                <w:vertAlign w:val="baseline"/>
                <w:lang w:val="en-US" w:eastAsia="zh-CN" w:bidi="ar-SA"/>
              </w:rPr>
            </w:pPr>
          </w:p>
        </w:tc>
      </w:tr>
      <w:tr w14:paraId="474A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restart"/>
            <w:vAlign w:val="center"/>
          </w:tcPr>
          <w:p w14:paraId="60DDC53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2.3</w:t>
            </w:r>
          </w:p>
        </w:tc>
        <w:tc>
          <w:tcPr>
            <w:tcW w:w="1603" w:type="dxa"/>
            <w:vMerge w:val="restart"/>
            <w:vAlign w:val="center"/>
          </w:tcPr>
          <w:p w14:paraId="463D27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设备维修人员</w:t>
            </w:r>
          </w:p>
        </w:tc>
        <w:tc>
          <w:tcPr>
            <w:tcW w:w="712" w:type="dxa"/>
            <w:vAlign w:val="center"/>
          </w:tcPr>
          <w:p w14:paraId="692A710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5F238DC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706F017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6F5CFE1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2549758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333D7EC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7545FC95">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432418CD">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2017E87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1F6890BD">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68E5B9AF">
            <w:pPr>
              <w:pStyle w:val="2"/>
              <w:rPr>
                <w:rFonts w:hint="default"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1612AE2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theme="minorBidi"/>
                <w:kern w:val="2"/>
                <w:sz w:val="22"/>
                <w:szCs w:val="22"/>
                <w:u w:val="none"/>
                <w:vertAlign w:val="baseline"/>
                <w:lang w:val="en-US" w:eastAsia="zh-CN" w:bidi="ar-SA"/>
              </w:rPr>
            </w:pPr>
          </w:p>
        </w:tc>
      </w:tr>
      <w:tr w14:paraId="59E8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69BCBD0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406EB5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03E426E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2315F4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6649B64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676B3C4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14F8D8C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2A96E72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2630EEE7">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7BA5EB7A">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00E70F0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6BA1639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65EC9385">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0636CD6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473E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601CF4D4">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449C33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46BB1AE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0B8AC6B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7CAA80D9">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453CBEF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4A7DE509">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1ACFCCC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03E73CDD">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4816694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5404D89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5B075AD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255004F1">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2CF027D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02E4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7243CAFC">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6FD6B1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424CEFC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4811A14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2EAE2D3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374157C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5A8E0D6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335C8660">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147D5C6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22DA812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49320C9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5A64F43A">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51CBE2F3">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2052D5B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7B7F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3EE8EF8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5246C3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5462A91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5DEA30E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39B07D2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60612A8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47102B6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2A0E269B">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17B99B9A">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5AD8587B">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1613BA1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136D5361">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1C6A1534">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3B9403E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5E2C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63C90165">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12C8BE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5E40255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26942550">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70AD6BD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3C2500B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2F242EBC">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7F66C8E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26F19450">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5D6AB78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2612A73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74B7265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03F1121D">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3406AAB4">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34EE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vMerge w:val="continue"/>
            <w:tcBorders/>
            <w:vAlign w:val="center"/>
          </w:tcPr>
          <w:p w14:paraId="302760B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color w:val="auto"/>
                <w:sz w:val="22"/>
                <w:szCs w:val="22"/>
                <w:lang w:val="en-US" w:eastAsia="zh-CN"/>
              </w:rPr>
            </w:pPr>
          </w:p>
        </w:tc>
        <w:tc>
          <w:tcPr>
            <w:tcW w:w="1603" w:type="dxa"/>
            <w:vMerge w:val="continue"/>
            <w:tcBorders/>
            <w:vAlign w:val="center"/>
          </w:tcPr>
          <w:p w14:paraId="7CBFE4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712" w:type="dxa"/>
            <w:vAlign w:val="center"/>
          </w:tcPr>
          <w:p w14:paraId="7DF51E7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488E994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4D22A538">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42E7908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17F4A51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797FA8E5">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1609174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210CDA8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1E1892E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0413E737">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3ED2ED75">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240880D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39C1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tcBorders/>
            <w:vAlign w:val="center"/>
          </w:tcPr>
          <w:p w14:paraId="32630E5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2.4</w:t>
            </w:r>
          </w:p>
        </w:tc>
        <w:tc>
          <w:tcPr>
            <w:tcW w:w="1603" w:type="dxa"/>
            <w:tcBorders/>
            <w:vAlign w:val="center"/>
          </w:tcPr>
          <w:p w14:paraId="2A6F69B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其他</w:t>
            </w:r>
          </w:p>
        </w:tc>
        <w:tc>
          <w:tcPr>
            <w:tcW w:w="712" w:type="dxa"/>
            <w:vAlign w:val="center"/>
          </w:tcPr>
          <w:p w14:paraId="4CAC4C0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666" w:type="dxa"/>
            <w:vAlign w:val="center"/>
          </w:tcPr>
          <w:p w14:paraId="6EDB1D39">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34" w:type="dxa"/>
            <w:vAlign w:val="center"/>
          </w:tcPr>
          <w:p w14:paraId="4019105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677" w:type="dxa"/>
            <w:vAlign w:val="center"/>
          </w:tcPr>
          <w:p w14:paraId="0BE0205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2264" w:type="dxa"/>
            <w:vAlign w:val="center"/>
          </w:tcPr>
          <w:p w14:paraId="73C0F96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3488" w:type="dxa"/>
            <w:shd w:val="clear" w:color="auto" w:fill="auto"/>
            <w:vAlign w:val="center"/>
          </w:tcPr>
          <w:p w14:paraId="1C90169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□大型影像设备</w:t>
            </w:r>
          </w:p>
          <w:p w14:paraId="70BCFD1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□急救类、生命支持类设备</w:t>
            </w:r>
          </w:p>
          <w:p w14:paraId="79387FA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□血透设备</w:t>
            </w:r>
          </w:p>
          <w:p w14:paraId="487FB2A2">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□超声诊断类设备</w:t>
            </w:r>
          </w:p>
          <w:p w14:paraId="6BAC434D">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□高空作业</w:t>
            </w:r>
          </w:p>
          <w:p w14:paraId="263AD2DA">
            <w:pPr>
              <w:pStyle w:val="2"/>
              <w:rPr>
                <w:rFonts w:hint="eastAsia" w:ascii="宋体" w:hAnsi="Courier New" w:eastAsia="宋体" w:cs="Courier New"/>
                <w:kern w:val="2"/>
                <w:sz w:val="21"/>
                <w:szCs w:val="21"/>
                <w:lang w:val="en-US" w:eastAsia="zh-CN" w:bidi="ar-SA"/>
              </w:rPr>
            </w:pPr>
            <w:r>
              <w:rPr>
                <w:rFonts w:hint="eastAsia" w:ascii="仿宋" w:hAnsi="仿宋" w:eastAsia="仿宋"/>
                <w:sz w:val="22"/>
                <w:szCs w:val="22"/>
                <w:u w:val="none"/>
                <w:vertAlign w:val="baseline"/>
                <w:lang w:val="en-US" w:eastAsia="zh-CN"/>
              </w:rPr>
              <w:t>□其他，资质名称：</w:t>
            </w:r>
            <w:r>
              <w:rPr>
                <w:rFonts w:hint="eastAsia" w:ascii="仿宋" w:hAnsi="仿宋" w:eastAsia="仿宋"/>
                <w:sz w:val="22"/>
                <w:szCs w:val="22"/>
                <w:u w:val="single"/>
                <w:vertAlign w:val="baseline"/>
                <w:lang w:val="en-US" w:eastAsia="zh-CN"/>
              </w:rPr>
              <w:t xml:space="preserve">                </w:t>
            </w:r>
          </w:p>
        </w:tc>
        <w:tc>
          <w:tcPr>
            <w:tcW w:w="2206" w:type="dxa"/>
            <w:shd w:val="clear" w:color="auto" w:fill="auto"/>
            <w:vAlign w:val="center"/>
          </w:tcPr>
          <w:p w14:paraId="4D25EC0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bl>
    <w:p w14:paraId="397C15B0">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794FCC6E">
      <w:pPr>
        <w:pStyle w:val="12"/>
        <w:rPr>
          <w:rFonts w:hint="eastAsia" w:ascii="仿宋" w:hAnsi="仿宋" w:eastAsia="仿宋"/>
          <w:sz w:val="21"/>
          <w:szCs w:val="21"/>
          <w:lang w:val="en-US" w:eastAsia="zh-CN"/>
        </w:rPr>
      </w:pPr>
    </w:p>
    <w:p w14:paraId="4B6E0502">
      <w:pPr>
        <w:pStyle w:val="12"/>
        <w:rPr>
          <w:rFonts w:hint="eastAsia" w:ascii="黑体" w:hAnsi="黑体" w:eastAsia="黑体" w:cs="黑体"/>
          <w:sz w:val="28"/>
          <w:szCs w:val="28"/>
          <w:lang w:val="en-US" w:eastAsia="zh-CN"/>
        </w:rPr>
        <w:sectPr>
          <w:pgSz w:w="16838" w:h="11906" w:orient="landscape"/>
          <w:pgMar w:top="1800" w:right="1440" w:bottom="1800" w:left="1440" w:header="851" w:footer="992" w:gutter="0"/>
          <w:cols w:space="425" w:num="1"/>
          <w:docGrid w:type="lines" w:linePitch="312" w:charSpace="0"/>
        </w:sectPr>
      </w:pPr>
    </w:p>
    <w:p w14:paraId="3588BE1A">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四、公司质控检测服务能力</w:t>
      </w:r>
    </w:p>
    <w:p w14:paraId="509BD806">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（一）是否具备以下设备质控检测能力：</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130"/>
        <w:gridCol w:w="2130"/>
        <w:gridCol w:w="2131"/>
        <w:gridCol w:w="2131"/>
      </w:tblGrid>
      <w:tr w14:paraId="1BE5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130" w:type="dxa"/>
          </w:tcPr>
          <w:p w14:paraId="0D8534DE">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呼吸机</w:t>
            </w:r>
          </w:p>
        </w:tc>
        <w:tc>
          <w:tcPr>
            <w:tcW w:w="2130" w:type="dxa"/>
          </w:tcPr>
          <w:p w14:paraId="16A55990">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麻醉机</w:t>
            </w:r>
          </w:p>
        </w:tc>
        <w:tc>
          <w:tcPr>
            <w:tcW w:w="2131" w:type="dxa"/>
          </w:tcPr>
          <w:p w14:paraId="7F23754C">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除颤仪</w:t>
            </w:r>
          </w:p>
        </w:tc>
        <w:tc>
          <w:tcPr>
            <w:tcW w:w="2131" w:type="dxa"/>
          </w:tcPr>
          <w:p w14:paraId="57DE6434">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监护仪</w:t>
            </w:r>
          </w:p>
        </w:tc>
      </w:tr>
      <w:tr w14:paraId="1CD9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130" w:type="dxa"/>
          </w:tcPr>
          <w:p w14:paraId="06F89954">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高频电刀</w:t>
            </w:r>
          </w:p>
        </w:tc>
        <w:tc>
          <w:tcPr>
            <w:tcW w:w="2130" w:type="dxa"/>
          </w:tcPr>
          <w:p w14:paraId="4373090B">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输液泵</w:t>
            </w:r>
          </w:p>
        </w:tc>
        <w:tc>
          <w:tcPr>
            <w:tcW w:w="2131" w:type="dxa"/>
          </w:tcPr>
          <w:p w14:paraId="1755EF9E">
            <w:pPr>
              <w:rPr>
                <w:rFonts w:hint="eastAsia"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w:t>
            </w:r>
            <w:r>
              <w:rPr>
                <w:rFonts w:hint="default" w:ascii="方正楷体_GB2312" w:hAnsi="方正楷体_GB2312" w:eastAsia="方正楷体_GB2312" w:cs="方正楷体_GB2312"/>
                <w:sz w:val="28"/>
                <w:szCs w:val="28"/>
                <w:lang w:val="en-US" w:eastAsia="zh-CN"/>
              </w:rPr>
              <w:t>注射泵</w:t>
            </w:r>
          </w:p>
        </w:tc>
        <w:tc>
          <w:tcPr>
            <w:tcW w:w="2131" w:type="dxa"/>
          </w:tcPr>
          <w:p w14:paraId="550E2C30">
            <w:pPr>
              <w:rPr>
                <w:rFonts w:hint="eastAsia" w:ascii="仿宋" w:hAnsi="仿宋" w:eastAsia="仿宋"/>
                <w:sz w:val="22"/>
                <w:szCs w:val="22"/>
                <w:u w:val="none"/>
                <w:vertAlign w:val="baseline"/>
                <w:lang w:val="en-US" w:eastAsia="zh-CN"/>
              </w:rPr>
            </w:pPr>
          </w:p>
        </w:tc>
      </w:tr>
    </w:tbl>
    <w:p w14:paraId="08C6DAFB">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（具备相关能力的，请在</w:t>
      </w:r>
      <w:r>
        <w:rPr>
          <w:rFonts w:hint="eastAsia" w:ascii="仿宋" w:hAnsi="仿宋" w:eastAsia="仿宋"/>
          <w:sz w:val="22"/>
          <w:szCs w:val="22"/>
          <w:u w:val="none"/>
          <w:vertAlign w:val="baseline"/>
          <w:lang w:val="en-US" w:eastAsia="zh-CN"/>
        </w:rPr>
        <w:t>□内打√</w:t>
      </w:r>
      <w:r>
        <w:rPr>
          <w:rFonts w:hint="eastAsia" w:ascii="仿宋" w:hAnsi="仿宋" w:eastAsia="仿宋"/>
          <w:sz w:val="21"/>
          <w:szCs w:val="21"/>
          <w:lang w:val="en-US" w:eastAsia="zh-CN"/>
        </w:rPr>
        <w:t>）</w:t>
      </w:r>
    </w:p>
    <w:p w14:paraId="682A8FC0">
      <w:pPr>
        <w:pStyle w:val="12"/>
        <w:rPr>
          <w:rFonts w:hint="eastAsia" w:ascii="仿宋" w:hAnsi="仿宋" w:eastAsia="仿宋"/>
          <w:sz w:val="21"/>
          <w:szCs w:val="21"/>
          <w:lang w:val="en-US" w:eastAsia="zh-CN"/>
        </w:rPr>
      </w:pPr>
    </w:p>
    <w:p w14:paraId="0CF30077">
      <w:pPr>
        <w:rPr>
          <w:rFonts w:hint="eastAsia" w:ascii="方正楷体_GB2312" w:hAnsi="方正楷体_GB2312" w:eastAsia="方正楷体_GB2312" w:cs="方正楷体_GB2312"/>
          <w:sz w:val="28"/>
          <w:szCs w:val="28"/>
          <w:u w:val="single"/>
          <w:lang w:val="en-US" w:eastAsia="zh-CN"/>
        </w:rPr>
      </w:pPr>
      <w:r>
        <w:rPr>
          <w:rFonts w:hint="eastAsia" w:ascii="方正楷体_GB2312" w:hAnsi="方正楷体_GB2312" w:eastAsia="方正楷体_GB2312" w:cs="方正楷体_GB2312"/>
          <w:sz w:val="28"/>
          <w:szCs w:val="28"/>
          <w:lang w:val="en-US" w:eastAsia="zh-CN"/>
        </w:rPr>
        <w:t>（二）能否实现：所有计量类质控设备每年委托具备国家认定资质的机构完成校准，出具合法有效的校准证书，校准有效期覆盖设备使用全周期，能提供原始数据记录与相应的质控检测报告；</w:t>
      </w:r>
      <w:r>
        <w:rPr>
          <w:rFonts w:hint="eastAsia" w:ascii="仿宋" w:hAnsi="仿宋" w:eastAsia="仿宋"/>
          <w:sz w:val="22"/>
          <w:szCs w:val="22"/>
          <w:u w:val="none"/>
          <w:vertAlign w:val="baseline"/>
          <w:lang w:val="en-US" w:eastAsia="zh-CN"/>
        </w:rPr>
        <w:t>□</w:t>
      </w:r>
      <w:r>
        <w:rPr>
          <w:rFonts w:hint="eastAsia" w:ascii="方正楷体_GB2312" w:hAnsi="方正楷体_GB2312" w:eastAsia="方正楷体_GB2312" w:cs="方正楷体_GB2312"/>
          <w:sz w:val="28"/>
          <w:szCs w:val="28"/>
          <w:lang w:val="en-US" w:eastAsia="zh-CN"/>
        </w:rPr>
        <w:t xml:space="preserve">是  </w:t>
      </w:r>
      <w:r>
        <w:rPr>
          <w:rFonts w:hint="eastAsia" w:ascii="仿宋" w:hAnsi="仿宋" w:eastAsia="仿宋"/>
          <w:sz w:val="22"/>
          <w:szCs w:val="22"/>
          <w:u w:val="none"/>
          <w:vertAlign w:val="baseline"/>
          <w:lang w:val="en-US" w:eastAsia="zh-CN"/>
        </w:rPr>
        <w:t>□</w:t>
      </w:r>
      <w:r>
        <w:rPr>
          <w:rFonts w:hint="eastAsia" w:ascii="方正楷体_GB2312" w:hAnsi="方正楷体_GB2312" w:eastAsia="方正楷体_GB2312" w:cs="方正楷体_GB2312"/>
          <w:sz w:val="28"/>
          <w:szCs w:val="28"/>
          <w:lang w:val="en-US" w:eastAsia="zh-CN"/>
        </w:rPr>
        <w:t>否，若选择否，请说明原因：</w:t>
      </w:r>
      <w:r>
        <w:rPr>
          <w:rFonts w:hint="eastAsia" w:ascii="方正楷体_GB2312" w:hAnsi="方正楷体_GB2312" w:eastAsia="方正楷体_GB2312" w:cs="方正楷体_GB2312"/>
          <w:sz w:val="28"/>
          <w:szCs w:val="28"/>
          <w:u w:val="single"/>
          <w:lang w:val="en-US" w:eastAsia="zh-CN"/>
        </w:rPr>
        <w:t xml:space="preserve">                                        </w:t>
      </w:r>
    </w:p>
    <w:p w14:paraId="25E967FE">
      <w:pPr>
        <w:pStyle w:val="12"/>
        <w:rPr>
          <w:rFonts w:hint="eastAsia" w:ascii="仿宋" w:hAnsi="仿宋" w:eastAsia="仿宋"/>
          <w:sz w:val="21"/>
          <w:szCs w:val="21"/>
          <w:lang w:val="en-US" w:eastAsia="zh-CN"/>
        </w:rPr>
      </w:pPr>
    </w:p>
    <w:p w14:paraId="223B2CB3">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五、公司同类项目业绩情况</w:t>
      </w:r>
    </w:p>
    <w:p w14:paraId="25C5056E">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（一）请提供贵司自2021年1月1日至今所完成的或正在实施的医疗设备运维及质控管理服务项目：</w:t>
      </w:r>
    </w:p>
    <w:tbl>
      <w:tblPr>
        <w:tblStyle w:val="10"/>
        <w:tblW w:w="8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92"/>
        <w:gridCol w:w="2453"/>
        <w:gridCol w:w="1658"/>
        <w:gridCol w:w="1266"/>
      </w:tblGrid>
      <w:tr w14:paraId="3E62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47EDBD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项目名称</w:t>
            </w:r>
          </w:p>
        </w:tc>
        <w:tc>
          <w:tcPr>
            <w:tcW w:w="1792" w:type="dxa"/>
            <w:vAlign w:val="center"/>
          </w:tcPr>
          <w:p w14:paraId="077585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业主单位名称</w:t>
            </w:r>
          </w:p>
        </w:tc>
        <w:tc>
          <w:tcPr>
            <w:tcW w:w="2453" w:type="dxa"/>
            <w:vAlign w:val="center"/>
          </w:tcPr>
          <w:p w14:paraId="30B133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服务内容</w:t>
            </w:r>
          </w:p>
        </w:tc>
        <w:tc>
          <w:tcPr>
            <w:tcW w:w="1658" w:type="dxa"/>
            <w:vAlign w:val="center"/>
          </w:tcPr>
          <w:p w14:paraId="54F578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合同签订时间（或中标时间）</w:t>
            </w:r>
          </w:p>
        </w:tc>
        <w:tc>
          <w:tcPr>
            <w:tcW w:w="1266" w:type="dxa"/>
            <w:vAlign w:val="center"/>
          </w:tcPr>
          <w:p w14:paraId="1F15E9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用户满意度评价情况</w:t>
            </w:r>
          </w:p>
        </w:tc>
      </w:tr>
      <w:tr w14:paraId="7349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7" w:type="dxa"/>
            <w:vAlign w:val="center"/>
          </w:tcPr>
          <w:p w14:paraId="1F7F6A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6713BC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208425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29873F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266" w:type="dxa"/>
            <w:vAlign w:val="center"/>
          </w:tcPr>
          <w:p w14:paraId="63009A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4FFB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1117E6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F4702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1D1338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121899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266" w:type="dxa"/>
            <w:vAlign w:val="center"/>
          </w:tcPr>
          <w:p w14:paraId="31ABA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18E2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224958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D5566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310435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12EDEA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266" w:type="dxa"/>
            <w:vAlign w:val="center"/>
          </w:tcPr>
          <w:p w14:paraId="269621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2E68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2736BE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578CC9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0CFD44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0386D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266" w:type="dxa"/>
            <w:vAlign w:val="center"/>
          </w:tcPr>
          <w:p w14:paraId="49DAC1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102BC0E1">
      <w:pPr>
        <w:pStyle w:val="12"/>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1A0514D1">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（二）请提供以上业绩合同复印件或中标通知书扫描件：</w:t>
      </w:r>
    </w:p>
    <w:p w14:paraId="55D7A8C1">
      <w:pPr>
        <w:rPr>
          <w:rFonts w:hint="eastAsia" w:ascii="方正楷体_GB2312" w:hAnsi="方正楷体_GB2312" w:eastAsia="方正楷体_GB2312" w:cs="方正楷体_GB2312"/>
          <w:sz w:val="28"/>
          <w:szCs w:val="28"/>
          <w:lang w:val="en-US" w:eastAsia="zh-CN"/>
        </w:rPr>
      </w:pPr>
    </w:p>
    <w:p w14:paraId="02615D5C">
      <w:pPr>
        <w:pStyle w:val="2"/>
        <w:rPr>
          <w:rFonts w:hint="eastAsia" w:ascii="方正楷体_GB2312" w:hAnsi="方正楷体_GB2312" w:eastAsia="方正楷体_GB2312" w:cs="方正楷体_GB2312"/>
          <w:sz w:val="28"/>
          <w:szCs w:val="28"/>
          <w:lang w:val="en-US" w:eastAsia="zh-CN"/>
        </w:rPr>
      </w:pPr>
    </w:p>
    <w:p w14:paraId="001D457A">
      <w:pPr>
        <w:jc w:val="left"/>
        <w:rPr>
          <w:rFonts w:hint="eastAsia" w:ascii="宋体" w:hAnsi="宋体" w:cs="宋体"/>
          <w:b/>
          <w:bCs/>
          <w:color w:val="3F3F3F"/>
          <w:kern w:val="0"/>
          <w:szCs w:val="21"/>
        </w:rPr>
      </w:pPr>
    </w:p>
    <w:p w14:paraId="18417530">
      <w:pPr>
        <w:pStyle w:val="1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六、请根据实际情况填写贵公司对本项目招标参数的响应情况</w:t>
      </w:r>
    </w:p>
    <w:p w14:paraId="5ACE6462">
      <w:pPr>
        <w:ind w:left="0" w:leftChars="0" w:firstLine="0" w:firstLineChars="0"/>
        <w:jc w:val="center"/>
        <w:rPr>
          <w:rFonts w:hint="eastAsia" w:ascii="仿宋" w:hAnsi="仿宋" w:eastAsia="仿宋" w:cs="仿宋"/>
          <w:b/>
          <w:bCs/>
          <w:color w:val="3F3F3F"/>
          <w:kern w:val="0"/>
          <w:szCs w:val="21"/>
        </w:rPr>
      </w:pPr>
      <w:r>
        <w:rPr>
          <w:rFonts w:hint="eastAsia" w:ascii="仿宋" w:hAnsi="仿宋" w:eastAsia="仿宋" w:cs="仿宋"/>
          <w:b/>
          <w:bCs/>
          <w:color w:val="3F3F3F"/>
          <w:kern w:val="0"/>
          <w:sz w:val="36"/>
          <w:szCs w:val="36"/>
          <w:lang w:val="en-US" w:eastAsia="zh-CN"/>
        </w:rPr>
        <w:t>招标</w:t>
      </w:r>
      <w:r>
        <w:rPr>
          <w:rFonts w:hint="eastAsia" w:ascii="仿宋" w:hAnsi="仿宋" w:eastAsia="仿宋" w:cs="仿宋"/>
          <w:b/>
          <w:bCs/>
          <w:color w:val="3F3F3F"/>
          <w:kern w:val="0"/>
          <w:sz w:val="36"/>
          <w:szCs w:val="36"/>
        </w:rPr>
        <w:t>参数列表</w:t>
      </w:r>
    </w:p>
    <w:tbl>
      <w:tblPr>
        <w:tblStyle w:val="9"/>
        <w:tblW w:w="8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1"/>
        <w:gridCol w:w="1699"/>
      </w:tblGrid>
      <w:tr w14:paraId="3CFD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blHeader/>
          <w:jc w:val="center"/>
        </w:trPr>
        <w:tc>
          <w:tcPr>
            <w:tcW w:w="6561" w:type="dxa"/>
            <w:tcBorders>
              <w:top w:val="single" w:color="auto" w:sz="4" w:space="0"/>
              <w:left w:val="single" w:color="auto" w:sz="4" w:space="0"/>
              <w:bottom w:val="single" w:color="auto" w:sz="4" w:space="0"/>
              <w:right w:val="single" w:color="auto" w:sz="4" w:space="0"/>
            </w:tcBorders>
            <w:vAlign w:val="center"/>
          </w:tcPr>
          <w:p w14:paraId="258578A2">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rPr>
              <w:t>需求</w:t>
            </w:r>
          </w:p>
        </w:tc>
        <w:tc>
          <w:tcPr>
            <w:tcW w:w="1699" w:type="dxa"/>
            <w:tcBorders>
              <w:top w:val="single" w:color="auto" w:sz="4" w:space="0"/>
              <w:left w:val="single" w:color="auto" w:sz="4" w:space="0"/>
              <w:bottom w:val="single" w:color="auto" w:sz="4" w:space="0"/>
              <w:right w:val="single" w:color="auto" w:sz="4" w:space="0"/>
            </w:tcBorders>
            <w:vAlign w:val="center"/>
          </w:tcPr>
          <w:p w14:paraId="06D9333F">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lang w:eastAsia="zh-CN"/>
              </w:rPr>
              <w:t>是否</w:t>
            </w:r>
            <w:r>
              <w:rPr>
                <w:rFonts w:hint="eastAsia" w:ascii="仿宋" w:hAnsi="仿宋" w:eastAsia="仿宋" w:cs="仿宋"/>
                <w:b/>
                <w:bCs/>
                <w:color w:val="3F3F3F"/>
                <w:kern w:val="0"/>
                <w:sz w:val="22"/>
                <w:lang w:val="en-US" w:eastAsia="zh-CN"/>
              </w:rPr>
              <w:t>能完全响应</w:t>
            </w:r>
            <w:r>
              <w:rPr>
                <w:rFonts w:hint="eastAsia" w:ascii="仿宋" w:hAnsi="仿宋" w:eastAsia="仿宋" w:cs="仿宋"/>
                <w:b/>
                <w:bCs/>
                <w:color w:val="3F3F3F"/>
                <w:kern w:val="0"/>
                <w:sz w:val="22"/>
                <w:lang w:eastAsia="zh-CN"/>
              </w:rPr>
              <w:t>（若</w:t>
            </w:r>
            <w:r>
              <w:rPr>
                <w:rFonts w:hint="eastAsia" w:ascii="仿宋" w:hAnsi="仿宋" w:eastAsia="仿宋" w:cs="仿宋"/>
                <w:b/>
                <w:bCs/>
                <w:color w:val="3F3F3F"/>
                <w:kern w:val="0"/>
                <w:sz w:val="22"/>
                <w:lang w:val="en-US" w:eastAsia="zh-CN"/>
              </w:rPr>
              <w:t>有修改意见</w:t>
            </w:r>
            <w:r>
              <w:rPr>
                <w:rFonts w:hint="eastAsia" w:ascii="仿宋" w:hAnsi="仿宋" w:eastAsia="仿宋" w:cs="仿宋"/>
                <w:b/>
                <w:bCs/>
                <w:color w:val="3F3F3F"/>
                <w:kern w:val="0"/>
                <w:sz w:val="22"/>
                <w:lang w:eastAsia="zh-CN"/>
              </w:rPr>
              <w:t>，请在</w:t>
            </w:r>
            <w:r>
              <w:rPr>
                <w:rFonts w:hint="eastAsia" w:ascii="仿宋" w:hAnsi="仿宋" w:eastAsia="仿宋" w:cs="仿宋"/>
                <w:b/>
                <w:bCs/>
                <w:color w:val="3F3F3F"/>
                <w:kern w:val="0"/>
                <w:sz w:val="22"/>
                <w:lang w:val="en-US" w:eastAsia="zh-CN"/>
              </w:rPr>
              <w:t>此列</w:t>
            </w:r>
            <w:r>
              <w:rPr>
                <w:rFonts w:hint="eastAsia" w:ascii="仿宋" w:hAnsi="仿宋" w:eastAsia="仿宋" w:cs="仿宋"/>
                <w:b/>
                <w:bCs/>
                <w:color w:val="3F3F3F"/>
                <w:kern w:val="0"/>
                <w:sz w:val="22"/>
                <w:lang w:eastAsia="zh-CN"/>
              </w:rPr>
              <w:t>填写）</w:t>
            </w:r>
          </w:p>
        </w:tc>
      </w:tr>
      <w:tr w14:paraId="0B66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D0B67AF">
            <w:pPr>
              <w:keepNext w:val="0"/>
              <w:keepLines w:val="0"/>
              <w:widowControl/>
              <w:suppressLineNumbers w:val="0"/>
              <w:ind w:left="0" w:leftChars="0" w:firstLine="0" w:firstLineChars="0"/>
              <w:jc w:val="both"/>
              <w:textAlignment w:val="top"/>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b/>
                <w:bCs/>
                <w:i w:val="0"/>
                <w:iCs w:val="0"/>
                <w:color w:val="000000"/>
                <w:kern w:val="0"/>
                <w:sz w:val="24"/>
                <w:szCs w:val="24"/>
                <w:u w:val="none"/>
                <w:lang w:val="en-US" w:eastAsia="zh-CN" w:bidi="ar"/>
              </w:rPr>
              <w:t>（一）本项目的主要工作内容</w:t>
            </w:r>
          </w:p>
        </w:tc>
        <w:tc>
          <w:tcPr>
            <w:tcW w:w="1699" w:type="dxa"/>
            <w:tcBorders>
              <w:top w:val="single" w:color="auto" w:sz="4" w:space="0"/>
              <w:left w:val="single" w:color="auto" w:sz="4" w:space="0"/>
              <w:bottom w:val="single" w:color="auto" w:sz="4" w:space="0"/>
              <w:right w:val="single" w:color="auto" w:sz="4" w:space="0"/>
            </w:tcBorders>
            <w:vAlign w:val="center"/>
          </w:tcPr>
          <w:p w14:paraId="658B85E7">
            <w:pPr>
              <w:ind w:left="0" w:leftChars="0" w:firstLine="0" w:firstLineChars="0"/>
              <w:rPr>
                <w:rFonts w:hint="eastAsia" w:ascii="仿宋" w:hAnsi="仿宋" w:eastAsia="仿宋" w:cs="仿宋"/>
                <w:b/>
                <w:bCs/>
                <w:color w:val="auto"/>
                <w:sz w:val="22"/>
                <w:szCs w:val="22"/>
                <w:highlight w:val="none"/>
                <w:lang w:val="en-US" w:eastAsia="zh-CN"/>
              </w:rPr>
            </w:pPr>
          </w:p>
        </w:tc>
      </w:tr>
      <w:tr w14:paraId="76D8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3C44269">
            <w:pPr>
              <w:keepNext w:val="0"/>
              <w:keepLines w:val="0"/>
              <w:widowControl/>
              <w:suppressLineNumbers w:val="0"/>
              <w:ind w:left="0" w:leftChars="0" w:firstLine="0" w:firstLineChars="0"/>
              <w:jc w:val="left"/>
              <w:textAlignment w:val="top"/>
              <w:rPr>
                <w:rFonts w:hint="eastAsia" w:ascii="仿宋" w:hAnsi="仿宋" w:eastAsia="仿宋" w:cs="仿宋"/>
                <w:color w:val="000000" w:themeColor="text1"/>
                <w:kern w:val="2"/>
                <w:sz w:val="22"/>
                <w:szCs w:val="22"/>
                <w:lang w:val="en-US" w:eastAsia="zh-CN" w:bidi="ar-SA"/>
                <w14:textFill>
                  <w14:solidFill>
                    <w14:schemeClr w14:val="tx1"/>
                  </w14:solidFill>
                </w14:textFill>
              </w:rPr>
            </w:pPr>
            <w:r>
              <w:rPr>
                <w:rFonts w:hint="eastAsia" w:ascii="仿宋" w:hAnsi="仿宋" w:eastAsia="仿宋" w:cs="仿宋"/>
                <w:i w:val="0"/>
                <w:iCs w:val="0"/>
                <w:color w:val="000000"/>
                <w:kern w:val="0"/>
                <w:sz w:val="24"/>
                <w:szCs w:val="24"/>
                <w:u w:val="none"/>
                <w:lang w:val="en-US" w:eastAsia="zh-CN" w:bidi="ar"/>
              </w:rPr>
              <w:t>1.提供经验丰富、具备采购人特定设备维修维护资质的技术人员团队，为采购人提供医用设备的日常维修和定期巡检、保养、质控等服务,配合采购人完成全年度全院管理范围内的医疗设备和医疗器械全方位的全生命周期的安装、验收、培训、日常管理、维修、保养、巡检、调配、计量和特种设备检定检测送检、报废各项服务工作；</w:t>
            </w:r>
          </w:p>
        </w:tc>
        <w:tc>
          <w:tcPr>
            <w:tcW w:w="1699" w:type="dxa"/>
            <w:tcBorders>
              <w:top w:val="single" w:color="auto" w:sz="4" w:space="0"/>
              <w:left w:val="single" w:color="auto" w:sz="4" w:space="0"/>
              <w:bottom w:val="single" w:color="auto" w:sz="4" w:space="0"/>
              <w:right w:val="single" w:color="auto" w:sz="4" w:space="0"/>
            </w:tcBorders>
            <w:vAlign w:val="center"/>
          </w:tcPr>
          <w:p w14:paraId="167294D0">
            <w:pPr>
              <w:ind w:firstLine="440" w:firstLineChars="200"/>
              <w:rPr>
                <w:rFonts w:hint="eastAsia" w:ascii="仿宋" w:hAnsi="仿宋" w:eastAsia="仿宋" w:cs="仿宋"/>
                <w:color w:val="auto"/>
                <w:sz w:val="22"/>
                <w:szCs w:val="22"/>
                <w:lang w:val="en-US" w:eastAsia="zh-CN"/>
              </w:rPr>
            </w:pPr>
          </w:p>
        </w:tc>
      </w:tr>
      <w:tr w14:paraId="6224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F747E36">
            <w:pPr>
              <w:keepNext w:val="0"/>
              <w:keepLines w:val="0"/>
              <w:widowControl/>
              <w:suppressLineNumbers w:val="0"/>
              <w:ind w:left="0" w:leftChars="0" w:firstLine="0" w:firstLineChars="0"/>
              <w:jc w:val="left"/>
              <w:textAlignment w:val="top"/>
              <w:rPr>
                <w:rFonts w:hint="eastAsia" w:ascii="仿宋" w:hAnsi="仿宋" w:eastAsia="仿宋" w:cs="仿宋"/>
                <w:color w:val="000000" w:themeColor="text1"/>
                <w:kern w:val="2"/>
                <w:sz w:val="22"/>
                <w:szCs w:val="22"/>
                <w:lang w:val="en-US" w:eastAsia="zh-CN" w:bidi="ar-SA"/>
                <w14:textFill>
                  <w14:solidFill>
                    <w14:schemeClr w14:val="tx1"/>
                  </w14:solidFill>
                </w14:textFill>
              </w:rPr>
            </w:pPr>
            <w:r>
              <w:rPr>
                <w:rFonts w:hint="eastAsia" w:ascii="仿宋" w:hAnsi="仿宋" w:eastAsia="仿宋" w:cs="仿宋"/>
                <w:i w:val="0"/>
                <w:iCs w:val="0"/>
                <w:color w:val="000000"/>
                <w:kern w:val="0"/>
                <w:sz w:val="24"/>
                <w:szCs w:val="24"/>
                <w:u w:val="none"/>
                <w:lang w:val="en-US" w:eastAsia="zh-CN" w:bidi="ar"/>
              </w:rPr>
              <w:t>2.对故障设备进行维修或通知维修，保障医疗设备正常运行；采购人现有医疗设备资产约15亿元。本项目以采购人的实际设备数据为准；</w:t>
            </w:r>
          </w:p>
        </w:tc>
        <w:tc>
          <w:tcPr>
            <w:tcW w:w="1699" w:type="dxa"/>
            <w:tcBorders>
              <w:top w:val="single" w:color="auto" w:sz="4" w:space="0"/>
              <w:left w:val="single" w:color="auto" w:sz="4" w:space="0"/>
              <w:bottom w:val="single" w:color="auto" w:sz="4" w:space="0"/>
              <w:right w:val="single" w:color="auto" w:sz="4" w:space="0"/>
            </w:tcBorders>
            <w:vAlign w:val="center"/>
          </w:tcPr>
          <w:p w14:paraId="17F8C228">
            <w:pPr>
              <w:ind w:firstLine="440" w:firstLineChars="200"/>
              <w:rPr>
                <w:rFonts w:hint="eastAsia" w:ascii="仿宋" w:hAnsi="仿宋" w:eastAsia="仿宋" w:cs="仿宋"/>
                <w:color w:val="auto"/>
                <w:sz w:val="22"/>
                <w:szCs w:val="22"/>
                <w:lang w:val="en-US" w:eastAsia="zh-CN"/>
              </w:rPr>
            </w:pPr>
          </w:p>
        </w:tc>
      </w:tr>
      <w:tr w14:paraId="6B22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D36CA37">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3.配合采购人接受各类检查、评比等事项（如三级复审、各级上级主管部门检查等）；项目实施中配合采购人的领导，完成采购人交办的其它与项目相关的事项。</w:t>
            </w:r>
          </w:p>
        </w:tc>
        <w:tc>
          <w:tcPr>
            <w:tcW w:w="1699" w:type="dxa"/>
            <w:tcBorders>
              <w:top w:val="single" w:color="auto" w:sz="4" w:space="0"/>
              <w:left w:val="single" w:color="auto" w:sz="4" w:space="0"/>
              <w:bottom w:val="single" w:color="auto" w:sz="4" w:space="0"/>
              <w:right w:val="single" w:color="auto" w:sz="4" w:space="0"/>
            </w:tcBorders>
            <w:vAlign w:val="center"/>
          </w:tcPr>
          <w:p w14:paraId="1A0E055C">
            <w:pPr>
              <w:ind w:firstLine="440" w:firstLineChars="200"/>
              <w:rPr>
                <w:rFonts w:hint="eastAsia" w:ascii="仿宋" w:hAnsi="仿宋" w:eastAsia="仿宋" w:cs="仿宋"/>
                <w:color w:val="auto"/>
                <w:sz w:val="22"/>
                <w:szCs w:val="22"/>
                <w:lang w:val="en-US" w:eastAsia="zh-CN"/>
              </w:rPr>
            </w:pPr>
          </w:p>
        </w:tc>
      </w:tr>
      <w:tr w14:paraId="749B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E896AF6">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（二）医疗设备维修能力要求</w:t>
            </w:r>
          </w:p>
        </w:tc>
        <w:tc>
          <w:tcPr>
            <w:tcW w:w="1699" w:type="dxa"/>
            <w:tcBorders>
              <w:top w:val="single" w:color="auto" w:sz="4" w:space="0"/>
              <w:left w:val="single" w:color="auto" w:sz="4" w:space="0"/>
              <w:bottom w:val="single" w:color="auto" w:sz="4" w:space="0"/>
              <w:right w:val="single" w:color="auto" w:sz="4" w:space="0"/>
            </w:tcBorders>
            <w:vAlign w:val="center"/>
          </w:tcPr>
          <w:p w14:paraId="6219F8CA">
            <w:pPr>
              <w:ind w:firstLine="440" w:firstLineChars="200"/>
              <w:rPr>
                <w:rFonts w:hint="eastAsia" w:ascii="仿宋" w:hAnsi="仿宋" w:eastAsia="仿宋" w:cs="仿宋"/>
                <w:color w:val="auto"/>
                <w:sz w:val="22"/>
                <w:szCs w:val="22"/>
                <w:lang w:val="en-US" w:eastAsia="zh-CN"/>
              </w:rPr>
            </w:pPr>
          </w:p>
        </w:tc>
      </w:tr>
      <w:tr w14:paraId="7D12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9EB79FC">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1.提供全年24小时*365天维修响应服务、现场维修或电话技术咨询，随时保持报修联系并对故障类型分类记录，及时排除及修复故障。</w:t>
            </w:r>
          </w:p>
        </w:tc>
        <w:tc>
          <w:tcPr>
            <w:tcW w:w="1699" w:type="dxa"/>
            <w:tcBorders>
              <w:top w:val="single" w:color="auto" w:sz="4" w:space="0"/>
              <w:left w:val="single" w:color="auto" w:sz="4" w:space="0"/>
              <w:bottom w:val="single" w:color="auto" w:sz="4" w:space="0"/>
              <w:right w:val="single" w:color="auto" w:sz="4" w:space="0"/>
            </w:tcBorders>
            <w:vAlign w:val="center"/>
          </w:tcPr>
          <w:p w14:paraId="26B88F0E">
            <w:pPr>
              <w:ind w:firstLine="440" w:firstLineChars="200"/>
              <w:rPr>
                <w:rFonts w:hint="eastAsia" w:ascii="仿宋" w:hAnsi="仿宋" w:eastAsia="仿宋" w:cs="仿宋"/>
                <w:color w:val="auto"/>
                <w:sz w:val="22"/>
                <w:szCs w:val="22"/>
                <w:lang w:val="en-US" w:eastAsia="zh-CN"/>
              </w:rPr>
            </w:pPr>
          </w:p>
        </w:tc>
      </w:tr>
      <w:tr w14:paraId="704E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08424A2">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2.维修响应：当医疗设备出现故障时，应在收到通知后即时响应，根据设备故障紧急程度要求工程师到达服务现场，设备故障且无替代大型设备及急救类设备，需15分钟内到达；其它非紧急类设备需30分钟内到达；</w:t>
            </w:r>
          </w:p>
        </w:tc>
        <w:tc>
          <w:tcPr>
            <w:tcW w:w="1699" w:type="dxa"/>
            <w:tcBorders>
              <w:top w:val="single" w:color="auto" w:sz="4" w:space="0"/>
              <w:left w:val="single" w:color="auto" w:sz="4" w:space="0"/>
              <w:bottom w:val="single" w:color="auto" w:sz="4" w:space="0"/>
              <w:right w:val="single" w:color="auto" w:sz="4" w:space="0"/>
            </w:tcBorders>
            <w:vAlign w:val="center"/>
          </w:tcPr>
          <w:p w14:paraId="65776C1A">
            <w:pPr>
              <w:ind w:firstLine="440" w:firstLineChars="200"/>
              <w:rPr>
                <w:rFonts w:hint="eastAsia" w:ascii="仿宋" w:hAnsi="仿宋" w:eastAsia="仿宋" w:cs="仿宋"/>
                <w:color w:val="auto"/>
                <w:sz w:val="22"/>
                <w:szCs w:val="22"/>
                <w:lang w:val="en-US" w:eastAsia="zh-CN"/>
              </w:rPr>
            </w:pPr>
          </w:p>
        </w:tc>
      </w:tr>
      <w:tr w14:paraId="6EE3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BC961CD">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中标人每季度向采购人提交设备维护维修状况分析报告，每台次设备维修时，应详细记录故障现象、原因分析、处理方案、配件更换情况等，协助采购人相关科室规范医疗设备的使用，对医疗设备使用不当的，提出整改措施，报经采购人审定备案后实施；</w:t>
            </w:r>
          </w:p>
        </w:tc>
        <w:tc>
          <w:tcPr>
            <w:tcW w:w="1699" w:type="dxa"/>
            <w:tcBorders>
              <w:top w:val="single" w:color="auto" w:sz="4" w:space="0"/>
              <w:left w:val="single" w:color="auto" w:sz="4" w:space="0"/>
              <w:bottom w:val="single" w:color="auto" w:sz="4" w:space="0"/>
              <w:right w:val="single" w:color="auto" w:sz="4" w:space="0"/>
            </w:tcBorders>
            <w:vAlign w:val="center"/>
          </w:tcPr>
          <w:p w14:paraId="311388B8">
            <w:pPr>
              <w:ind w:firstLine="440" w:firstLineChars="200"/>
              <w:rPr>
                <w:rFonts w:hint="eastAsia" w:ascii="仿宋" w:hAnsi="仿宋" w:eastAsia="仿宋" w:cs="仿宋"/>
                <w:color w:val="auto"/>
                <w:sz w:val="22"/>
                <w:szCs w:val="22"/>
                <w:lang w:val="en-US" w:eastAsia="zh-CN"/>
              </w:rPr>
            </w:pPr>
          </w:p>
        </w:tc>
      </w:tr>
      <w:tr w14:paraId="4541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712592D">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4.中标人配合采购人需求建立设备维修档案，并装订成册，按季度向采购人医疗设备管理科室工作人员提交； </w:t>
            </w:r>
            <w:r>
              <w:rPr>
                <w:rStyle w:val="13"/>
                <w:lang w:val="en-US" w:eastAsia="zh-CN" w:bidi="ar"/>
              </w:rPr>
              <w:t xml:space="preserve">                              </w:t>
            </w:r>
          </w:p>
        </w:tc>
        <w:tc>
          <w:tcPr>
            <w:tcW w:w="1699" w:type="dxa"/>
            <w:tcBorders>
              <w:top w:val="single" w:color="auto" w:sz="4" w:space="0"/>
              <w:left w:val="single" w:color="auto" w:sz="4" w:space="0"/>
              <w:bottom w:val="single" w:color="auto" w:sz="4" w:space="0"/>
              <w:right w:val="single" w:color="auto" w:sz="4" w:space="0"/>
            </w:tcBorders>
            <w:vAlign w:val="center"/>
          </w:tcPr>
          <w:p w14:paraId="442DC02A">
            <w:pPr>
              <w:ind w:firstLine="440" w:firstLineChars="200"/>
              <w:rPr>
                <w:rFonts w:hint="eastAsia" w:ascii="仿宋" w:hAnsi="仿宋" w:eastAsia="仿宋" w:cs="仿宋"/>
                <w:color w:val="auto"/>
                <w:sz w:val="22"/>
                <w:szCs w:val="22"/>
                <w:lang w:val="en-US" w:eastAsia="zh-CN"/>
              </w:rPr>
            </w:pPr>
          </w:p>
        </w:tc>
      </w:tr>
      <w:tr w14:paraId="3D7F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110A82A">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5.中标人需保证各科室急救类、生命支持类设备始终保持在待用状态，设备完好率100%（采购人维修审批流程等原因除外），保证合同期内设备每年的平均开机率均在95%以上 (即每年停机时间小于18天) ，对设备的完好情况和使用情况进行监管，每季度向采购人提供急救类、生命支持类设备的日常维护保养情况分析报告；</w:t>
            </w:r>
          </w:p>
        </w:tc>
        <w:tc>
          <w:tcPr>
            <w:tcW w:w="1699" w:type="dxa"/>
            <w:tcBorders>
              <w:top w:val="single" w:color="auto" w:sz="4" w:space="0"/>
              <w:left w:val="single" w:color="auto" w:sz="4" w:space="0"/>
              <w:bottom w:val="single" w:color="auto" w:sz="4" w:space="0"/>
              <w:right w:val="single" w:color="auto" w:sz="4" w:space="0"/>
            </w:tcBorders>
            <w:vAlign w:val="center"/>
          </w:tcPr>
          <w:p w14:paraId="239A6333">
            <w:pPr>
              <w:ind w:firstLine="440" w:firstLineChars="200"/>
              <w:rPr>
                <w:rFonts w:hint="eastAsia" w:ascii="仿宋" w:hAnsi="仿宋" w:eastAsia="仿宋" w:cs="仿宋"/>
                <w:color w:val="auto"/>
                <w:sz w:val="22"/>
                <w:szCs w:val="22"/>
                <w:lang w:val="en-US" w:eastAsia="zh-CN"/>
              </w:rPr>
            </w:pPr>
          </w:p>
        </w:tc>
      </w:tr>
      <w:tr w14:paraId="627A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2F15B40">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医疗设备的报废：对到达报废条件，采购人要求报废的设备；或使用多年或已经停产的设备，厂家都无法提供配件，使用科室所提交申请的报废设备，需提供初步建议，交由采购人依据医院管理制度评估后执行；</w:t>
            </w:r>
          </w:p>
        </w:tc>
        <w:tc>
          <w:tcPr>
            <w:tcW w:w="1699" w:type="dxa"/>
            <w:tcBorders>
              <w:top w:val="single" w:color="auto" w:sz="4" w:space="0"/>
              <w:left w:val="single" w:color="auto" w:sz="4" w:space="0"/>
              <w:bottom w:val="single" w:color="auto" w:sz="4" w:space="0"/>
              <w:right w:val="single" w:color="auto" w:sz="4" w:space="0"/>
            </w:tcBorders>
            <w:vAlign w:val="center"/>
          </w:tcPr>
          <w:p w14:paraId="182EE8D2">
            <w:pPr>
              <w:ind w:firstLine="440" w:firstLineChars="200"/>
              <w:rPr>
                <w:rFonts w:hint="eastAsia" w:ascii="仿宋" w:hAnsi="仿宋" w:eastAsia="仿宋" w:cs="仿宋"/>
                <w:color w:val="auto"/>
                <w:sz w:val="22"/>
                <w:szCs w:val="22"/>
                <w:lang w:val="en-US" w:eastAsia="zh-CN"/>
              </w:rPr>
            </w:pPr>
          </w:p>
        </w:tc>
      </w:tr>
      <w:tr w14:paraId="49F3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BB11CF5">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7.维修过程如有损坏中标人需负责，临近合同期满时报修的设备需配合采购人及时完成维修；</w:t>
            </w:r>
          </w:p>
        </w:tc>
        <w:tc>
          <w:tcPr>
            <w:tcW w:w="1699" w:type="dxa"/>
            <w:tcBorders>
              <w:top w:val="single" w:color="auto" w:sz="4" w:space="0"/>
              <w:left w:val="single" w:color="auto" w:sz="4" w:space="0"/>
              <w:bottom w:val="single" w:color="auto" w:sz="4" w:space="0"/>
              <w:right w:val="single" w:color="auto" w:sz="4" w:space="0"/>
            </w:tcBorders>
            <w:vAlign w:val="center"/>
          </w:tcPr>
          <w:p w14:paraId="22C44098">
            <w:pPr>
              <w:ind w:firstLine="440" w:firstLineChars="200"/>
              <w:rPr>
                <w:rFonts w:hint="eastAsia" w:ascii="仿宋" w:hAnsi="仿宋" w:eastAsia="仿宋" w:cs="仿宋"/>
                <w:color w:val="auto"/>
                <w:sz w:val="22"/>
                <w:szCs w:val="22"/>
                <w:lang w:val="en-US" w:eastAsia="zh-CN"/>
              </w:rPr>
            </w:pPr>
          </w:p>
        </w:tc>
      </w:tr>
      <w:tr w14:paraId="1875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F7874B3">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8.中标人负责采购人设备维修响应，还需协助采购人对医疗设备寄送、接收，配合厂家对质保期内医疗设备的故障远程排查，相关费用由采购人承担；</w:t>
            </w:r>
          </w:p>
        </w:tc>
        <w:tc>
          <w:tcPr>
            <w:tcW w:w="1699" w:type="dxa"/>
            <w:tcBorders>
              <w:top w:val="single" w:color="auto" w:sz="4" w:space="0"/>
              <w:left w:val="single" w:color="auto" w:sz="4" w:space="0"/>
              <w:bottom w:val="single" w:color="auto" w:sz="4" w:space="0"/>
              <w:right w:val="single" w:color="auto" w:sz="4" w:space="0"/>
            </w:tcBorders>
            <w:vAlign w:val="center"/>
          </w:tcPr>
          <w:p w14:paraId="54020D9A">
            <w:pPr>
              <w:ind w:firstLine="440" w:firstLineChars="200"/>
              <w:rPr>
                <w:rFonts w:hint="eastAsia" w:ascii="仿宋" w:hAnsi="仿宋" w:eastAsia="仿宋" w:cs="仿宋"/>
                <w:color w:val="auto"/>
                <w:sz w:val="22"/>
                <w:szCs w:val="22"/>
                <w:lang w:val="en-US" w:eastAsia="zh-CN"/>
              </w:rPr>
            </w:pPr>
          </w:p>
        </w:tc>
      </w:tr>
      <w:tr w14:paraId="1396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1DFD1DA">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9.配合采购人按指定系统报修，维修调度；日常新购设备资料的系统录入、标签制作、粘贴；买保合同、维修事件跟进监督。 </w:t>
            </w:r>
            <w:r>
              <w:rPr>
                <w:rStyle w:val="13"/>
                <w:lang w:val="en-US" w:eastAsia="zh-CN" w:bidi="ar"/>
              </w:rPr>
              <w:t xml:space="preserve"> </w:t>
            </w:r>
          </w:p>
        </w:tc>
        <w:tc>
          <w:tcPr>
            <w:tcW w:w="1699" w:type="dxa"/>
            <w:tcBorders>
              <w:top w:val="single" w:color="auto" w:sz="4" w:space="0"/>
              <w:left w:val="single" w:color="auto" w:sz="4" w:space="0"/>
              <w:bottom w:val="single" w:color="auto" w:sz="4" w:space="0"/>
              <w:right w:val="single" w:color="auto" w:sz="4" w:space="0"/>
            </w:tcBorders>
            <w:vAlign w:val="center"/>
          </w:tcPr>
          <w:p w14:paraId="43C68073">
            <w:pPr>
              <w:ind w:firstLine="440" w:firstLineChars="200"/>
              <w:rPr>
                <w:rFonts w:hint="eastAsia" w:ascii="仿宋" w:hAnsi="仿宋" w:eastAsia="仿宋" w:cs="仿宋"/>
                <w:color w:val="auto"/>
                <w:sz w:val="22"/>
                <w:szCs w:val="22"/>
                <w:lang w:val="en-US" w:eastAsia="zh-CN"/>
              </w:rPr>
            </w:pPr>
          </w:p>
        </w:tc>
      </w:tr>
      <w:tr w14:paraId="312A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7AAB78C">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中标人需保证设备维修时效性，设备小修（不更换配件、不外寄、无需厂家上门检测等）1个工作日内完成，如遇特殊情况（配件采购、外寄维修、等待厂家上门检测等）无法按期完成，需及时向临床科室和设备科说明情况。</w:t>
            </w:r>
          </w:p>
        </w:tc>
        <w:tc>
          <w:tcPr>
            <w:tcW w:w="1699" w:type="dxa"/>
            <w:tcBorders>
              <w:top w:val="single" w:color="auto" w:sz="4" w:space="0"/>
              <w:left w:val="single" w:color="auto" w:sz="4" w:space="0"/>
              <w:bottom w:val="single" w:color="auto" w:sz="4" w:space="0"/>
              <w:right w:val="single" w:color="auto" w:sz="4" w:space="0"/>
            </w:tcBorders>
            <w:vAlign w:val="center"/>
          </w:tcPr>
          <w:p w14:paraId="3ADA8005">
            <w:pPr>
              <w:ind w:firstLine="440" w:firstLineChars="200"/>
              <w:rPr>
                <w:rFonts w:hint="eastAsia" w:ascii="仿宋" w:hAnsi="仿宋" w:eastAsia="仿宋" w:cs="仿宋"/>
                <w:color w:val="auto"/>
                <w:sz w:val="22"/>
                <w:szCs w:val="22"/>
                <w:lang w:val="en-US" w:eastAsia="zh-CN"/>
              </w:rPr>
            </w:pPr>
          </w:p>
        </w:tc>
      </w:tr>
      <w:tr w14:paraId="0918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91CFE56">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11、服务期内，中标人如发生人身伤亡、财物或其他损失，无论何种原因所致，采购人均不负责；</w:t>
            </w:r>
          </w:p>
        </w:tc>
        <w:tc>
          <w:tcPr>
            <w:tcW w:w="1699" w:type="dxa"/>
            <w:tcBorders>
              <w:top w:val="single" w:color="auto" w:sz="4" w:space="0"/>
              <w:left w:val="single" w:color="auto" w:sz="4" w:space="0"/>
              <w:bottom w:val="single" w:color="auto" w:sz="4" w:space="0"/>
              <w:right w:val="single" w:color="auto" w:sz="4" w:space="0"/>
            </w:tcBorders>
            <w:vAlign w:val="center"/>
          </w:tcPr>
          <w:p w14:paraId="1E97019B">
            <w:pPr>
              <w:ind w:firstLine="440" w:firstLineChars="200"/>
              <w:rPr>
                <w:rFonts w:hint="eastAsia" w:ascii="仿宋" w:hAnsi="仿宋" w:eastAsia="仿宋" w:cs="仿宋"/>
                <w:color w:val="auto"/>
                <w:sz w:val="22"/>
                <w:szCs w:val="22"/>
                <w:lang w:val="en-US" w:eastAsia="zh-CN"/>
              </w:rPr>
            </w:pPr>
          </w:p>
        </w:tc>
      </w:tr>
      <w:tr w14:paraId="5B4B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A9BB5F8">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12、参数调校；机械部件紧固，外壳矫正；操作指引，使用培训；线路扎捆，整理；设备调配；电池充电；冰箱（超低温冰箱）除霜、除尘；</w:t>
            </w:r>
          </w:p>
        </w:tc>
        <w:tc>
          <w:tcPr>
            <w:tcW w:w="1699" w:type="dxa"/>
            <w:tcBorders>
              <w:top w:val="single" w:color="auto" w:sz="4" w:space="0"/>
              <w:left w:val="single" w:color="auto" w:sz="4" w:space="0"/>
              <w:bottom w:val="single" w:color="auto" w:sz="4" w:space="0"/>
              <w:right w:val="single" w:color="auto" w:sz="4" w:space="0"/>
            </w:tcBorders>
            <w:vAlign w:val="center"/>
          </w:tcPr>
          <w:p w14:paraId="401BF88E">
            <w:pPr>
              <w:ind w:firstLine="440" w:firstLineChars="200"/>
              <w:rPr>
                <w:rFonts w:hint="eastAsia" w:ascii="仿宋" w:hAnsi="仿宋" w:eastAsia="仿宋" w:cs="仿宋"/>
                <w:color w:val="auto"/>
                <w:sz w:val="22"/>
                <w:szCs w:val="22"/>
                <w:lang w:val="en-US" w:eastAsia="zh-CN"/>
              </w:rPr>
            </w:pPr>
          </w:p>
        </w:tc>
      </w:tr>
      <w:tr w14:paraId="26D0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02735A9">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13、配合其他部门维修响应；医疗设备寄送、接收；院外人员派工监督；医疗设备除尘、滤网清洁更换；医疗设备故障远程排查；更换备件；</w:t>
            </w:r>
          </w:p>
        </w:tc>
        <w:tc>
          <w:tcPr>
            <w:tcW w:w="1699" w:type="dxa"/>
            <w:tcBorders>
              <w:top w:val="single" w:color="auto" w:sz="4" w:space="0"/>
              <w:left w:val="single" w:color="auto" w:sz="4" w:space="0"/>
              <w:bottom w:val="single" w:color="auto" w:sz="4" w:space="0"/>
              <w:right w:val="single" w:color="auto" w:sz="4" w:space="0"/>
            </w:tcBorders>
            <w:vAlign w:val="center"/>
          </w:tcPr>
          <w:p w14:paraId="174BB567">
            <w:pPr>
              <w:ind w:firstLine="440" w:firstLineChars="200"/>
              <w:rPr>
                <w:rFonts w:hint="eastAsia" w:ascii="仿宋" w:hAnsi="仿宋" w:eastAsia="仿宋" w:cs="仿宋"/>
                <w:color w:val="auto"/>
                <w:sz w:val="22"/>
                <w:szCs w:val="22"/>
                <w:lang w:val="en-US" w:eastAsia="zh-CN"/>
              </w:rPr>
            </w:pPr>
          </w:p>
        </w:tc>
      </w:tr>
      <w:tr w14:paraId="7D58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B71FC50">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14、计量、特种设备安装拆卸，取送仪器；设备机械部分除锈、润滑；更换保险丝；接受系统报修，维修调度；日常新购设备资料的系统录入、标签制作、粘贴；买保合同、维修事件跟进监督；</w:t>
            </w:r>
          </w:p>
        </w:tc>
        <w:tc>
          <w:tcPr>
            <w:tcW w:w="1699" w:type="dxa"/>
            <w:tcBorders>
              <w:top w:val="single" w:color="auto" w:sz="4" w:space="0"/>
              <w:left w:val="single" w:color="auto" w:sz="4" w:space="0"/>
              <w:bottom w:val="single" w:color="auto" w:sz="4" w:space="0"/>
              <w:right w:val="single" w:color="auto" w:sz="4" w:space="0"/>
            </w:tcBorders>
            <w:vAlign w:val="center"/>
          </w:tcPr>
          <w:p w14:paraId="16EACFBF">
            <w:pPr>
              <w:ind w:firstLine="440" w:firstLineChars="200"/>
              <w:rPr>
                <w:rFonts w:hint="eastAsia" w:ascii="仿宋" w:hAnsi="仿宋" w:eastAsia="仿宋" w:cs="仿宋"/>
                <w:color w:val="auto"/>
                <w:sz w:val="22"/>
                <w:szCs w:val="22"/>
                <w:lang w:val="en-US" w:eastAsia="zh-CN"/>
              </w:rPr>
            </w:pPr>
          </w:p>
        </w:tc>
      </w:tr>
      <w:tr w14:paraId="469B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BAE363E">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15.维修人员与科室设备管理相关人员积极沟通，定期汇报设备维护情况；若有厂家或其他第三方公司对设备进行三级保养、维修更换配件等情况，需时刻跟进维护进度，并及时向科室反馈；</w:t>
            </w:r>
          </w:p>
        </w:tc>
        <w:tc>
          <w:tcPr>
            <w:tcW w:w="1699" w:type="dxa"/>
            <w:tcBorders>
              <w:top w:val="single" w:color="auto" w:sz="4" w:space="0"/>
              <w:left w:val="single" w:color="auto" w:sz="4" w:space="0"/>
              <w:bottom w:val="single" w:color="auto" w:sz="4" w:space="0"/>
              <w:right w:val="single" w:color="auto" w:sz="4" w:space="0"/>
            </w:tcBorders>
            <w:vAlign w:val="center"/>
          </w:tcPr>
          <w:p w14:paraId="08AC1F33">
            <w:pPr>
              <w:ind w:firstLine="440" w:firstLineChars="200"/>
              <w:rPr>
                <w:rFonts w:hint="eastAsia" w:ascii="仿宋" w:hAnsi="仿宋" w:eastAsia="仿宋" w:cs="仿宋"/>
                <w:color w:val="auto"/>
                <w:sz w:val="22"/>
                <w:szCs w:val="22"/>
                <w:lang w:val="en-US" w:eastAsia="zh-CN"/>
              </w:rPr>
            </w:pPr>
          </w:p>
        </w:tc>
      </w:tr>
      <w:tr w14:paraId="0092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19BC943">
            <w:pPr>
              <w:keepNext w:val="0"/>
              <w:keepLines w:val="0"/>
              <w:widowControl/>
              <w:suppressLineNumbers w:val="0"/>
              <w:ind w:left="0" w:leftChars="0" w:firstLine="0" w:firstLineChars="0"/>
              <w:jc w:val="left"/>
              <w:textAlignment w:val="top"/>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16.为维修保养服务协助以市场优惠价格采购相关零配件、备件等。对采购人现有和未来新增的全院医疗设备(无论是否出保)进行整体管理。</w:t>
            </w:r>
          </w:p>
        </w:tc>
        <w:tc>
          <w:tcPr>
            <w:tcW w:w="1699" w:type="dxa"/>
            <w:tcBorders>
              <w:top w:val="single" w:color="auto" w:sz="4" w:space="0"/>
              <w:left w:val="single" w:color="auto" w:sz="4" w:space="0"/>
              <w:bottom w:val="single" w:color="auto" w:sz="4" w:space="0"/>
              <w:right w:val="single" w:color="auto" w:sz="4" w:space="0"/>
            </w:tcBorders>
            <w:vAlign w:val="center"/>
          </w:tcPr>
          <w:p w14:paraId="2E38FE5E">
            <w:pPr>
              <w:ind w:firstLine="440" w:firstLineChars="200"/>
              <w:rPr>
                <w:rFonts w:hint="eastAsia" w:ascii="仿宋" w:hAnsi="仿宋" w:eastAsia="仿宋" w:cs="仿宋"/>
                <w:color w:val="auto"/>
                <w:sz w:val="22"/>
                <w:szCs w:val="22"/>
                <w:lang w:val="en-US" w:eastAsia="zh-CN"/>
              </w:rPr>
            </w:pPr>
          </w:p>
        </w:tc>
      </w:tr>
      <w:tr w14:paraId="5578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2E06ED7">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（三）保养巡检要求</w:t>
            </w:r>
          </w:p>
        </w:tc>
        <w:tc>
          <w:tcPr>
            <w:tcW w:w="1699" w:type="dxa"/>
            <w:tcBorders>
              <w:top w:val="single" w:color="auto" w:sz="4" w:space="0"/>
              <w:left w:val="single" w:color="auto" w:sz="4" w:space="0"/>
              <w:bottom w:val="single" w:color="auto" w:sz="4" w:space="0"/>
              <w:right w:val="single" w:color="auto" w:sz="4" w:space="0"/>
            </w:tcBorders>
            <w:vAlign w:val="center"/>
          </w:tcPr>
          <w:p w14:paraId="5D3F57D6">
            <w:pPr>
              <w:ind w:firstLine="440" w:firstLineChars="200"/>
              <w:rPr>
                <w:rFonts w:hint="eastAsia" w:ascii="仿宋" w:hAnsi="仿宋" w:eastAsia="仿宋" w:cs="仿宋"/>
                <w:color w:val="auto"/>
                <w:sz w:val="22"/>
                <w:szCs w:val="22"/>
                <w:lang w:val="en-US" w:eastAsia="zh-CN"/>
              </w:rPr>
            </w:pPr>
          </w:p>
        </w:tc>
      </w:tr>
      <w:tr w14:paraId="332C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7D80237">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1.针对各医疗设备的安全性、重要性、使用率、故障率, 根据设备厂家建议的维护保养周期和相关监督管理部门的要求 ，按风险等级科学合理安排保养周期，对全院医疗设备实行三级保养和风险评估管理，制定高中低风险台账，结合设备维修保养手册的要求，按照高风险每年4次，中风险每年2次、低风险每年1次的频率制订出详细的保养计划，经采购人设备管理部门审查后，安排专业工程师按计划执行，进行定期预防性维护及清理工作；</w:t>
            </w:r>
          </w:p>
        </w:tc>
        <w:tc>
          <w:tcPr>
            <w:tcW w:w="1699" w:type="dxa"/>
            <w:tcBorders>
              <w:top w:val="single" w:color="auto" w:sz="4" w:space="0"/>
              <w:left w:val="single" w:color="auto" w:sz="4" w:space="0"/>
              <w:bottom w:val="single" w:color="auto" w:sz="4" w:space="0"/>
              <w:right w:val="single" w:color="auto" w:sz="4" w:space="0"/>
            </w:tcBorders>
            <w:vAlign w:val="center"/>
          </w:tcPr>
          <w:p w14:paraId="633B5334">
            <w:pPr>
              <w:ind w:firstLine="440" w:firstLineChars="200"/>
              <w:rPr>
                <w:rFonts w:hint="eastAsia" w:ascii="仿宋" w:hAnsi="仿宋" w:eastAsia="仿宋" w:cs="仿宋"/>
                <w:color w:val="auto"/>
                <w:sz w:val="22"/>
                <w:szCs w:val="22"/>
                <w:lang w:val="en-US" w:eastAsia="zh-CN"/>
              </w:rPr>
            </w:pPr>
          </w:p>
        </w:tc>
      </w:tr>
      <w:tr w14:paraId="39CE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6CC600C">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2.巡检保养要求：按采购人要求对全院特种设备、大型设备、急救类设备每月巡检一次，所有巡检工作均需做好记录由使用科室、设备科、维保工程师签字；</w:t>
            </w:r>
          </w:p>
        </w:tc>
        <w:tc>
          <w:tcPr>
            <w:tcW w:w="1699" w:type="dxa"/>
            <w:tcBorders>
              <w:top w:val="single" w:color="auto" w:sz="4" w:space="0"/>
              <w:left w:val="single" w:color="auto" w:sz="4" w:space="0"/>
              <w:bottom w:val="single" w:color="auto" w:sz="4" w:space="0"/>
              <w:right w:val="single" w:color="auto" w:sz="4" w:space="0"/>
            </w:tcBorders>
            <w:vAlign w:val="center"/>
          </w:tcPr>
          <w:p w14:paraId="046A3BE5">
            <w:pPr>
              <w:ind w:firstLine="440" w:firstLineChars="200"/>
              <w:rPr>
                <w:rFonts w:hint="eastAsia" w:ascii="仿宋" w:hAnsi="仿宋" w:eastAsia="仿宋" w:cs="仿宋"/>
                <w:color w:val="auto"/>
                <w:sz w:val="22"/>
                <w:szCs w:val="22"/>
                <w:lang w:val="en-US" w:eastAsia="zh-CN"/>
              </w:rPr>
            </w:pPr>
          </w:p>
        </w:tc>
      </w:tr>
      <w:tr w14:paraId="759E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ED6C33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3.为了确保仪器设备的正常使用，根据仪器设备的性能要求，对仪器设备进行定期除尘和清洁，检查设备的稳压状况和接地情况是否良好等。维护保养内容应包括但不限于：</w:t>
            </w:r>
          </w:p>
        </w:tc>
        <w:tc>
          <w:tcPr>
            <w:tcW w:w="1699" w:type="dxa"/>
            <w:tcBorders>
              <w:top w:val="single" w:color="auto" w:sz="4" w:space="0"/>
              <w:left w:val="single" w:color="auto" w:sz="4" w:space="0"/>
              <w:bottom w:val="single" w:color="auto" w:sz="4" w:space="0"/>
              <w:right w:val="single" w:color="auto" w:sz="4" w:space="0"/>
            </w:tcBorders>
            <w:vAlign w:val="center"/>
          </w:tcPr>
          <w:p w14:paraId="79D4AA9D">
            <w:pPr>
              <w:ind w:firstLine="440" w:firstLineChars="200"/>
              <w:rPr>
                <w:rFonts w:hint="eastAsia" w:ascii="仿宋" w:hAnsi="仿宋" w:eastAsia="仿宋" w:cs="仿宋"/>
                <w:color w:val="auto"/>
                <w:sz w:val="22"/>
                <w:szCs w:val="22"/>
                <w:lang w:val="en-US" w:eastAsia="zh-CN"/>
              </w:rPr>
            </w:pPr>
          </w:p>
        </w:tc>
      </w:tr>
      <w:tr w14:paraId="5459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B67BD4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3.1外观检查：外观检查首先检查仪器各按钮、开关、接头插座有无松动及错位，插头插座的接触有无氧化、生锈或接触不良，电源线有无老化，散热排风是否正常，各种接地的连接和管道的连接是否良好；</w:t>
            </w:r>
          </w:p>
        </w:tc>
        <w:tc>
          <w:tcPr>
            <w:tcW w:w="1699" w:type="dxa"/>
            <w:tcBorders>
              <w:top w:val="single" w:color="auto" w:sz="4" w:space="0"/>
              <w:left w:val="single" w:color="auto" w:sz="4" w:space="0"/>
              <w:bottom w:val="single" w:color="auto" w:sz="4" w:space="0"/>
              <w:right w:val="single" w:color="auto" w:sz="4" w:space="0"/>
            </w:tcBorders>
            <w:vAlign w:val="center"/>
          </w:tcPr>
          <w:p w14:paraId="480EC703">
            <w:pPr>
              <w:ind w:firstLine="440" w:firstLineChars="200"/>
              <w:rPr>
                <w:rFonts w:hint="eastAsia" w:ascii="仿宋" w:hAnsi="仿宋" w:eastAsia="仿宋" w:cs="仿宋"/>
                <w:color w:val="auto"/>
                <w:sz w:val="22"/>
                <w:szCs w:val="22"/>
                <w:lang w:val="en-US" w:eastAsia="zh-CN"/>
              </w:rPr>
            </w:pPr>
          </w:p>
        </w:tc>
      </w:tr>
      <w:tr w14:paraId="4DA5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835C03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3.2清洁保养：是对仪器表面与内部电气部分、机械部分进行清洁，包括清洗过滤网及有关管道，对仪器有关插头插座进行消洁，防止接触不良，对必要的机械部分进行加油润滑；</w:t>
            </w:r>
          </w:p>
        </w:tc>
        <w:tc>
          <w:tcPr>
            <w:tcW w:w="1699" w:type="dxa"/>
            <w:tcBorders>
              <w:top w:val="single" w:color="auto" w:sz="4" w:space="0"/>
              <w:left w:val="single" w:color="auto" w:sz="4" w:space="0"/>
              <w:bottom w:val="single" w:color="auto" w:sz="4" w:space="0"/>
              <w:right w:val="single" w:color="auto" w:sz="4" w:space="0"/>
            </w:tcBorders>
            <w:vAlign w:val="center"/>
          </w:tcPr>
          <w:p w14:paraId="4004989A">
            <w:pPr>
              <w:ind w:firstLine="440" w:firstLineChars="200"/>
              <w:rPr>
                <w:rFonts w:hint="eastAsia" w:ascii="仿宋" w:hAnsi="仿宋" w:eastAsia="仿宋" w:cs="仿宋"/>
                <w:color w:val="auto"/>
                <w:sz w:val="22"/>
                <w:szCs w:val="22"/>
                <w:lang w:val="en-US" w:eastAsia="zh-CN"/>
              </w:rPr>
            </w:pPr>
          </w:p>
        </w:tc>
      </w:tr>
      <w:tr w14:paraId="4BF9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5558CE6">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3.3功能检查：开机检查各指示灯、指示器是否正常，通过调节、设置各个开关按钮，进入各功能设置，以检查设备的基本功能是否正常。</w:t>
            </w:r>
          </w:p>
        </w:tc>
        <w:tc>
          <w:tcPr>
            <w:tcW w:w="1699" w:type="dxa"/>
            <w:tcBorders>
              <w:top w:val="single" w:color="auto" w:sz="4" w:space="0"/>
              <w:left w:val="single" w:color="auto" w:sz="4" w:space="0"/>
              <w:bottom w:val="single" w:color="auto" w:sz="4" w:space="0"/>
              <w:right w:val="single" w:color="auto" w:sz="4" w:space="0"/>
            </w:tcBorders>
            <w:vAlign w:val="center"/>
          </w:tcPr>
          <w:p w14:paraId="52393609">
            <w:pPr>
              <w:ind w:firstLine="440" w:firstLineChars="200"/>
              <w:rPr>
                <w:rFonts w:hint="eastAsia" w:ascii="仿宋" w:hAnsi="仿宋" w:eastAsia="仿宋" w:cs="仿宋"/>
                <w:color w:val="auto"/>
                <w:sz w:val="22"/>
                <w:szCs w:val="22"/>
                <w:lang w:val="en-US" w:eastAsia="zh-CN"/>
              </w:rPr>
            </w:pPr>
          </w:p>
        </w:tc>
      </w:tr>
      <w:tr w14:paraId="7096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48DD177">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3.4 安全检查：</w:t>
            </w:r>
          </w:p>
        </w:tc>
        <w:tc>
          <w:tcPr>
            <w:tcW w:w="1699" w:type="dxa"/>
            <w:tcBorders>
              <w:top w:val="single" w:color="auto" w:sz="4" w:space="0"/>
              <w:left w:val="single" w:color="auto" w:sz="4" w:space="0"/>
              <w:bottom w:val="single" w:color="auto" w:sz="4" w:space="0"/>
              <w:right w:val="single" w:color="auto" w:sz="4" w:space="0"/>
            </w:tcBorders>
            <w:vAlign w:val="center"/>
          </w:tcPr>
          <w:p w14:paraId="71FB6677">
            <w:pPr>
              <w:ind w:firstLine="440" w:firstLineChars="200"/>
              <w:rPr>
                <w:rFonts w:hint="eastAsia" w:ascii="仿宋" w:hAnsi="仿宋" w:eastAsia="仿宋" w:cs="仿宋"/>
                <w:color w:val="auto"/>
                <w:sz w:val="22"/>
                <w:szCs w:val="22"/>
                <w:lang w:val="en-US" w:eastAsia="zh-CN"/>
              </w:rPr>
            </w:pPr>
          </w:p>
        </w:tc>
      </w:tr>
      <w:tr w14:paraId="00E3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466C90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3.4.1电气安全检查：检查各种引线、插头、连接器等有无破损，接地线是否牢靠，接地电阻和漏电电流是否在允许限度内；驻场工程师需至少有一个拥有电工证书，开展各类电气医疗设备和电气线路日常巡检、维护，做好电气安全管理工作；</w:t>
            </w:r>
          </w:p>
        </w:tc>
        <w:tc>
          <w:tcPr>
            <w:tcW w:w="1699" w:type="dxa"/>
            <w:tcBorders>
              <w:top w:val="single" w:color="auto" w:sz="4" w:space="0"/>
              <w:left w:val="single" w:color="auto" w:sz="4" w:space="0"/>
              <w:bottom w:val="single" w:color="auto" w:sz="4" w:space="0"/>
              <w:right w:val="single" w:color="auto" w:sz="4" w:space="0"/>
            </w:tcBorders>
            <w:vAlign w:val="center"/>
          </w:tcPr>
          <w:p w14:paraId="447D7E5F">
            <w:pPr>
              <w:ind w:firstLine="440" w:firstLineChars="200"/>
              <w:rPr>
                <w:rFonts w:hint="eastAsia" w:ascii="仿宋" w:hAnsi="仿宋" w:eastAsia="仿宋" w:cs="仿宋"/>
                <w:color w:val="auto"/>
                <w:sz w:val="22"/>
                <w:szCs w:val="22"/>
                <w:lang w:val="en-US" w:eastAsia="zh-CN"/>
              </w:rPr>
            </w:pPr>
          </w:p>
        </w:tc>
      </w:tr>
      <w:tr w14:paraId="4D9D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EE0B0D0">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3.4.2机械安全检查：检查机架是否牢固，机械运转是否正常，各连接部件有无松动、脱落或破裂现象。</w:t>
            </w:r>
          </w:p>
        </w:tc>
        <w:tc>
          <w:tcPr>
            <w:tcW w:w="1699" w:type="dxa"/>
            <w:tcBorders>
              <w:top w:val="single" w:color="auto" w:sz="4" w:space="0"/>
              <w:left w:val="single" w:color="auto" w:sz="4" w:space="0"/>
              <w:bottom w:val="single" w:color="auto" w:sz="4" w:space="0"/>
              <w:right w:val="single" w:color="auto" w:sz="4" w:space="0"/>
            </w:tcBorders>
            <w:vAlign w:val="center"/>
          </w:tcPr>
          <w:p w14:paraId="1858D874">
            <w:pPr>
              <w:ind w:firstLine="440" w:firstLineChars="200"/>
              <w:rPr>
                <w:rFonts w:hint="eastAsia" w:ascii="仿宋" w:hAnsi="仿宋" w:eastAsia="仿宋" w:cs="仿宋"/>
                <w:color w:val="auto"/>
                <w:sz w:val="22"/>
                <w:szCs w:val="22"/>
                <w:lang w:val="en-US" w:eastAsia="zh-CN"/>
              </w:rPr>
            </w:pPr>
          </w:p>
        </w:tc>
      </w:tr>
      <w:tr w14:paraId="0A50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5C20A4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 更换易损件：对己达到使用寿命及性能下降，不合要求的元器件或使用说明书中规定的要求定期更换的配件要进行及时地更换，排除设备明显的和潜在的各种故障，预防可能发生的故障扩大或造成整机故障；</w:t>
            </w:r>
          </w:p>
        </w:tc>
        <w:tc>
          <w:tcPr>
            <w:tcW w:w="1699" w:type="dxa"/>
            <w:tcBorders>
              <w:top w:val="single" w:color="auto" w:sz="4" w:space="0"/>
              <w:left w:val="single" w:color="auto" w:sz="4" w:space="0"/>
              <w:bottom w:val="single" w:color="auto" w:sz="4" w:space="0"/>
              <w:right w:val="single" w:color="auto" w:sz="4" w:space="0"/>
            </w:tcBorders>
            <w:vAlign w:val="center"/>
          </w:tcPr>
          <w:p w14:paraId="114BEBA2">
            <w:pPr>
              <w:ind w:firstLine="440" w:firstLineChars="200"/>
              <w:rPr>
                <w:rFonts w:hint="eastAsia" w:ascii="仿宋" w:hAnsi="仿宋" w:eastAsia="仿宋" w:cs="仿宋"/>
                <w:color w:val="auto"/>
                <w:sz w:val="22"/>
                <w:szCs w:val="22"/>
                <w:lang w:val="en-US" w:eastAsia="zh-CN"/>
              </w:rPr>
            </w:pPr>
          </w:p>
        </w:tc>
      </w:tr>
      <w:tr w14:paraId="0D71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3161906">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 性能测试校准：测试各直流电源的稳压值、电路中主要测试点电压值或波形并根据说明书的要求进行必要的校准和调整，以保证仪器各项技术指标达到标准，确保仪器在医疗诊断与治疗中的质量；</w:t>
            </w:r>
          </w:p>
        </w:tc>
        <w:tc>
          <w:tcPr>
            <w:tcW w:w="1699" w:type="dxa"/>
            <w:tcBorders>
              <w:top w:val="single" w:color="auto" w:sz="4" w:space="0"/>
              <w:left w:val="single" w:color="auto" w:sz="4" w:space="0"/>
              <w:bottom w:val="single" w:color="auto" w:sz="4" w:space="0"/>
              <w:right w:val="single" w:color="auto" w:sz="4" w:space="0"/>
            </w:tcBorders>
            <w:vAlign w:val="center"/>
          </w:tcPr>
          <w:p w14:paraId="30E4086F">
            <w:pPr>
              <w:ind w:firstLine="440" w:firstLineChars="200"/>
              <w:rPr>
                <w:rFonts w:hint="eastAsia" w:ascii="仿宋" w:hAnsi="仿宋" w:eastAsia="仿宋" w:cs="仿宋"/>
                <w:color w:val="auto"/>
                <w:sz w:val="22"/>
                <w:szCs w:val="22"/>
                <w:lang w:val="en-US" w:eastAsia="zh-CN"/>
              </w:rPr>
            </w:pPr>
          </w:p>
        </w:tc>
      </w:tr>
      <w:tr w14:paraId="0ACC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63FB77E">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w:t>
            </w:r>
            <w:r>
              <w:rPr>
                <w:rStyle w:val="14"/>
                <w:lang w:val="en-US" w:eastAsia="zh-CN" w:bidi="ar"/>
              </w:rPr>
              <w:t xml:space="preserve"> 医疗设备在服务期内按计划进行定期现场维护保养服务，并按季度提供完善的书面维护保养报告：</w:t>
            </w:r>
          </w:p>
        </w:tc>
        <w:tc>
          <w:tcPr>
            <w:tcW w:w="1699" w:type="dxa"/>
            <w:tcBorders>
              <w:top w:val="single" w:color="auto" w:sz="4" w:space="0"/>
              <w:left w:val="single" w:color="auto" w:sz="4" w:space="0"/>
              <w:bottom w:val="single" w:color="auto" w:sz="4" w:space="0"/>
              <w:right w:val="single" w:color="auto" w:sz="4" w:space="0"/>
            </w:tcBorders>
            <w:vAlign w:val="center"/>
          </w:tcPr>
          <w:p w14:paraId="14659C4D">
            <w:pPr>
              <w:ind w:firstLine="440" w:firstLineChars="200"/>
              <w:rPr>
                <w:rFonts w:hint="eastAsia" w:ascii="仿宋" w:hAnsi="仿宋" w:eastAsia="仿宋" w:cs="仿宋"/>
                <w:color w:val="auto"/>
                <w:sz w:val="22"/>
                <w:szCs w:val="22"/>
                <w:lang w:val="en-US" w:eastAsia="zh-CN"/>
              </w:rPr>
            </w:pPr>
          </w:p>
        </w:tc>
      </w:tr>
      <w:tr w14:paraId="0AE4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61E5B2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3.7.1维护保养报告：详细记录维护保养内容及日期，科室人员及工程师签名；</w:t>
            </w:r>
          </w:p>
        </w:tc>
        <w:tc>
          <w:tcPr>
            <w:tcW w:w="1699" w:type="dxa"/>
            <w:tcBorders>
              <w:top w:val="single" w:color="auto" w:sz="4" w:space="0"/>
              <w:left w:val="single" w:color="auto" w:sz="4" w:space="0"/>
              <w:bottom w:val="single" w:color="auto" w:sz="4" w:space="0"/>
              <w:right w:val="single" w:color="auto" w:sz="4" w:space="0"/>
            </w:tcBorders>
            <w:vAlign w:val="center"/>
          </w:tcPr>
          <w:p w14:paraId="013986CE">
            <w:pPr>
              <w:ind w:firstLine="440" w:firstLineChars="200"/>
              <w:rPr>
                <w:rFonts w:hint="eastAsia" w:ascii="仿宋" w:hAnsi="仿宋" w:eastAsia="仿宋" w:cs="仿宋"/>
                <w:color w:val="auto"/>
                <w:sz w:val="22"/>
                <w:szCs w:val="22"/>
                <w:lang w:val="en-US" w:eastAsia="zh-CN"/>
              </w:rPr>
            </w:pPr>
          </w:p>
        </w:tc>
      </w:tr>
      <w:tr w14:paraId="0261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F6238B5">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3.7.2保养标签：粘贴于设备侧面 (保养时间、保养工程师、下次保养时间) ；</w:t>
            </w:r>
          </w:p>
        </w:tc>
        <w:tc>
          <w:tcPr>
            <w:tcW w:w="1699" w:type="dxa"/>
            <w:tcBorders>
              <w:top w:val="single" w:color="auto" w:sz="4" w:space="0"/>
              <w:left w:val="single" w:color="auto" w:sz="4" w:space="0"/>
              <w:bottom w:val="single" w:color="auto" w:sz="4" w:space="0"/>
              <w:right w:val="single" w:color="auto" w:sz="4" w:space="0"/>
            </w:tcBorders>
            <w:vAlign w:val="center"/>
          </w:tcPr>
          <w:p w14:paraId="7E20389A">
            <w:pPr>
              <w:ind w:firstLine="440" w:firstLineChars="200"/>
              <w:rPr>
                <w:rFonts w:hint="eastAsia" w:ascii="仿宋" w:hAnsi="仿宋" w:eastAsia="仿宋" w:cs="仿宋"/>
                <w:color w:val="auto"/>
                <w:sz w:val="22"/>
                <w:szCs w:val="22"/>
                <w:lang w:val="en-US" w:eastAsia="zh-CN"/>
              </w:rPr>
            </w:pPr>
          </w:p>
        </w:tc>
      </w:tr>
      <w:tr w14:paraId="0DEC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FBE2CD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3.7.3维护保养报告均录入设备资产管理系统；</w:t>
            </w:r>
          </w:p>
        </w:tc>
        <w:tc>
          <w:tcPr>
            <w:tcW w:w="1699" w:type="dxa"/>
            <w:tcBorders>
              <w:top w:val="single" w:color="auto" w:sz="4" w:space="0"/>
              <w:left w:val="single" w:color="auto" w:sz="4" w:space="0"/>
              <w:bottom w:val="single" w:color="auto" w:sz="4" w:space="0"/>
              <w:right w:val="single" w:color="auto" w:sz="4" w:space="0"/>
            </w:tcBorders>
            <w:vAlign w:val="center"/>
          </w:tcPr>
          <w:p w14:paraId="028AB899">
            <w:pPr>
              <w:ind w:firstLine="440" w:firstLineChars="200"/>
              <w:rPr>
                <w:rFonts w:hint="eastAsia" w:ascii="仿宋" w:hAnsi="仿宋" w:eastAsia="仿宋" w:cs="仿宋"/>
                <w:color w:val="auto"/>
                <w:sz w:val="22"/>
                <w:szCs w:val="22"/>
                <w:lang w:val="en-US" w:eastAsia="zh-CN"/>
              </w:rPr>
            </w:pPr>
          </w:p>
        </w:tc>
      </w:tr>
      <w:tr w14:paraId="31EF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90CE37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3.7.4中标人需定期对所有设备进行保养，按照高风险每年4次，中风险每年2次、低风险每年1次保养。</w:t>
            </w:r>
          </w:p>
        </w:tc>
        <w:tc>
          <w:tcPr>
            <w:tcW w:w="1699" w:type="dxa"/>
            <w:tcBorders>
              <w:top w:val="single" w:color="auto" w:sz="4" w:space="0"/>
              <w:left w:val="single" w:color="auto" w:sz="4" w:space="0"/>
              <w:bottom w:val="single" w:color="auto" w:sz="4" w:space="0"/>
              <w:right w:val="single" w:color="auto" w:sz="4" w:space="0"/>
            </w:tcBorders>
            <w:vAlign w:val="center"/>
          </w:tcPr>
          <w:p w14:paraId="085BB72F">
            <w:pPr>
              <w:ind w:firstLine="440" w:firstLineChars="200"/>
              <w:rPr>
                <w:rFonts w:hint="eastAsia" w:ascii="仿宋" w:hAnsi="仿宋" w:eastAsia="仿宋" w:cs="仿宋"/>
                <w:color w:val="auto"/>
                <w:sz w:val="22"/>
                <w:szCs w:val="22"/>
                <w:lang w:val="en-US" w:eastAsia="zh-CN"/>
              </w:rPr>
            </w:pPr>
          </w:p>
        </w:tc>
      </w:tr>
      <w:tr w14:paraId="0255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48F6049">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（四）计量检定检测要求</w:t>
            </w:r>
          </w:p>
        </w:tc>
        <w:tc>
          <w:tcPr>
            <w:tcW w:w="1699" w:type="dxa"/>
            <w:tcBorders>
              <w:top w:val="single" w:color="auto" w:sz="4" w:space="0"/>
              <w:left w:val="single" w:color="auto" w:sz="4" w:space="0"/>
              <w:bottom w:val="single" w:color="auto" w:sz="4" w:space="0"/>
              <w:right w:val="single" w:color="auto" w:sz="4" w:space="0"/>
            </w:tcBorders>
            <w:vAlign w:val="center"/>
          </w:tcPr>
          <w:p w14:paraId="19F5A101">
            <w:pPr>
              <w:ind w:firstLine="440" w:firstLineChars="200"/>
              <w:rPr>
                <w:rFonts w:hint="eastAsia" w:ascii="仿宋" w:hAnsi="仿宋" w:eastAsia="仿宋" w:cs="仿宋"/>
                <w:color w:val="auto"/>
                <w:sz w:val="22"/>
                <w:szCs w:val="22"/>
                <w:lang w:val="en-US" w:eastAsia="zh-CN"/>
              </w:rPr>
            </w:pPr>
          </w:p>
        </w:tc>
      </w:tr>
      <w:tr w14:paraId="6BF8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57C6870">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1.中标人协助采购人及时联系计量院、特检院及有资质的第三方检测公司对采购人需要强检的医疗设备、特种设备及临床需求需要检定的医疗设备 (如：生化分析仪、PCR室设备等检验设备、除颤仪、血液透析机、呼吸机、电刀、生物安全柜、超声、体温检测设备等) 、放射设备性能和机房防护、进行计量、检定、校准、检测；第三方检测公司的资质需由采购人审核同意后方可开展检定工作，所有计量及其他检测费用均由采购人负责；</w:t>
            </w:r>
          </w:p>
        </w:tc>
        <w:tc>
          <w:tcPr>
            <w:tcW w:w="1699" w:type="dxa"/>
            <w:tcBorders>
              <w:top w:val="single" w:color="auto" w:sz="4" w:space="0"/>
              <w:left w:val="single" w:color="auto" w:sz="4" w:space="0"/>
              <w:bottom w:val="single" w:color="auto" w:sz="4" w:space="0"/>
              <w:right w:val="single" w:color="auto" w:sz="4" w:space="0"/>
            </w:tcBorders>
            <w:vAlign w:val="center"/>
          </w:tcPr>
          <w:p w14:paraId="24ED4784">
            <w:pPr>
              <w:ind w:firstLine="440" w:firstLineChars="200"/>
              <w:rPr>
                <w:rFonts w:hint="eastAsia" w:ascii="仿宋" w:hAnsi="仿宋" w:eastAsia="仿宋" w:cs="仿宋"/>
                <w:color w:val="auto"/>
                <w:sz w:val="22"/>
                <w:szCs w:val="22"/>
                <w:lang w:val="en-US" w:eastAsia="zh-CN"/>
              </w:rPr>
            </w:pPr>
          </w:p>
        </w:tc>
      </w:tr>
      <w:tr w14:paraId="7C04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11A003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根据国家法律法规管理规定以及医院管理要求，中标人协助采购人配合计量单位落实现场检测，定期检查在用的所有计量器具100%有计量检测合格标志或校准标识，强检设备100%具有计量检测合格证，合格标志或校准标识100%在有效期内；</w:t>
            </w:r>
          </w:p>
        </w:tc>
        <w:tc>
          <w:tcPr>
            <w:tcW w:w="1699" w:type="dxa"/>
            <w:tcBorders>
              <w:top w:val="single" w:color="auto" w:sz="4" w:space="0"/>
              <w:left w:val="single" w:color="auto" w:sz="4" w:space="0"/>
              <w:bottom w:val="single" w:color="auto" w:sz="4" w:space="0"/>
              <w:right w:val="single" w:color="auto" w:sz="4" w:space="0"/>
            </w:tcBorders>
            <w:vAlign w:val="center"/>
          </w:tcPr>
          <w:p w14:paraId="0140ACD3">
            <w:pPr>
              <w:ind w:firstLine="440" w:firstLineChars="200"/>
              <w:rPr>
                <w:rFonts w:hint="eastAsia" w:ascii="仿宋" w:hAnsi="仿宋" w:eastAsia="仿宋" w:cs="仿宋"/>
                <w:color w:val="auto"/>
                <w:sz w:val="22"/>
                <w:szCs w:val="22"/>
                <w:lang w:val="en-US" w:eastAsia="zh-CN"/>
              </w:rPr>
            </w:pPr>
          </w:p>
        </w:tc>
      </w:tr>
      <w:tr w14:paraId="5D40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8A26779">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3.协助采购人对部分无法进行现场检测的计量设备进行送检；</w:t>
            </w:r>
          </w:p>
        </w:tc>
        <w:tc>
          <w:tcPr>
            <w:tcW w:w="1699" w:type="dxa"/>
            <w:tcBorders>
              <w:top w:val="single" w:color="auto" w:sz="4" w:space="0"/>
              <w:left w:val="single" w:color="auto" w:sz="4" w:space="0"/>
              <w:bottom w:val="single" w:color="auto" w:sz="4" w:space="0"/>
              <w:right w:val="single" w:color="auto" w:sz="4" w:space="0"/>
            </w:tcBorders>
            <w:vAlign w:val="center"/>
          </w:tcPr>
          <w:p w14:paraId="3BF86B98">
            <w:pPr>
              <w:ind w:firstLine="440" w:firstLineChars="200"/>
              <w:rPr>
                <w:rFonts w:hint="eastAsia" w:ascii="仿宋" w:hAnsi="仿宋" w:eastAsia="仿宋" w:cs="仿宋"/>
                <w:color w:val="auto"/>
                <w:sz w:val="22"/>
                <w:szCs w:val="22"/>
                <w:lang w:val="en-US" w:eastAsia="zh-CN"/>
              </w:rPr>
            </w:pPr>
          </w:p>
        </w:tc>
      </w:tr>
      <w:tr w14:paraId="07DC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49DE223">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4.负责建立计量设备和检测报告台账，并及时更新计量检定报告和质控检测报告，按采购人设备管理部门要求进行归档；</w:t>
            </w:r>
          </w:p>
        </w:tc>
        <w:tc>
          <w:tcPr>
            <w:tcW w:w="1699" w:type="dxa"/>
            <w:tcBorders>
              <w:top w:val="single" w:color="auto" w:sz="4" w:space="0"/>
              <w:left w:val="single" w:color="auto" w:sz="4" w:space="0"/>
              <w:bottom w:val="single" w:color="auto" w:sz="4" w:space="0"/>
              <w:right w:val="single" w:color="auto" w:sz="4" w:space="0"/>
            </w:tcBorders>
            <w:vAlign w:val="center"/>
          </w:tcPr>
          <w:p w14:paraId="066A5087">
            <w:pPr>
              <w:ind w:firstLine="440" w:firstLineChars="200"/>
              <w:rPr>
                <w:rFonts w:hint="eastAsia" w:ascii="仿宋" w:hAnsi="仿宋" w:eastAsia="仿宋" w:cs="仿宋"/>
                <w:color w:val="auto"/>
                <w:sz w:val="22"/>
                <w:szCs w:val="22"/>
                <w:lang w:val="en-US" w:eastAsia="zh-CN"/>
              </w:rPr>
            </w:pPr>
          </w:p>
        </w:tc>
      </w:tr>
      <w:tr w14:paraId="3466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9368C14">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5.协助采购人落实医疗设备周期性的检测，负责张贴标志；协助采购人对放射、放疗、特种设备及其环境定期自查和检测。</w:t>
            </w:r>
          </w:p>
        </w:tc>
        <w:tc>
          <w:tcPr>
            <w:tcW w:w="1699" w:type="dxa"/>
            <w:tcBorders>
              <w:top w:val="single" w:color="auto" w:sz="4" w:space="0"/>
              <w:left w:val="single" w:color="auto" w:sz="4" w:space="0"/>
              <w:bottom w:val="single" w:color="auto" w:sz="4" w:space="0"/>
              <w:right w:val="single" w:color="auto" w:sz="4" w:space="0"/>
            </w:tcBorders>
            <w:vAlign w:val="center"/>
          </w:tcPr>
          <w:p w14:paraId="036D8F71">
            <w:pPr>
              <w:ind w:firstLine="440" w:firstLineChars="200"/>
              <w:rPr>
                <w:rFonts w:hint="eastAsia" w:ascii="仿宋" w:hAnsi="仿宋" w:eastAsia="仿宋" w:cs="仿宋"/>
                <w:color w:val="auto"/>
                <w:sz w:val="22"/>
                <w:szCs w:val="22"/>
                <w:lang w:val="en-US" w:eastAsia="zh-CN"/>
              </w:rPr>
            </w:pPr>
          </w:p>
        </w:tc>
      </w:tr>
      <w:tr w14:paraId="2589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E88B806">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（五）特种设备管理要求</w:t>
            </w:r>
          </w:p>
        </w:tc>
        <w:tc>
          <w:tcPr>
            <w:tcW w:w="1699" w:type="dxa"/>
            <w:tcBorders>
              <w:top w:val="single" w:color="auto" w:sz="4" w:space="0"/>
              <w:left w:val="single" w:color="auto" w:sz="4" w:space="0"/>
              <w:bottom w:val="single" w:color="auto" w:sz="4" w:space="0"/>
              <w:right w:val="single" w:color="auto" w:sz="4" w:space="0"/>
            </w:tcBorders>
            <w:vAlign w:val="center"/>
          </w:tcPr>
          <w:p w14:paraId="58759DB4">
            <w:pPr>
              <w:ind w:firstLine="440" w:firstLineChars="200"/>
              <w:rPr>
                <w:rFonts w:hint="eastAsia" w:ascii="仿宋" w:hAnsi="仿宋" w:eastAsia="仿宋" w:cs="仿宋"/>
                <w:color w:val="auto"/>
                <w:sz w:val="22"/>
                <w:szCs w:val="22"/>
                <w:lang w:val="en-US" w:eastAsia="zh-CN"/>
              </w:rPr>
            </w:pPr>
          </w:p>
        </w:tc>
      </w:tr>
      <w:tr w14:paraId="08FD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7AC6A55">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1.协助采购人建立特种设备管理台账、特种设备作业人员台账，并实时更新，整理相关档案。</w:t>
            </w:r>
          </w:p>
        </w:tc>
        <w:tc>
          <w:tcPr>
            <w:tcW w:w="1699" w:type="dxa"/>
            <w:tcBorders>
              <w:top w:val="single" w:color="auto" w:sz="4" w:space="0"/>
              <w:left w:val="single" w:color="auto" w:sz="4" w:space="0"/>
              <w:bottom w:val="single" w:color="auto" w:sz="4" w:space="0"/>
              <w:right w:val="single" w:color="auto" w:sz="4" w:space="0"/>
            </w:tcBorders>
            <w:vAlign w:val="center"/>
          </w:tcPr>
          <w:p w14:paraId="03B95948">
            <w:pPr>
              <w:ind w:firstLine="440" w:firstLineChars="200"/>
              <w:rPr>
                <w:rFonts w:hint="eastAsia" w:ascii="仿宋" w:hAnsi="仿宋" w:eastAsia="仿宋" w:cs="仿宋"/>
                <w:color w:val="auto"/>
                <w:sz w:val="22"/>
                <w:szCs w:val="22"/>
                <w:lang w:val="en-US" w:eastAsia="zh-CN"/>
              </w:rPr>
            </w:pPr>
          </w:p>
        </w:tc>
      </w:tr>
      <w:tr w14:paraId="3F4D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5248D76">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2.负责跟进全院资产设备清单中的特种承压设备检测单位，落实现场检测；负责压力表、安全阀等安全附件定期送检，特种设备年度检查、定期检验、全面检验等，检验费用由采购人承担。</w:t>
            </w:r>
          </w:p>
        </w:tc>
        <w:tc>
          <w:tcPr>
            <w:tcW w:w="1699" w:type="dxa"/>
            <w:tcBorders>
              <w:top w:val="single" w:color="auto" w:sz="4" w:space="0"/>
              <w:left w:val="single" w:color="auto" w:sz="4" w:space="0"/>
              <w:bottom w:val="single" w:color="auto" w:sz="4" w:space="0"/>
              <w:right w:val="single" w:color="auto" w:sz="4" w:space="0"/>
            </w:tcBorders>
            <w:vAlign w:val="center"/>
          </w:tcPr>
          <w:p w14:paraId="047B1090">
            <w:pPr>
              <w:ind w:firstLine="440" w:firstLineChars="200"/>
              <w:rPr>
                <w:rFonts w:hint="eastAsia" w:ascii="仿宋" w:hAnsi="仿宋" w:eastAsia="仿宋" w:cs="仿宋"/>
                <w:color w:val="auto"/>
                <w:sz w:val="22"/>
                <w:szCs w:val="22"/>
                <w:lang w:val="en-US" w:eastAsia="zh-CN"/>
              </w:rPr>
            </w:pPr>
          </w:p>
        </w:tc>
      </w:tr>
      <w:tr w14:paraId="0A38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097D378">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3.协助采购人完成上级检查和开展安全生产检查，针对检查中发现的问题及时整改。</w:t>
            </w:r>
          </w:p>
        </w:tc>
        <w:tc>
          <w:tcPr>
            <w:tcW w:w="1699" w:type="dxa"/>
            <w:tcBorders>
              <w:top w:val="single" w:color="auto" w:sz="4" w:space="0"/>
              <w:left w:val="single" w:color="auto" w:sz="4" w:space="0"/>
              <w:bottom w:val="single" w:color="auto" w:sz="4" w:space="0"/>
              <w:right w:val="single" w:color="auto" w:sz="4" w:space="0"/>
            </w:tcBorders>
            <w:vAlign w:val="center"/>
          </w:tcPr>
          <w:p w14:paraId="249D2650">
            <w:pPr>
              <w:ind w:firstLine="440" w:firstLineChars="200"/>
              <w:rPr>
                <w:rFonts w:hint="eastAsia" w:ascii="仿宋" w:hAnsi="仿宋" w:eastAsia="仿宋" w:cs="仿宋"/>
                <w:color w:val="auto"/>
                <w:sz w:val="22"/>
                <w:szCs w:val="22"/>
                <w:lang w:val="en-US" w:eastAsia="zh-CN"/>
              </w:rPr>
            </w:pPr>
          </w:p>
        </w:tc>
      </w:tr>
      <w:tr w14:paraId="1CE2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82D91A0">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（六）设备质控检测要求</w:t>
            </w:r>
          </w:p>
        </w:tc>
        <w:tc>
          <w:tcPr>
            <w:tcW w:w="1699" w:type="dxa"/>
            <w:tcBorders>
              <w:top w:val="single" w:color="auto" w:sz="4" w:space="0"/>
              <w:left w:val="single" w:color="auto" w:sz="4" w:space="0"/>
              <w:bottom w:val="single" w:color="auto" w:sz="4" w:space="0"/>
              <w:right w:val="single" w:color="auto" w:sz="4" w:space="0"/>
            </w:tcBorders>
            <w:vAlign w:val="center"/>
          </w:tcPr>
          <w:p w14:paraId="70C4BC78">
            <w:pPr>
              <w:ind w:firstLine="440" w:firstLineChars="200"/>
              <w:rPr>
                <w:rFonts w:hint="eastAsia" w:ascii="仿宋" w:hAnsi="仿宋" w:eastAsia="仿宋" w:cs="仿宋"/>
                <w:color w:val="auto"/>
                <w:sz w:val="22"/>
                <w:szCs w:val="22"/>
                <w:lang w:val="en-US" w:eastAsia="zh-CN"/>
              </w:rPr>
            </w:pPr>
          </w:p>
        </w:tc>
      </w:tr>
      <w:tr w14:paraId="191D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C7DE01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中标人需要对采购人全院部分生命支持类、急救类设备和重点设备进行一年一次的设备质控检测，需做质控的设备应包含：心电图机、除颤仪、心电监护仪、呼吸机、婴儿培养箱、高频电刀，并提供书面检测报告，以采购人的实际设备类型及数据为准。合同期限内保证常规设备完好率95%以上，急救生命支持类设备100%完好率。</w:t>
            </w:r>
          </w:p>
        </w:tc>
        <w:tc>
          <w:tcPr>
            <w:tcW w:w="1699" w:type="dxa"/>
            <w:tcBorders>
              <w:top w:val="single" w:color="auto" w:sz="4" w:space="0"/>
              <w:left w:val="single" w:color="auto" w:sz="4" w:space="0"/>
              <w:bottom w:val="single" w:color="auto" w:sz="4" w:space="0"/>
              <w:right w:val="single" w:color="auto" w:sz="4" w:space="0"/>
            </w:tcBorders>
            <w:vAlign w:val="center"/>
          </w:tcPr>
          <w:p w14:paraId="772ADBF0">
            <w:pPr>
              <w:ind w:firstLine="440" w:firstLineChars="200"/>
              <w:rPr>
                <w:rFonts w:hint="eastAsia" w:ascii="仿宋" w:hAnsi="仿宋" w:eastAsia="仿宋" w:cs="仿宋"/>
                <w:color w:val="auto"/>
                <w:sz w:val="22"/>
                <w:szCs w:val="22"/>
                <w:lang w:val="en-US" w:eastAsia="zh-CN"/>
              </w:rPr>
            </w:pPr>
          </w:p>
        </w:tc>
      </w:tr>
      <w:tr w14:paraId="1791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38EDFF0">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注：开机率 (按年365天计算) 指机器在正常工作时间内，用户正常操作情况下，机器正常运行的时间效率。仪器在闲置期间，若功能正常视为正常开机状态。</w:t>
            </w:r>
          </w:p>
        </w:tc>
        <w:tc>
          <w:tcPr>
            <w:tcW w:w="1699" w:type="dxa"/>
            <w:tcBorders>
              <w:top w:val="single" w:color="auto" w:sz="4" w:space="0"/>
              <w:left w:val="single" w:color="auto" w:sz="4" w:space="0"/>
              <w:bottom w:val="single" w:color="auto" w:sz="4" w:space="0"/>
              <w:right w:val="single" w:color="auto" w:sz="4" w:space="0"/>
            </w:tcBorders>
            <w:vAlign w:val="center"/>
          </w:tcPr>
          <w:p w14:paraId="24121DBC">
            <w:pPr>
              <w:ind w:firstLine="440" w:firstLineChars="200"/>
              <w:rPr>
                <w:rFonts w:hint="eastAsia" w:ascii="仿宋" w:hAnsi="仿宋" w:eastAsia="仿宋" w:cs="仿宋"/>
                <w:color w:val="auto"/>
                <w:sz w:val="22"/>
                <w:szCs w:val="22"/>
                <w:lang w:val="en-US" w:eastAsia="zh-CN"/>
              </w:rPr>
            </w:pPr>
          </w:p>
        </w:tc>
      </w:tr>
      <w:tr w14:paraId="671F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92193C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中标人拟安排的质控团队（质控团队负责人1人和质控工程师2人，可不驻场）在采购人需临时或按计划进行质控检测工作时，需调派到采购人开展质控检测相关工作或由本项目驻场其他具有质控检测资质工程师开展质控检测相关工作。</w:t>
            </w:r>
          </w:p>
        </w:tc>
        <w:tc>
          <w:tcPr>
            <w:tcW w:w="1699" w:type="dxa"/>
            <w:tcBorders>
              <w:top w:val="single" w:color="auto" w:sz="4" w:space="0"/>
              <w:left w:val="single" w:color="auto" w:sz="4" w:space="0"/>
              <w:bottom w:val="single" w:color="auto" w:sz="4" w:space="0"/>
              <w:right w:val="single" w:color="auto" w:sz="4" w:space="0"/>
            </w:tcBorders>
            <w:vAlign w:val="center"/>
          </w:tcPr>
          <w:p w14:paraId="0D92745B">
            <w:pPr>
              <w:ind w:firstLine="440" w:firstLineChars="200"/>
              <w:rPr>
                <w:rFonts w:hint="eastAsia" w:ascii="仿宋" w:hAnsi="仿宋" w:eastAsia="仿宋" w:cs="仿宋"/>
                <w:color w:val="auto"/>
                <w:sz w:val="22"/>
                <w:szCs w:val="22"/>
                <w:lang w:val="en-US" w:eastAsia="zh-CN"/>
              </w:rPr>
            </w:pPr>
          </w:p>
        </w:tc>
      </w:tr>
      <w:tr w14:paraId="782F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1B4F984">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3.中标人提供的质控工具需在溯源有效期内，如采购人临时或按计划进行质控检测工作，中标人需保证质控工具在3小时内到达现场。</w:t>
            </w:r>
          </w:p>
        </w:tc>
        <w:tc>
          <w:tcPr>
            <w:tcW w:w="1699" w:type="dxa"/>
            <w:tcBorders>
              <w:top w:val="single" w:color="auto" w:sz="4" w:space="0"/>
              <w:left w:val="single" w:color="auto" w:sz="4" w:space="0"/>
              <w:bottom w:val="single" w:color="auto" w:sz="4" w:space="0"/>
              <w:right w:val="single" w:color="auto" w:sz="4" w:space="0"/>
            </w:tcBorders>
            <w:vAlign w:val="center"/>
          </w:tcPr>
          <w:p w14:paraId="4DA5D711">
            <w:pPr>
              <w:ind w:firstLine="440" w:firstLineChars="200"/>
              <w:rPr>
                <w:rFonts w:hint="eastAsia" w:ascii="仿宋" w:hAnsi="仿宋" w:eastAsia="仿宋" w:cs="仿宋"/>
                <w:color w:val="auto"/>
                <w:sz w:val="22"/>
                <w:szCs w:val="22"/>
                <w:lang w:val="en-US" w:eastAsia="zh-CN"/>
              </w:rPr>
            </w:pPr>
          </w:p>
        </w:tc>
      </w:tr>
      <w:tr w14:paraId="6795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5F940AF">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（七）医疗设备档案管理要求</w:t>
            </w:r>
          </w:p>
        </w:tc>
        <w:tc>
          <w:tcPr>
            <w:tcW w:w="1699" w:type="dxa"/>
            <w:tcBorders>
              <w:top w:val="single" w:color="auto" w:sz="4" w:space="0"/>
              <w:left w:val="single" w:color="auto" w:sz="4" w:space="0"/>
              <w:bottom w:val="single" w:color="auto" w:sz="4" w:space="0"/>
              <w:right w:val="single" w:color="auto" w:sz="4" w:space="0"/>
            </w:tcBorders>
            <w:vAlign w:val="center"/>
          </w:tcPr>
          <w:p w14:paraId="15B37021">
            <w:pPr>
              <w:ind w:firstLine="440" w:firstLineChars="200"/>
              <w:rPr>
                <w:rFonts w:hint="eastAsia" w:ascii="仿宋" w:hAnsi="仿宋" w:eastAsia="仿宋" w:cs="仿宋"/>
                <w:color w:val="auto"/>
                <w:sz w:val="22"/>
                <w:szCs w:val="22"/>
                <w:lang w:val="en-US" w:eastAsia="zh-CN"/>
              </w:rPr>
            </w:pPr>
          </w:p>
        </w:tc>
      </w:tr>
      <w:tr w14:paraId="5020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4DD0F74">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配合采购人完成医疗设备档案管理工作，按照医院设备档案管理制度对档案进行整理、装订案卷，对于缺失错漏的内容及时补充修订，定期对档案进行清点，必要时协助查找档案，如采购人有需求，需对所有医疗设备档案进行扫描、排序、编辑名称等。</w:t>
            </w:r>
          </w:p>
        </w:tc>
        <w:tc>
          <w:tcPr>
            <w:tcW w:w="1699" w:type="dxa"/>
            <w:tcBorders>
              <w:top w:val="single" w:color="auto" w:sz="4" w:space="0"/>
              <w:left w:val="single" w:color="auto" w:sz="4" w:space="0"/>
              <w:bottom w:val="single" w:color="auto" w:sz="4" w:space="0"/>
              <w:right w:val="single" w:color="auto" w:sz="4" w:space="0"/>
            </w:tcBorders>
            <w:vAlign w:val="center"/>
          </w:tcPr>
          <w:p w14:paraId="391817F8">
            <w:pPr>
              <w:ind w:firstLine="440" w:firstLineChars="200"/>
              <w:rPr>
                <w:rFonts w:hint="eastAsia" w:ascii="仿宋" w:hAnsi="仿宋" w:eastAsia="仿宋" w:cs="仿宋"/>
                <w:color w:val="auto"/>
                <w:sz w:val="22"/>
                <w:szCs w:val="22"/>
                <w:lang w:val="en-US" w:eastAsia="zh-CN"/>
              </w:rPr>
            </w:pPr>
          </w:p>
        </w:tc>
      </w:tr>
      <w:tr w14:paraId="4481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60E7310">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（八）医疗器械不良事件监测要求</w:t>
            </w:r>
          </w:p>
        </w:tc>
        <w:tc>
          <w:tcPr>
            <w:tcW w:w="1699" w:type="dxa"/>
            <w:tcBorders>
              <w:top w:val="single" w:color="auto" w:sz="4" w:space="0"/>
              <w:left w:val="single" w:color="auto" w:sz="4" w:space="0"/>
              <w:bottom w:val="single" w:color="auto" w:sz="4" w:space="0"/>
              <w:right w:val="single" w:color="auto" w:sz="4" w:space="0"/>
            </w:tcBorders>
            <w:vAlign w:val="center"/>
          </w:tcPr>
          <w:p w14:paraId="24220D35">
            <w:pPr>
              <w:ind w:firstLine="440" w:firstLineChars="200"/>
              <w:rPr>
                <w:rFonts w:hint="eastAsia" w:ascii="仿宋" w:hAnsi="仿宋" w:eastAsia="仿宋" w:cs="仿宋"/>
                <w:color w:val="auto"/>
                <w:sz w:val="22"/>
                <w:szCs w:val="22"/>
                <w:lang w:val="en-US" w:eastAsia="zh-CN"/>
              </w:rPr>
            </w:pPr>
          </w:p>
        </w:tc>
      </w:tr>
      <w:tr w14:paraId="5C84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3D4C469">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1.中标人协助采购人开展不良事件监测工作，协助完成医疗器械不良事件上报；</w:t>
            </w:r>
          </w:p>
        </w:tc>
        <w:tc>
          <w:tcPr>
            <w:tcW w:w="1699" w:type="dxa"/>
            <w:tcBorders>
              <w:top w:val="single" w:color="auto" w:sz="4" w:space="0"/>
              <w:left w:val="single" w:color="auto" w:sz="4" w:space="0"/>
              <w:bottom w:val="single" w:color="auto" w:sz="4" w:space="0"/>
              <w:right w:val="single" w:color="auto" w:sz="4" w:space="0"/>
            </w:tcBorders>
            <w:vAlign w:val="center"/>
          </w:tcPr>
          <w:p w14:paraId="777A1306">
            <w:pPr>
              <w:ind w:firstLine="440" w:firstLineChars="200"/>
              <w:rPr>
                <w:rFonts w:hint="eastAsia" w:ascii="仿宋" w:hAnsi="仿宋" w:eastAsia="仿宋" w:cs="仿宋"/>
                <w:color w:val="auto"/>
                <w:sz w:val="22"/>
                <w:szCs w:val="22"/>
                <w:lang w:val="en-US" w:eastAsia="zh-CN"/>
              </w:rPr>
            </w:pPr>
          </w:p>
        </w:tc>
      </w:tr>
      <w:tr w14:paraId="7926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E74964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2.中标人每月需专项汇报不良事件检测情况，并协助采购人及时向卫生行政部门和有关部门上报医疗器械临床使用安全事件，保存完整的信息资料。</w:t>
            </w:r>
          </w:p>
        </w:tc>
        <w:tc>
          <w:tcPr>
            <w:tcW w:w="1699" w:type="dxa"/>
            <w:tcBorders>
              <w:top w:val="single" w:color="auto" w:sz="4" w:space="0"/>
              <w:left w:val="single" w:color="auto" w:sz="4" w:space="0"/>
              <w:bottom w:val="single" w:color="auto" w:sz="4" w:space="0"/>
              <w:right w:val="single" w:color="auto" w:sz="4" w:space="0"/>
            </w:tcBorders>
            <w:vAlign w:val="center"/>
          </w:tcPr>
          <w:p w14:paraId="58CFA292">
            <w:pPr>
              <w:ind w:firstLine="440" w:firstLineChars="200"/>
              <w:rPr>
                <w:rFonts w:hint="eastAsia" w:ascii="仿宋" w:hAnsi="仿宋" w:eastAsia="仿宋" w:cs="仿宋"/>
                <w:color w:val="auto"/>
                <w:sz w:val="22"/>
                <w:szCs w:val="22"/>
                <w:lang w:val="en-US" w:eastAsia="zh-CN"/>
              </w:rPr>
            </w:pPr>
          </w:p>
        </w:tc>
      </w:tr>
      <w:tr w14:paraId="5C9E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86008D9">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（九）设备安装、验收、临床培训及考核要求</w:t>
            </w:r>
          </w:p>
        </w:tc>
        <w:tc>
          <w:tcPr>
            <w:tcW w:w="1699" w:type="dxa"/>
            <w:tcBorders>
              <w:top w:val="single" w:color="auto" w:sz="4" w:space="0"/>
              <w:left w:val="single" w:color="auto" w:sz="4" w:space="0"/>
              <w:bottom w:val="single" w:color="auto" w:sz="4" w:space="0"/>
              <w:right w:val="single" w:color="auto" w:sz="4" w:space="0"/>
            </w:tcBorders>
            <w:vAlign w:val="center"/>
          </w:tcPr>
          <w:p w14:paraId="497ECD8B">
            <w:pPr>
              <w:ind w:firstLine="440" w:firstLineChars="200"/>
              <w:rPr>
                <w:rFonts w:hint="eastAsia" w:ascii="仿宋" w:hAnsi="仿宋" w:eastAsia="仿宋" w:cs="仿宋"/>
                <w:color w:val="auto"/>
                <w:sz w:val="22"/>
                <w:szCs w:val="22"/>
                <w:lang w:val="en-US" w:eastAsia="zh-CN"/>
              </w:rPr>
            </w:pPr>
          </w:p>
        </w:tc>
      </w:tr>
      <w:tr w14:paraId="326B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861729A">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1.针对新购设备，必须严格按合同条款或议价结果落实检查、安装、验收工作，严格把关质量，验收合格后正式交付采购人业务科室使用，协助采购人填写安装验收报告及整理安装验收资料；</w:t>
            </w:r>
          </w:p>
        </w:tc>
        <w:tc>
          <w:tcPr>
            <w:tcW w:w="1699" w:type="dxa"/>
            <w:tcBorders>
              <w:top w:val="single" w:color="auto" w:sz="4" w:space="0"/>
              <w:left w:val="single" w:color="auto" w:sz="4" w:space="0"/>
              <w:bottom w:val="single" w:color="auto" w:sz="4" w:space="0"/>
              <w:right w:val="single" w:color="auto" w:sz="4" w:space="0"/>
            </w:tcBorders>
            <w:vAlign w:val="center"/>
          </w:tcPr>
          <w:p w14:paraId="0A0EB562">
            <w:pPr>
              <w:ind w:firstLine="440" w:firstLineChars="200"/>
              <w:rPr>
                <w:rFonts w:hint="eastAsia" w:ascii="仿宋" w:hAnsi="仿宋" w:eastAsia="仿宋" w:cs="仿宋"/>
                <w:color w:val="auto"/>
                <w:sz w:val="22"/>
                <w:szCs w:val="22"/>
                <w:lang w:val="en-US" w:eastAsia="zh-CN"/>
              </w:rPr>
            </w:pPr>
          </w:p>
        </w:tc>
      </w:tr>
      <w:tr w14:paraId="3EFD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146FE65">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2.协助采购人新购设备拆装、盘点验货、试用期间发现有质量问题的，要及时通报采购人设备管理部门；</w:t>
            </w:r>
          </w:p>
        </w:tc>
        <w:tc>
          <w:tcPr>
            <w:tcW w:w="1699" w:type="dxa"/>
            <w:tcBorders>
              <w:top w:val="single" w:color="auto" w:sz="4" w:space="0"/>
              <w:left w:val="single" w:color="auto" w:sz="4" w:space="0"/>
              <w:bottom w:val="single" w:color="auto" w:sz="4" w:space="0"/>
              <w:right w:val="single" w:color="auto" w:sz="4" w:space="0"/>
            </w:tcBorders>
            <w:vAlign w:val="center"/>
          </w:tcPr>
          <w:p w14:paraId="468A22F7">
            <w:pPr>
              <w:ind w:firstLine="440" w:firstLineChars="200"/>
              <w:rPr>
                <w:rFonts w:hint="eastAsia" w:ascii="仿宋" w:hAnsi="仿宋" w:eastAsia="仿宋" w:cs="仿宋"/>
                <w:color w:val="auto"/>
                <w:sz w:val="22"/>
                <w:szCs w:val="22"/>
                <w:lang w:val="en-US" w:eastAsia="zh-CN"/>
              </w:rPr>
            </w:pPr>
          </w:p>
        </w:tc>
      </w:tr>
      <w:tr w14:paraId="6FE6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633C600">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3.针对新引进设备在投入使用前，要按采购人制度要求组织足够的操作人员参加培训熟悉操作，经考核合格后才能正式操作使用。中标人工程师必须同时参加培训，主要学习开机、关机及测试/自检操作等；</w:t>
            </w:r>
          </w:p>
        </w:tc>
        <w:tc>
          <w:tcPr>
            <w:tcW w:w="1699" w:type="dxa"/>
            <w:tcBorders>
              <w:top w:val="single" w:color="auto" w:sz="4" w:space="0"/>
              <w:left w:val="single" w:color="auto" w:sz="4" w:space="0"/>
              <w:bottom w:val="single" w:color="auto" w:sz="4" w:space="0"/>
              <w:right w:val="single" w:color="auto" w:sz="4" w:space="0"/>
            </w:tcBorders>
            <w:vAlign w:val="center"/>
          </w:tcPr>
          <w:p w14:paraId="01FF447C">
            <w:pPr>
              <w:ind w:firstLine="440" w:firstLineChars="200"/>
              <w:rPr>
                <w:rFonts w:hint="eastAsia" w:ascii="仿宋" w:hAnsi="仿宋" w:eastAsia="仿宋" w:cs="仿宋"/>
                <w:color w:val="auto"/>
                <w:sz w:val="22"/>
                <w:szCs w:val="22"/>
                <w:lang w:val="en-US" w:eastAsia="zh-CN"/>
              </w:rPr>
            </w:pPr>
          </w:p>
        </w:tc>
      </w:tr>
      <w:tr w14:paraId="6287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719DED8">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4.中标人需按采购人要求进行医疗设备档案整理以及信息系统的档案维护；</w:t>
            </w:r>
          </w:p>
        </w:tc>
        <w:tc>
          <w:tcPr>
            <w:tcW w:w="1699" w:type="dxa"/>
            <w:tcBorders>
              <w:top w:val="single" w:color="auto" w:sz="4" w:space="0"/>
              <w:left w:val="single" w:color="auto" w:sz="4" w:space="0"/>
              <w:bottom w:val="single" w:color="auto" w:sz="4" w:space="0"/>
              <w:right w:val="single" w:color="auto" w:sz="4" w:space="0"/>
            </w:tcBorders>
            <w:vAlign w:val="center"/>
          </w:tcPr>
          <w:p w14:paraId="306DF26D">
            <w:pPr>
              <w:ind w:firstLine="440" w:firstLineChars="200"/>
              <w:rPr>
                <w:rFonts w:hint="eastAsia" w:ascii="仿宋" w:hAnsi="仿宋" w:eastAsia="仿宋" w:cs="仿宋"/>
                <w:color w:val="auto"/>
                <w:sz w:val="22"/>
                <w:szCs w:val="22"/>
                <w:lang w:val="en-US" w:eastAsia="zh-CN"/>
              </w:rPr>
            </w:pPr>
          </w:p>
        </w:tc>
      </w:tr>
      <w:tr w14:paraId="6A0E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0E7B420">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5.针对急救生命支持类设备，协助采购人组织院级专题培训，并按采购人要求提交培训计划，培训考核成绩，培训总结等资料，并整理培训档案以及信息系统的档案维护。</w:t>
            </w:r>
          </w:p>
        </w:tc>
        <w:tc>
          <w:tcPr>
            <w:tcW w:w="1699" w:type="dxa"/>
            <w:tcBorders>
              <w:top w:val="single" w:color="auto" w:sz="4" w:space="0"/>
              <w:left w:val="single" w:color="auto" w:sz="4" w:space="0"/>
              <w:bottom w:val="single" w:color="auto" w:sz="4" w:space="0"/>
              <w:right w:val="single" w:color="auto" w:sz="4" w:space="0"/>
            </w:tcBorders>
            <w:vAlign w:val="center"/>
          </w:tcPr>
          <w:p w14:paraId="709616DD">
            <w:pPr>
              <w:ind w:firstLine="440" w:firstLineChars="200"/>
              <w:rPr>
                <w:rFonts w:hint="eastAsia" w:ascii="仿宋" w:hAnsi="仿宋" w:eastAsia="仿宋" w:cs="仿宋"/>
                <w:color w:val="auto"/>
                <w:sz w:val="22"/>
                <w:szCs w:val="22"/>
                <w:lang w:val="en-US" w:eastAsia="zh-CN"/>
              </w:rPr>
            </w:pPr>
          </w:p>
        </w:tc>
      </w:tr>
      <w:tr w14:paraId="37A4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441C81A">
            <w:pPr>
              <w:keepNext w:val="0"/>
              <w:keepLines w:val="0"/>
              <w:widowControl/>
              <w:suppressLineNumbers w:val="0"/>
              <w:ind w:left="0" w:leftChars="0" w:firstLine="0" w:firstLineChars="0"/>
              <w:jc w:val="both"/>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（十）履约时项目人员安排要求</w:t>
            </w:r>
          </w:p>
        </w:tc>
        <w:tc>
          <w:tcPr>
            <w:tcW w:w="1699" w:type="dxa"/>
            <w:tcBorders>
              <w:top w:val="single" w:color="auto" w:sz="4" w:space="0"/>
              <w:left w:val="single" w:color="auto" w:sz="4" w:space="0"/>
              <w:bottom w:val="single" w:color="auto" w:sz="4" w:space="0"/>
              <w:right w:val="single" w:color="auto" w:sz="4" w:space="0"/>
            </w:tcBorders>
            <w:vAlign w:val="center"/>
          </w:tcPr>
          <w:p w14:paraId="403AF206">
            <w:pPr>
              <w:ind w:firstLine="440" w:firstLineChars="200"/>
              <w:rPr>
                <w:rFonts w:hint="eastAsia" w:ascii="仿宋" w:hAnsi="仿宋" w:eastAsia="仿宋" w:cs="仿宋"/>
                <w:color w:val="auto"/>
                <w:sz w:val="22"/>
                <w:szCs w:val="22"/>
                <w:lang w:val="en-US" w:eastAsia="zh-CN"/>
              </w:rPr>
            </w:pPr>
          </w:p>
        </w:tc>
      </w:tr>
      <w:tr w14:paraId="7C6F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776F619">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1.项目人员配置及资质要求：</w:t>
            </w:r>
          </w:p>
        </w:tc>
        <w:tc>
          <w:tcPr>
            <w:tcW w:w="1699" w:type="dxa"/>
            <w:tcBorders>
              <w:top w:val="single" w:color="auto" w:sz="4" w:space="0"/>
              <w:left w:val="single" w:color="auto" w:sz="4" w:space="0"/>
              <w:bottom w:val="single" w:color="auto" w:sz="4" w:space="0"/>
              <w:right w:val="single" w:color="auto" w:sz="4" w:space="0"/>
            </w:tcBorders>
            <w:vAlign w:val="center"/>
          </w:tcPr>
          <w:p w14:paraId="319492D2">
            <w:pPr>
              <w:ind w:firstLine="440" w:firstLineChars="200"/>
              <w:rPr>
                <w:rFonts w:hint="eastAsia" w:ascii="仿宋" w:hAnsi="仿宋" w:eastAsia="仿宋" w:cs="仿宋"/>
                <w:color w:val="auto"/>
                <w:sz w:val="22"/>
                <w:szCs w:val="22"/>
                <w:lang w:val="en-US" w:eastAsia="zh-CN"/>
              </w:rPr>
            </w:pPr>
          </w:p>
        </w:tc>
      </w:tr>
      <w:tr w14:paraId="4FB3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E1041A6">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为使项目按质、按量、按时、有序实施，中标人需提供具有相应从业资格和一定工作经验的技术团队，投标人须承诺提供驻场工作人员≥12名（包含项目负责人1名，工程师≥10名，资料员1名），项目负责人具有本科或以上学历，所有项目工程师需具有大专或以上学历，具有生物医学工程类或电子信息计算机类或医学技术类或电气自动类或机电技术类或医疗器械维修维护或医疗设备管理应用等相关专业。中标人在签订合同两周内，需提交本项目服务人员资料和相关资质证明文件给采购人备案，所有项目人员需在30天内进场并按要求开展工作，如无法按时提交证明文件到采购人处备案或提交的材料不全或有误或无法按时进场的，则视为虚假响应，采购人有权终止合同，中标人在合同履行期内应定期更新上述全体员工信息且发至采购人备案。</w:t>
            </w:r>
          </w:p>
        </w:tc>
        <w:tc>
          <w:tcPr>
            <w:tcW w:w="1699" w:type="dxa"/>
            <w:tcBorders>
              <w:top w:val="single" w:color="auto" w:sz="4" w:space="0"/>
              <w:left w:val="single" w:color="auto" w:sz="4" w:space="0"/>
              <w:bottom w:val="single" w:color="auto" w:sz="4" w:space="0"/>
              <w:right w:val="single" w:color="auto" w:sz="4" w:space="0"/>
            </w:tcBorders>
            <w:vAlign w:val="center"/>
          </w:tcPr>
          <w:p w14:paraId="699846F8">
            <w:pPr>
              <w:ind w:firstLine="440" w:firstLineChars="200"/>
              <w:rPr>
                <w:rFonts w:hint="eastAsia" w:ascii="仿宋" w:hAnsi="仿宋" w:eastAsia="仿宋" w:cs="仿宋"/>
                <w:color w:val="auto"/>
                <w:sz w:val="22"/>
                <w:szCs w:val="22"/>
                <w:lang w:val="en-US" w:eastAsia="zh-CN"/>
              </w:rPr>
            </w:pPr>
          </w:p>
        </w:tc>
      </w:tr>
      <w:tr w14:paraId="39F7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288D0F8">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1.2中标人派遣的技术服务人员必须具备相关医疗设备的维修维护保养资质，持有国家医学装备相关部门颁发的医疗电子设备等维修培训资质证书、相关操作证及上岗证等，具体要求如下：</w:t>
            </w:r>
          </w:p>
        </w:tc>
        <w:tc>
          <w:tcPr>
            <w:tcW w:w="1699" w:type="dxa"/>
            <w:tcBorders>
              <w:top w:val="single" w:color="auto" w:sz="4" w:space="0"/>
              <w:left w:val="single" w:color="auto" w:sz="4" w:space="0"/>
              <w:bottom w:val="single" w:color="auto" w:sz="4" w:space="0"/>
              <w:right w:val="single" w:color="auto" w:sz="4" w:space="0"/>
            </w:tcBorders>
            <w:vAlign w:val="center"/>
          </w:tcPr>
          <w:p w14:paraId="1FAC62A8">
            <w:pPr>
              <w:ind w:firstLine="440" w:firstLineChars="200"/>
              <w:rPr>
                <w:rFonts w:hint="eastAsia" w:ascii="仿宋" w:hAnsi="仿宋" w:eastAsia="仿宋" w:cs="仿宋"/>
                <w:color w:val="auto"/>
                <w:sz w:val="22"/>
                <w:szCs w:val="22"/>
                <w:lang w:val="en-US" w:eastAsia="zh-CN"/>
              </w:rPr>
            </w:pPr>
          </w:p>
        </w:tc>
      </w:tr>
      <w:tr w14:paraId="795D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820E8A3">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1.2.1工程师要求：具备大型影像设备、具备急救类、生命支持类设备、医疗相关特种设备、血透设备、超声诊断类设备、高空作业等维修资质及经验；</w:t>
            </w:r>
          </w:p>
        </w:tc>
        <w:tc>
          <w:tcPr>
            <w:tcW w:w="1699" w:type="dxa"/>
            <w:tcBorders>
              <w:top w:val="single" w:color="auto" w:sz="4" w:space="0"/>
              <w:left w:val="single" w:color="auto" w:sz="4" w:space="0"/>
              <w:bottom w:val="single" w:color="auto" w:sz="4" w:space="0"/>
              <w:right w:val="single" w:color="auto" w:sz="4" w:space="0"/>
            </w:tcBorders>
            <w:vAlign w:val="center"/>
          </w:tcPr>
          <w:p w14:paraId="5E9CE9DB">
            <w:pPr>
              <w:ind w:firstLine="440" w:firstLineChars="200"/>
              <w:rPr>
                <w:rFonts w:hint="eastAsia" w:ascii="仿宋" w:hAnsi="仿宋" w:eastAsia="仿宋" w:cs="仿宋"/>
                <w:color w:val="auto"/>
                <w:sz w:val="22"/>
                <w:szCs w:val="22"/>
                <w:lang w:val="en-US" w:eastAsia="zh-CN"/>
              </w:rPr>
            </w:pPr>
          </w:p>
        </w:tc>
      </w:tr>
      <w:tr w14:paraId="66C6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16760FD">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1.2.2投标人须承诺拟安排的驻场团队项目负责人具有3年或以上医疗设备维修维护工作经验，具备医疗设备维保托管项目管理经验，项目工程师应具有2年或以上医疗设备维修维护工作经验。中标人派驻的驻点人员需经过采购人主管部门的面试，面试通过准予入驻；在项目服务期限内，项目组成员调离、调整，须提前一个月征得采购人同意后方可执行，项目负责人不得随意更换，如需更换，将按2000元/次扣除服务费，且一年内只能更换一次，其他人员每季度调整不得超过1人，调整超过1人（不含1人）按照1000元/人扣除服务费；</w:t>
            </w:r>
          </w:p>
        </w:tc>
        <w:tc>
          <w:tcPr>
            <w:tcW w:w="1699" w:type="dxa"/>
            <w:tcBorders>
              <w:top w:val="single" w:color="auto" w:sz="4" w:space="0"/>
              <w:left w:val="single" w:color="auto" w:sz="4" w:space="0"/>
              <w:bottom w:val="single" w:color="auto" w:sz="4" w:space="0"/>
              <w:right w:val="single" w:color="auto" w:sz="4" w:space="0"/>
            </w:tcBorders>
            <w:vAlign w:val="center"/>
          </w:tcPr>
          <w:p w14:paraId="49EDC14C">
            <w:pPr>
              <w:ind w:firstLine="440" w:firstLineChars="200"/>
              <w:rPr>
                <w:rFonts w:hint="eastAsia" w:ascii="仿宋" w:hAnsi="仿宋" w:eastAsia="仿宋" w:cs="仿宋"/>
                <w:color w:val="auto"/>
                <w:sz w:val="22"/>
                <w:szCs w:val="22"/>
                <w:lang w:val="en-US" w:eastAsia="zh-CN"/>
              </w:rPr>
            </w:pPr>
          </w:p>
        </w:tc>
      </w:tr>
      <w:tr w14:paraId="497B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2F6C5CD">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1.2.3中标人需提供从事特种设备（至少包括压力容器及灭菌器）维修管理人员持证上岗，投标人需承诺拟安排驻场的项目工程师具备特种设备作业人员证【作业项目：特种设备安全管理（项目代号：A）】1人，具备特种设备作业人员证【作业项目：快开门式压力容器操作（项目代号：R1）】1人，具备高压氧舱作业人员证书（项目代号：R3）】1人，具备特种设备高处安装、维护及拆除作业人员证1人,（若1人同时持有A证、R1、R3和高空作业人员证也视为满足要求），并且在签订合同一周内，需提交拟驻场的人员在有效期内的相关证件给采购人备案，否则采购人有权解除合同并按照合同约定追究投标人相关责任；</w:t>
            </w:r>
          </w:p>
        </w:tc>
        <w:tc>
          <w:tcPr>
            <w:tcW w:w="1699" w:type="dxa"/>
            <w:tcBorders>
              <w:top w:val="single" w:color="auto" w:sz="4" w:space="0"/>
              <w:left w:val="single" w:color="auto" w:sz="4" w:space="0"/>
              <w:bottom w:val="single" w:color="auto" w:sz="4" w:space="0"/>
              <w:right w:val="single" w:color="auto" w:sz="4" w:space="0"/>
            </w:tcBorders>
            <w:vAlign w:val="center"/>
          </w:tcPr>
          <w:p w14:paraId="481AADC2">
            <w:pPr>
              <w:ind w:firstLine="440" w:firstLineChars="200"/>
              <w:rPr>
                <w:rFonts w:hint="eastAsia" w:ascii="仿宋" w:hAnsi="仿宋" w:eastAsia="仿宋" w:cs="仿宋"/>
                <w:color w:val="auto"/>
                <w:sz w:val="22"/>
                <w:szCs w:val="22"/>
                <w:lang w:val="en-US" w:eastAsia="zh-CN"/>
              </w:rPr>
            </w:pPr>
          </w:p>
        </w:tc>
      </w:tr>
      <w:tr w14:paraId="7240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9B79CE9">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2.人员驻点管理要求</w:t>
            </w:r>
          </w:p>
        </w:tc>
        <w:tc>
          <w:tcPr>
            <w:tcW w:w="1699" w:type="dxa"/>
            <w:tcBorders>
              <w:top w:val="single" w:color="auto" w:sz="4" w:space="0"/>
              <w:left w:val="single" w:color="auto" w:sz="4" w:space="0"/>
              <w:bottom w:val="single" w:color="auto" w:sz="4" w:space="0"/>
              <w:right w:val="single" w:color="auto" w:sz="4" w:space="0"/>
            </w:tcBorders>
            <w:vAlign w:val="center"/>
          </w:tcPr>
          <w:p w14:paraId="27D9891A">
            <w:pPr>
              <w:ind w:firstLine="440" w:firstLineChars="200"/>
              <w:rPr>
                <w:rFonts w:hint="eastAsia" w:ascii="仿宋" w:hAnsi="仿宋" w:eastAsia="仿宋" w:cs="仿宋"/>
                <w:color w:val="auto"/>
                <w:sz w:val="22"/>
                <w:szCs w:val="22"/>
                <w:lang w:val="en-US" w:eastAsia="zh-CN"/>
              </w:rPr>
            </w:pPr>
          </w:p>
        </w:tc>
      </w:tr>
      <w:tr w14:paraId="0391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119AB4F">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2.1中标人派驻人员需严格遵守采购人的各项规章制度和要求履行好相关服务；需遵纪守法、无犯罪记录、无不良行为嗜好，具有良好的身心健康、较好的沟通能力、主动的服务意识和端正的工作态度；</w:t>
            </w:r>
          </w:p>
        </w:tc>
        <w:tc>
          <w:tcPr>
            <w:tcW w:w="1699" w:type="dxa"/>
            <w:tcBorders>
              <w:top w:val="single" w:color="auto" w:sz="4" w:space="0"/>
              <w:left w:val="single" w:color="auto" w:sz="4" w:space="0"/>
              <w:bottom w:val="single" w:color="auto" w:sz="4" w:space="0"/>
              <w:right w:val="single" w:color="auto" w:sz="4" w:space="0"/>
            </w:tcBorders>
            <w:vAlign w:val="center"/>
          </w:tcPr>
          <w:p w14:paraId="6655B9C8">
            <w:pPr>
              <w:ind w:firstLine="440" w:firstLineChars="200"/>
              <w:rPr>
                <w:rFonts w:hint="eastAsia" w:ascii="仿宋" w:hAnsi="仿宋" w:eastAsia="仿宋" w:cs="仿宋"/>
                <w:color w:val="auto"/>
                <w:sz w:val="22"/>
                <w:szCs w:val="22"/>
                <w:lang w:val="en-US" w:eastAsia="zh-CN"/>
              </w:rPr>
            </w:pPr>
          </w:p>
        </w:tc>
      </w:tr>
      <w:tr w14:paraId="55F5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62A4D9F">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2.2中标人围绕采购人设备维护服务所聘用的工作人员必须身体健康 (向采购人提供工作员工有效期内的健康证或者半年内有效的体检报告) 、在上岗前须进行岗位安全教育和与岗位相关的业务技能培训。上岗后，应主动接受采购人提出的合理建议、院感管理中的防护培训、院方主管部门在工作上的监督与考核；</w:t>
            </w:r>
          </w:p>
        </w:tc>
        <w:tc>
          <w:tcPr>
            <w:tcW w:w="1699" w:type="dxa"/>
            <w:tcBorders>
              <w:top w:val="single" w:color="auto" w:sz="4" w:space="0"/>
              <w:left w:val="single" w:color="auto" w:sz="4" w:space="0"/>
              <w:bottom w:val="single" w:color="auto" w:sz="4" w:space="0"/>
              <w:right w:val="single" w:color="auto" w:sz="4" w:space="0"/>
            </w:tcBorders>
            <w:vAlign w:val="center"/>
          </w:tcPr>
          <w:p w14:paraId="561B1CC5">
            <w:pPr>
              <w:ind w:firstLine="440" w:firstLineChars="200"/>
              <w:rPr>
                <w:rFonts w:hint="eastAsia" w:ascii="仿宋" w:hAnsi="仿宋" w:eastAsia="仿宋" w:cs="仿宋"/>
                <w:color w:val="auto"/>
                <w:sz w:val="22"/>
                <w:szCs w:val="22"/>
                <w:lang w:val="en-US" w:eastAsia="zh-CN"/>
              </w:rPr>
            </w:pPr>
          </w:p>
        </w:tc>
      </w:tr>
      <w:tr w14:paraId="0A78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EFB9FF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2.3中标人项目负责人应及时向采购人设备管理部门负责人汇报工作进度，请示工作中碰到的问题，遇到重大问题时不得擅自决定解决方案，及时汇报和沟通；</w:t>
            </w:r>
          </w:p>
        </w:tc>
        <w:tc>
          <w:tcPr>
            <w:tcW w:w="1699" w:type="dxa"/>
            <w:tcBorders>
              <w:top w:val="single" w:color="auto" w:sz="4" w:space="0"/>
              <w:left w:val="single" w:color="auto" w:sz="4" w:space="0"/>
              <w:bottom w:val="single" w:color="auto" w:sz="4" w:space="0"/>
              <w:right w:val="single" w:color="auto" w:sz="4" w:space="0"/>
            </w:tcBorders>
            <w:vAlign w:val="center"/>
          </w:tcPr>
          <w:p w14:paraId="220F6931">
            <w:pPr>
              <w:ind w:firstLine="440" w:firstLineChars="200"/>
              <w:rPr>
                <w:rFonts w:hint="eastAsia" w:ascii="仿宋" w:hAnsi="仿宋" w:eastAsia="仿宋" w:cs="仿宋"/>
                <w:color w:val="auto"/>
                <w:sz w:val="22"/>
                <w:szCs w:val="22"/>
                <w:lang w:val="en-US" w:eastAsia="zh-CN"/>
              </w:rPr>
            </w:pPr>
          </w:p>
        </w:tc>
      </w:tr>
      <w:tr w14:paraId="2038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C51B87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2.4服务期内，驻场人员因服务态度差、专业技术水平低、造成科室一定经济损失等原因 ，被临床科室一个月内有效投诉2次 (含) 以上的人员，采购人有权要求中标人立即更换具有以上相应资质的人员； 中标人指定的工程师工作不符合本合同要求的，采购人有权要求更换，中标人应自采购人提出更换要求之日起15个工作日内更换资质不低于原指定工程师资质并符合本合同其他要求的工程师提供服务，否则采购人有权按实际情况酌情扣除服务费；</w:t>
            </w:r>
          </w:p>
        </w:tc>
        <w:tc>
          <w:tcPr>
            <w:tcW w:w="1699" w:type="dxa"/>
            <w:tcBorders>
              <w:top w:val="single" w:color="auto" w:sz="4" w:space="0"/>
              <w:left w:val="single" w:color="auto" w:sz="4" w:space="0"/>
              <w:bottom w:val="single" w:color="auto" w:sz="4" w:space="0"/>
              <w:right w:val="single" w:color="auto" w:sz="4" w:space="0"/>
            </w:tcBorders>
            <w:vAlign w:val="center"/>
          </w:tcPr>
          <w:p w14:paraId="147F8CBF">
            <w:pPr>
              <w:ind w:firstLine="440" w:firstLineChars="200"/>
              <w:rPr>
                <w:rFonts w:hint="eastAsia" w:ascii="仿宋" w:hAnsi="仿宋" w:eastAsia="仿宋" w:cs="仿宋"/>
                <w:color w:val="auto"/>
                <w:sz w:val="22"/>
                <w:szCs w:val="22"/>
                <w:lang w:val="en-US" w:eastAsia="zh-CN"/>
              </w:rPr>
            </w:pPr>
          </w:p>
        </w:tc>
      </w:tr>
      <w:tr w14:paraId="4D23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03D3CF0">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2.5中标人保证驻点工程师按照医院规定时间上下班，需每月制定排班表并提交给采购人备案，如发现有无故迟到、早退、离岗等情况，项目负责人记录一次扣维保费500元/天,工程师记录一次扣维保费200元/天；</w:t>
            </w:r>
          </w:p>
        </w:tc>
        <w:tc>
          <w:tcPr>
            <w:tcW w:w="1699" w:type="dxa"/>
            <w:tcBorders>
              <w:top w:val="single" w:color="auto" w:sz="4" w:space="0"/>
              <w:left w:val="single" w:color="auto" w:sz="4" w:space="0"/>
              <w:bottom w:val="single" w:color="auto" w:sz="4" w:space="0"/>
              <w:right w:val="single" w:color="auto" w:sz="4" w:space="0"/>
            </w:tcBorders>
            <w:vAlign w:val="center"/>
          </w:tcPr>
          <w:p w14:paraId="59EBE291">
            <w:pPr>
              <w:ind w:firstLine="440" w:firstLineChars="200"/>
              <w:rPr>
                <w:rFonts w:hint="eastAsia" w:ascii="仿宋" w:hAnsi="仿宋" w:eastAsia="仿宋" w:cs="仿宋"/>
                <w:color w:val="auto"/>
                <w:sz w:val="22"/>
                <w:szCs w:val="22"/>
                <w:lang w:val="en-US" w:eastAsia="zh-CN"/>
              </w:rPr>
            </w:pPr>
          </w:p>
        </w:tc>
      </w:tr>
      <w:tr w14:paraId="764A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DA7B11F">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中标人需给驻场人员购买社会保险或商业保险，做好驻场人员安全教育，保障驻场人员人身安全，保障驻场人员服务期间的人身、财产安全。如有需要赔付的情况发生，中标人购买的保险无法足额赔付，由中标人补足；</w:t>
            </w:r>
          </w:p>
        </w:tc>
        <w:tc>
          <w:tcPr>
            <w:tcW w:w="1699" w:type="dxa"/>
            <w:tcBorders>
              <w:top w:val="single" w:color="auto" w:sz="4" w:space="0"/>
              <w:left w:val="single" w:color="auto" w:sz="4" w:space="0"/>
              <w:bottom w:val="single" w:color="auto" w:sz="4" w:space="0"/>
              <w:right w:val="single" w:color="auto" w:sz="4" w:space="0"/>
            </w:tcBorders>
            <w:vAlign w:val="center"/>
          </w:tcPr>
          <w:p w14:paraId="1568A8F9">
            <w:pPr>
              <w:ind w:firstLine="440" w:firstLineChars="200"/>
              <w:rPr>
                <w:rFonts w:hint="eastAsia" w:ascii="仿宋" w:hAnsi="仿宋" w:eastAsia="仿宋" w:cs="仿宋"/>
                <w:color w:val="auto"/>
                <w:sz w:val="22"/>
                <w:szCs w:val="22"/>
                <w:lang w:val="en-US" w:eastAsia="zh-CN"/>
              </w:rPr>
            </w:pPr>
          </w:p>
        </w:tc>
      </w:tr>
      <w:tr w14:paraId="5D32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21993DF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 为确保本次招标项目管理规范、实施有力，中标人应成立项目组，按采购人要求完成项目的实施。中标人要按国家及深圳的有关法规、设计标准、技术规范，以及约定的工作内容、技术标准、工作进度和成果要求进行工作，在规定时间内完成采购人的服务要求，并对服务质量负责；</w:t>
            </w:r>
          </w:p>
        </w:tc>
        <w:tc>
          <w:tcPr>
            <w:tcW w:w="1699" w:type="dxa"/>
            <w:tcBorders>
              <w:top w:val="single" w:color="auto" w:sz="4" w:space="0"/>
              <w:left w:val="single" w:color="auto" w:sz="4" w:space="0"/>
              <w:bottom w:val="single" w:color="auto" w:sz="4" w:space="0"/>
              <w:right w:val="single" w:color="auto" w:sz="4" w:space="0"/>
            </w:tcBorders>
            <w:vAlign w:val="center"/>
          </w:tcPr>
          <w:p w14:paraId="521A49BE">
            <w:pPr>
              <w:ind w:firstLine="440" w:firstLineChars="200"/>
              <w:rPr>
                <w:rFonts w:hint="eastAsia" w:ascii="仿宋" w:hAnsi="仿宋" w:eastAsia="仿宋" w:cs="仿宋"/>
                <w:color w:val="auto"/>
                <w:sz w:val="22"/>
                <w:szCs w:val="22"/>
                <w:lang w:val="en-US" w:eastAsia="zh-CN"/>
              </w:rPr>
            </w:pPr>
          </w:p>
        </w:tc>
      </w:tr>
      <w:tr w14:paraId="74E9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2BF5C6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 中标人要配合采购人实施、完成采购人交付的各项任务，并对项目各工作阶段向采购人汇报，并提供相应的技术咨询服务。对所提交的各阶段工作进展文件，中标人须按照采购人提供的书面审查或审批意见进行修改完善；</w:t>
            </w:r>
          </w:p>
        </w:tc>
        <w:tc>
          <w:tcPr>
            <w:tcW w:w="1699" w:type="dxa"/>
            <w:tcBorders>
              <w:top w:val="single" w:color="auto" w:sz="4" w:space="0"/>
              <w:left w:val="single" w:color="auto" w:sz="4" w:space="0"/>
              <w:bottom w:val="single" w:color="auto" w:sz="4" w:space="0"/>
              <w:right w:val="single" w:color="auto" w:sz="4" w:space="0"/>
            </w:tcBorders>
            <w:vAlign w:val="center"/>
          </w:tcPr>
          <w:p w14:paraId="3CA9A5C1">
            <w:pPr>
              <w:ind w:firstLine="440" w:firstLineChars="200"/>
              <w:rPr>
                <w:rFonts w:hint="eastAsia" w:ascii="仿宋" w:hAnsi="仿宋" w:eastAsia="仿宋" w:cs="仿宋"/>
                <w:color w:val="auto"/>
                <w:sz w:val="22"/>
                <w:szCs w:val="22"/>
                <w:lang w:val="en-US" w:eastAsia="zh-CN"/>
              </w:rPr>
            </w:pPr>
          </w:p>
        </w:tc>
      </w:tr>
      <w:tr w14:paraId="706A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E0389A8">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2.9 遇特殊任务，采购人有权要求适当增派在岗人员，并延长工作时长。要求中标人在医院24小时有工程师值班，提高运维响应速度。中标人应给驻场工作人人员提供在职培训和继续教育计划。中标人应定期更新上述全体员工信息且发至采购人。</w:t>
            </w:r>
          </w:p>
        </w:tc>
        <w:tc>
          <w:tcPr>
            <w:tcW w:w="1699" w:type="dxa"/>
            <w:tcBorders>
              <w:top w:val="single" w:color="auto" w:sz="4" w:space="0"/>
              <w:left w:val="single" w:color="auto" w:sz="4" w:space="0"/>
              <w:bottom w:val="single" w:color="auto" w:sz="4" w:space="0"/>
              <w:right w:val="single" w:color="auto" w:sz="4" w:space="0"/>
            </w:tcBorders>
            <w:vAlign w:val="center"/>
          </w:tcPr>
          <w:p w14:paraId="0657262D">
            <w:pPr>
              <w:ind w:firstLine="440" w:firstLineChars="200"/>
              <w:rPr>
                <w:rFonts w:hint="eastAsia" w:ascii="仿宋" w:hAnsi="仿宋" w:eastAsia="仿宋" w:cs="仿宋"/>
                <w:color w:val="auto"/>
                <w:sz w:val="22"/>
                <w:szCs w:val="22"/>
                <w:lang w:val="en-US" w:eastAsia="zh-CN"/>
              </w:rPr>
            </w:pPr>
          </w:p>
        </w:tc>
      </w:tr>
      <w:tr w14:paraId="20F8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D8E44A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（十一）项目场地管理要求</w:t>
            </w:r>
          </w:p>
        </w:tc>
        <w:tc>
          <w:tcPr>
            <w:tcW w:w="1699" w:type="dxa"/>
            <w:tcBorders>
              <w:top w:val="single" w:color="auto" w:sz="4" w:space="0"/>
              <w:left w:val="single" w:color="auto" w:sz="4" w:space="0"/>
              <w:bottom w:val="single" w:color="auto" w:sz="4" w:space="0"/>
              <w:right w:val="single" w:color="auto" w:sz="4" w:space="0"/>
            </w:tcBorders>
            <w:vAlign w:val="center"/>
          </w:tcPr>
          <w:p w14:paraId="3F6A0940">
            <w:pPr>
              <w:ind w:firstLine="440" w:firstLineChars="200"/>
              <w:rPr>
                <w:rFonts w:hint="eastAsia" w:ascii="仿宋" w:hAnsi="仿宋" w:eastAsia="仿宋" w:cs="仿宋"/>
                <w:color w:val="auto"/>
                <w:sz w:val="22"/>
                <w:szCs w:val="22"/>
                <w:lang w:val="en-US" w:eastAsia="zh-CN"/>
              </w:rPr>
            </w:pPr>
          </w:p>
        </w:tc>
      </w:tr>
      <w:tr w14:paraId="1E05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DFEEF6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1.中标人需提供全年24小时x365日在医院全职的值班驻场维护服务。以固定电话结合值班手机（值班手机由中标人提供）的方式保障全院尤其是门急诊、检查检验科室、住院病区等保障需求；</w:t>
            </w:r>
          </w:p>
        </w:tc>
        <w:tc>
          <w:tcPr>
            <w:tcW w:w="1699" w:type="dxa"/>
            <w:tcBorders>
              <w:top w:val="single" w:color="auto" w:sz="4" w:space="0"/>
              <w:left w:val="single" w:color="auto" w:sz="4" w:space="0"/>
              <w:bottom w:val="single" w:color="auto" w:sz="4" w:space="0"/>
              <w:right w:val="single" w:color="auto" w:sz="4" w:space="0"/>
            </w:tcBorders>
            <w:vAlign w:val="center"/>
          </w:tcPr>
          <w:p w14:paraId="77B2D7B6">
            <w:pPr>
              <w:ind w:firstLine="440" w:firstLineChars="200"/>
              <w:rPr>
                <w:rFonts w:hint="eastAsia" w:ascii="仿宋" w:hAnsi="仿宋" w:eastAsia="仿宋" w:cs="仿宋"/>
                <w:color w:val="auto"/>
                <w:sz w:val="22"/>
                <w:szCs w:val="22"/>
                <w:lang w:val="en-US" w:eastAsia="zh-CN"/>
              </w:rPr>
            </w:pPr>
          </w:p>
        </w:tc>
      </w:tr>
      <w:tr w14:paraId="4C09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9DD7FE9">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中标人驻场人员日常办公、维修固定用房及值班休息室由采购人免费提供，但该房间所有的装修改造费用、货架、文件档案柜、维修操作台、办公使用的计算机和打印机及办公设施采购费用、维修工具采购费用、驻场人员工牌工服制作费用、各类指示牌费用等全部由中标人承担。</w:t>
            </w:r>
          </w:p>
        </w:tc>
        <w:tc>
          <w:tcPr>
            <w:tcW w:w="1699" w:type="dxa"/>
            <w:tcBorders>
              <w:top w:val="single" w:color="auto" w:sz="4" w:space="0"/>
              <w:left w:val="single" w:color="auto" w:sz="4" w:space="0"/>
              <w:bottom w:val="single" w:color="auto" w:sz="4" w:space="0"/>
              <w:right w:val="single" w:color="auto" w:sz="4" w:space="0"/>
            </w:tcBorders>
            <w:vAlign w:val="center"/>
          </w:tcPr>
          <w:p w14:paraId="6DE0A085">
            <w:pPr>
              <w:ind w:firstLine="440" w:firstLineChars="200"/>
              <w:rPr>
                <w:rFonts w:hint="eastAsia" w:ascii="仿宋" w:hAnsi="仿宋" w:eastAsia="仿宋" w:cs="仿宋"/>
                <w:color w:val="auto"/>
                <w:sz w:val="22"/>
                <w:szCs w:val="22"/>
                <w:lang w:val="en-US" w:eastAsia="zh-CN"/>
              </w:rPr>
            </w:pPr>
          </w:p>
        </w:tc>
      </w:tr>
      <w:tr w14:paraId="25ED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5152865">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（十二）医学装备调配管理要求</w:t>
            </w:r>
          </w:p>
        </w:tc>
        <w:tc>
          <w:tcPr>
            <w:tcW w:w="1699" w:type="dxa"/>
            <w:tcBorders>
              <w:top w:val="single" w:color="auto" w:sz="4" w:space="0"/>
              <w:left w:val="single" w:color="auto" w:sz="4" w:space="0"/>
              <w:bottom w:val="single" w:color="auto" w:sz="4" w:space="0"/>
              <w:right w:val="single" w:color="auto" w:sz="4" w:space="0"/>
            </w:tcBorders>
            <w:vAlign w:val="center"/>
          </w:tcPr>
          <w:p w14:paraId="055B73EE">
            <w:pPr>
              <w:ind w:firstLine="440" w:firstLineChars="200"/>
              <w:rPr>
                <w:rFonts w:hint="eastAsia" w:ascii="仿宋" w:hAnsi="仿宋" w:eastAsia="仿宋" w:cs="仿宋"/>
                <w:color w:val="auto"/>
                <w:sz w:val="22"/>
                <w:szCs w:val="22"/>
                <w:lang w:val="en-US" w:eastAsia="zh-CN"/>
              </w:rPr>
            </w:pPr>
          </w:p>
        </w:tc>
      </w:tr>
      <w:tr w14:paraId="313A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E3CA707">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1.如采购人有需求，中标人应协助采购人建立生命支持类设备和急救类医疗设备调配中心，提供科学规范的软、硬件管理方案，实现院内资源共享，提高设备的使用效率，实时监管，保留使用记录。</w:t>
            </w:r>
          </w:p>
        </w:tc>
        <w:tc>
          <w:tcPr>
            <w:tcW w:w="1699" w:type="dxa"/>
            <w:tcBorders>
              <w:top w:val="single" w:color="auto" w:sz="4" w:space="0"/>
              <w:left w:val="single" w:color="auto" w:sz="4" w:space="0"/>
              <w:bottom w:val="single" w:color="auto" w:sz="4" w:space="0"/>
              <w:right w:val="single" w:color="auto" w:sz="4" w:space="0"/>
            </w:tcBorders>
            <w:vAlign w:val="center"/>
          </w:tcPr>
          <w:p w14:paraId="1B67BA47">
            <w:pPr>
              <w:ind w:firstLine="440" w:firstLineChars="200"/>
              <w:rPr>
                <w:rFonts w:hint="eastAsia" w:ascii="仿宋" w:hAnsi="仿宋" w:eastAsia="仿宋" w:cs="仿宋"/>
                <w:color w:val="auto"/>
                <w:sz w:val="22"/>
                <w:szCs w:val="22"/>
                <w:lang w:val="en-US" w:eastAsia="zh-CN"/>
              </w:rPr>
            </w:pPr>
          </w:p>
        </w:tc>
      </w:tr>
      <w:tr w14:paraId="7BAD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68ACAB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2.中标人需协助采购人建立全院保障设备应急调配机制和应急预案管理程序，设备发生故障时保证有紧急替代流程，急救类、生命支持类医疗设备有应急预案，开展应急调配演练，以保障紧急救援工作需求。</w:t>
            </w:r>
          </w:p>
        </w:tc>
        <w:tc>
          <w:tcPr>
            <w:tcW w:w="1699" w:type="dxa"/>
            <w:tcBorders>
              <w:top w:val="single" w:color="auto" w:sz="4" w:space="0"/>
              <w:left w:val="single" w:color="auto" w:sz="4" w:space="0"/>
              <w:bottom w:val="single" w:color="auto" w:sz="4" w:space="0"/>
              <w:right w:val="single" w:color="auto" w:sz="4" w:space="0"/>
            </w:tcBorders>
            <w:vAlign w:val="center"/>
          </w:tcPr>
          <w:p w14:paraId="49A111B2">
            <w:pPr>
              <w:ind w:firstLine="440" w:firstLineChars="200"/>
              <w:rPr>
                <w:rFonts w:hint="eastAsia" w:ascii="仿宋" w:hAnsi="仿宋" w:eastAsia="仿宋" w:cs="仿宋"/>
                <w:color w:val="auto"/>
                <w:sz w:val="22"/>
                <w:szCs w:val="22"/>
                <w:lang w:val="en-US" w:eastAsia="zh-CN"/>
              </w:rPr>
            </w:pPr>
          </w:p>
        </w:tc>
      </w:tr>
      <w:tr w14:paraId="5335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4370E6D">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3.中标人需对医院设备科应急库的办公设备、医疗设备、备用零配件等固定资产做好管理工作，对损坏、丢失的按资产原值对采购人进行赔偿。</w:t>
            </w:r>
          </w:p>
        </w:tc>
        <w:tc>
          <w:tcPr>
            <w:tcW w:w="1699" w:type="dxa"/>
            <w:tcBorders>
              <w:top w:val="single" w:color="auto" w:sz="4" w:space="0"/>
              <w:left w:val="single" w:color="auto" w:sz="4" w:space="0"/>
              <w:bottom w:val="single" w:color="auto" w:sz="4" w:space="0"/>
              <w:right w:val="single" w:color="auto" w:sz="4" w:space="0"/>
            </w:tcBorders>
            <w:vAlign w:val="center"/>
          </w:tcPr>
          <w:p w14:paraId="396ADCB8">
            <w:pPr>
              <w:ind w:firstLine="440" w:firstLineChars="200"/>
              <w:rPr>
                <w:rFonts w:hint="eastAsia" w:ascii="仿宋" w:hAnsi="仿宋" w:eastAsia="仿宋" w:cs="仿宋"/>
                <w:color w:val="auto"/>
                <w:sz w:val="22"/>
                <w:szCs w:val="22"/>
                <w:lang w:val="en-US" w:eastAsia="zh-CN"/>
              </w:rPr>
            </w:pPr>
          </w:p>
        </w:tc>
      </w:tr>
      <w:tr w14:paraId="6675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347276D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（十二）医学装备调配管理要求</w:t>
            </w:r>
          </w:p>
        </w:tc>
        <w:tc>
          <w:tcPr>
            <w:tcW w:w="1699" w:type="dxa"/>
            <w:tcBorders>
              <w:top w:val="single" w:color="auto" w:sz="4" w:space="0"/>
              <w:left w:val="single" w:color="auto" w:sz="4" w:space="0"/>
              <w:bottom w:val="single" w:color="auto" w:sz="4" w:space="0"/>
              <w:right w:val="single" w:color="auto" w:sz="4" w:space="0"/>
            </w:tcBorders>
            <w:vAlign w:val="center"/>
          </w:tcPr>
          <w:p w14:paraId="09B2E748">
            <w:pPr>
              <w:ind w:firstLine="440" w:firstLineChars="200"/>
              <w:rPr>
                <w:rFonts w:hint="eastAsia" w:ascii="仿宋" w:hAnsi="仿宋" w:eastAsia="仿宋" w:cs="仿宋"/>
                <w:color w:val="auto"/>
                <w:sz w:val="22"/>
                <w:szCs w:val="22"/>
                <w:lang w:val="en-US" w:eastAsia="zh-CN"/>
              </w:rPr>
            </w:pPr>
          </w:p>
        </w:tc>
      </w:tr>
      <w:tr w14:paraId="6BDE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C3114BF">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1.如采购人有需求，中标人应协助采购人建立生命支持类设备和急救类医疗设备调配中心，提供科学规范的软、硬件管理方案，实现院内资源共享，提高设备的使用效率，实时监管，保留使用记录。</w:t>
            </w:r>
          </w:p>
        </w:tc>
        <w:tc>
          <w:tcPr>
            <w:tcW w:w="1699" w:type="dxa"/>
            <w:tcBorders>
              <w:top w:val="single" w:color="auto" w:sz="4" w:space="0"/>
              <w:left w:val="single" w:color="auto" w:sz="4" w:space="0"/>
              <w:bottom w:val="single" w:color="auto" w:sz="4" w:space="0"/>
              <w:right w:val="single" w:color="auto" w:sz="4" w:space="0"/>
            </w:tcBorders>
            <w:vAlign w:val="center"/>
          </w:tcPr>
          <w:p w14:paraId="7E8CE420">
            <w:pPr>
              <w:ind w:firstLine="440" w:firstLineChars="200"/>
              <w:rPr>
                <w:rFonts w:hint="eastAsia" w:ascii="仿宋" w:hAnsi="仿宋" w:eastAsia="仿宋" w:cs="仿宋"/>
                <w:color w:val="auto"/>
                <w:sz w:val="22"/>
                <w:szCs w:val="22"/>
                <w:lang w:val="en-US" w:eastAsia="zh-CN"/>
              </w:rPr>
            </w:pPr>
          </w:p>
        </w:tc>
      </w:tr>
      <w:tr w14:paraId="192B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9215C74">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（十四）其他要求</w:t>
            </w:r>
          </w:p>
        </w:tc>
        <w:tc>
          <w:tcPr>
            <w:tcW w:w="1699" w:type="dxa"/>
            <w:tcBorders>
              <w:top w:val="single" w:color="auto" w:sz="4" w:space="0"/>
              <w:left w:val="single" w:color="auto" w:sz="4" w:space="0"/>
              <w:bottom w:val="single" w:color="auto" w:sz="4" w:space="0"/>
              <w:right w:val="single" w:color="auto" w:sz="4" w:space="0"/>
            </w:tcBorders>
            <w:vAlign w:val="center"/>
          </w:tcPr>
          <w:p w14:paraId="469F9E68">
            <w:pPr>
              <w:ind w:firstLine="440" w:firstLineChars="200"/>
              <w:rPr>
                <w:rFonts w:hint="eastAsia" w:ascii="仿宋" w:hAnsi="仿宋" w:eastAsia="仿宋" w:cs="仿宋"/>
                <w:color w:val="auto"/>
                <w:sz w:val="22"/>
                <w:szCs w:val="22"/>
                <w:lang w:val="en-US" w:eastAsia="zh-CN"/>
              </w:rPr>
            </w:pPr>
          </w:p>
        </w:tc>
      </w:tr>
      <w:tr w14:paraId="1737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0A05AA26">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1.根据科室需要联系厂家进行操作培训；</w:t>
            </w:r>
          </w:p>
        </w:tc>
        <w:tc>
          <w:tcPr>
            <w:tcW w:w="1699" w:type="dxa"/>
            <w:tcBorders>
              <w:top w:val="single" w:color="auto" w:sz="4" w:space="0"/>
              <w:left w:val="single" w:color="auto" w:sz="4" w:space="0"/>
              <w:bottom w:val="single" w:color="auto" w:sz="4" w:space="0"/>
              <w:right w:val="single" w:color="auto" w:sz="4" w:space="0"/>
            </w:tcBorders>
            <w:vAlign w:val="center"/>
          </w:tcPr>
          <w:p w14:paraId="635D7115">
            <w:pPr>
              <w:ind w:firstLine="440" w:firstLineChars="200"/>
              <w:rPr>
                <w:rFonts w:hint="eastAsia" w:ascii="仿宋" w:hAnsi="仿宋" w:eastAsia="仿宋" w:cs="仿宋"/>
                <w:color w:val="auto"/>
                <w:sz w:val="22"/>
                <w:szCs w:val="22"/>
                <w:lang w:val="en-US" w:eastAsia="zh-CN"/>
              </w:rPr>
            </w:pPr>
          </w:p>
        </w:tc>
      </w:tr>
      <w:tr w14:paraId="478E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20C652D">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2.协助采购人定期进行医疗设备实物盘点清查；</w:t>
            </w:r>
          </w:p>
        </w:tc>
        <w:tc>
          <w:tcPr>
            <w:tcW w:w="1699" w:type="dxa"/>
            <w:tcBorders>
              <w:top w:val="single" w:color="auto" w:sz="4" w:space="0"/>
              <w:left w:val="single" w:color="auto" w:sz="4" w:space="0"/>
              <w:bottom w:val="single" w:color="auto" w:sz="4" w:space="0"/>
              <w:right w:val="single" w:color="auto" w:sz="4" w:space="0"/>
            </w:tcBorders>
            <w:vAlign w:val="center"/>
          </w:tcPr>
          <w:p w14:paraId="71B88616">
            <w:pPr>
              <w:ind w:firstLine="440" w:firstLineChars="200"/>
              <w:rPr>
                <w:rFonts w:hint="eastAsia" w:ascii="仿宋" w:hAnsi="仿宋" w:eastAsia="仿宋" w:cs="仿宋"/>
                <w:color w:val="auto"/>
                <w:sz w:val="22"/>
                <w:szCs w:val="22"/>
                <w:lang w:val="en-US" w:eastAsia="zh-CN"/>
              </w:rPr>
            </w:pPr>
          </w:p>
        </w:tc>
      </w:tr>
      <w:tr w14:paraId="4769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CC40CC2">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3.中标人需协助采购人完成质量管理方面的课题，如负责每年提供至少1个完整的PDCA持续改进案例，PDCA项目立项需经采购人设备管理部门审核同意后执行；</w:t>
            </w:r>
          </w:p>
        </w:tc>
        <w:tc>
          <w:tcPr>
            <w:tcW w:w="1699" w:type="dxa"/>
            <w:tcBorders>
              <w:top w:val="single" w:color="auto" w:sz="4" w:space="0"/>
              <w:left w:val="single" w:color="auto" w:sz="4" w:space="0"/>
              <w:bottom w:val="single" w:color="auto" w:sz="4" w:space="0"/>
              <w:right w:val="single" w:color="auto" w:sz="4" w:space="0"/>
            </w:tcBorders>
            <w:vAlign w:val="center"/>
          </w:tcPr>
          <w:p w14:paraId="27D50587">
            <w:pPr>
              <w:ind w:firstLine="440" w:firstLineChars="200"/>
              <w:rPr>
                <w:rFonts w:hint="eastAsia" w:ascii="仿宋" w:hAnsi="仿宋" w:eastAsia="仿宋" w:cs="仿宋"/>
                <w:color w:val="auto"/>
                <w:sz w:val="22"/>
                <w:szCs w:val="22"/>
                <w:lang w:val="en-US" w:eastAsia="zh-CN"/>
              </w:rPr>
            </w:pPr>
          </w:p>
        </w:tc>
      </w:tr>
      <w:tr w14:paraId="6E42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4FC1CA39">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4.全力配合采购人接受各级部门检查；</w:t>
            </w:r>
          </w:p>
        </w:tc>
        <w:tc>
          <w:tcPr>
            <w:tcW w:w="1699" w:type="dxa"/>
            <w:tcBorders>
              <w:top w:val="single" w:color="auto" w:sz="4" w:space="0"/>
              <w:left w:val="single" w:color="auto" w:sz="4" w:space="0"/>
              <w:bottom w:val="single" w:color="auto" w:sz="4" w:space="0"/>
              <w:right w:val="single" w:color="auto" w:sz="4" w:space="0"/>
            </w:tcBorders>
            <w:vAlign w:val="center"/>
          </w:tcPr>
          <w:p w14:paraId="108AB52F">
            <w:pPr>
              <w:ind w:firstLine="440" w:firstLineChars="200"/>
              <w:rPr>
                <w:rFonts w:hint="eastAsia" w:ascii="仿宋" w:hAnsi="仿宋" w:eastAsia="仿宋" w:cs="仿宋"/>
                <w:color w:val="auto"/>
                <w:sz w:val="22"/>
                <w:szCs w:val="22"/>
                <w:lang w:val="en-US" w:eastAsia="zh-CN"/>
              </w:rPr>
            </w:pPr>
          </w:p>
        </w:tc>
      </w:tr>
      <w:tr w14:paraId="0216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129D9C1">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5.协助采购人进行医疗设备档案整理以及信息系统的档案维护；</w:t>
            </w:r>
          </w:p>
        </w:tc>
        <w:tc>
          <w:tcPr>
            <w:tcW w:w="1699" w:type="dxa"/>
            <w:tcBorders>
              <w:top w:val="single" w:color="auto" w:sz="4" w:space="0"/>
              <w:left w:val="single" w:color="auto" w:sz="4" w:space="0"/>
              <w:bottom w:val="single" w:color="auto" w:sz="4" w:space="0"/>
              <w:right w:val="single" w:color="auto" w:sz="4" w:space="0"/>
            </w:tcBorders>
            <w:vAlign w:val="center"/>
          </w:tcPr>
          <w:p w14:paraId="38457DD5">
            <w:pPr>
              <w:ind w:firstLine="440" w:firstLineChars="200"/>
              <w:rPr>
                <w:rFonts w:hint="eastAsia" w:ascii="仿宋" w:hAnsi="仿宋" w:eastAsia="仿宋" w:cs="仿宋"/>
                <w:color w:val="auto"/>
                <w:sz w:val="22"/>
                <w:szCs w:val="22"/>
                <w:lang w:val="en-US" w:eastAsia="zh-CN"/>
              </w:rPr>
            </w:pPr>
          </w:p>
        </w:tc>
      </w:tr>
      <w:tr w14:paraId="700B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FC34834">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6.如因特殊情况，中标人需增加人手支持工作；</w:t>
            </w:r>
          </w:p>
        </w:tc>
        <w:tc>
          <w:tcPr>
            <w:tcW w:w="1699" w:type="dxa"/>
            <w:tcBorders>
              <w:top w:val="single" w:color="auto" w:sz="4" w:space="0"/>
              <w:left w:val="single" w:color="auto" w:sz="4" w:space="0"/>
              <w:bottom w:val="single" w:color="auto" w:sz="4" w:space="0"/>
              <w:right w:val="single" w:color="auto" w:sz="4" w:space="0"/>
            </w:tcBorders>
            <w:vAlign w:val="center"/>
          </w:tcPr>
          <w:p w14:paraId="1855B5E7">
            <w:pPr>
              <w:ind w:firstLine="440" w:firstLineChars="200"/>
              <w:rPr>
                <w:rFonts w:hint="eastAsia" w:ascii="仿宋" w:hAnsi="仿宋" w:eastAsia="仿宋" w:cs="仿宋"/>
                <w:color w:val="auto"/>
                <w:sz w:val="22"/>
                <w:szCs w:val="22"/>
                <w:lang w:val="en-US" w:eastAsia="zh-CN"/>
              </w:rPr>
            </w:pPr>
          </w:p>
        </w:tc>
      </w:tr>
      <w:tr w14:paraId="38EA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59A8C468">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★7、中标人不得参与采购人单位内部除本项目外的其他维修、保养相关的业务，提供承诺函（格式自拟）。</w:t>
            </w:r>
          </w:p>
        </w:tc>
        <w:tc>
          <w:tcPr>
            <w:tcW w:w="1699" w:type="dxa"/>
            <w:tcBorders>
              <w:top w:val="single" w:color="auto" w:sz="4" w:space="0"/>
              <w:left w:val="single" w:color="auto" w:sz="4" w:space="0"/>
              <w:bottom w:val="single" w:color="auto" w:sz="4" w:space="0"/>
              <w:right w:val="single" w:color="auto" w:sz="4" w:space="0"/>
            </w:tcBorders>
            <w:vAlign w:val="center"/>
          </w:tcPr>
          <w:p w14:paraId="2E367F4D">
            <w:pPr>
              <w:ind w:firstLine="440" w:firstLineChars="200"/>
              <w:rPr>
                <w:rFonts w:hint="eastAsia" w:ascii="仿宋" w:hAnsi="仿宋" w:eastAsia="仿宋" w:cs="仿宋"/>
                <w:color w:val="auto"/>
                <w:sz w:val="22"/>
                <w:szCs w:val="22"/>
                <w:lang w:val="en-US" w:eastAsia="zh-CN"/>
              </w:rPr>
            </w:pPr>
          </w:p>
        </w:tc>
      </w:tr>
      <w:tr w14:paraId="0BA3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765EF58F">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★8.采购人按合同付款要求请款时对中标人进行评价，依照本项目招标文件需求内容、签署的采购合同及中标人在投标中所作的一切投标响应进行验收。</w:t>
            </w:r>
          </w:p>
        </w:tc>
        <w:tc>
          <w:tcPr>
            <w:tcW w:w="1699" w:type="dxa"/>
            <w:tcBorders>
              <w:top w:val="single" w:color="auto" w:sz="4" w:space="0"/>
              <w:left w:val="single" w:color="auto" w:sz="4" w:space="0"/>
              <w:bottom w:val="single" w:color="auto" w:sz="4" w:space="0"/>
              <w:right w:val="single" w:color="auto" w:sz="4" w:space="0"/>
            </w:tcBorders>
            <w:vAlign w:val="center"/>
          </w:tcPr>
          <w:p w14:paraId="0F3D1C7F">
            <w:pPr>
              <w:ind w:firstLine="440" w:firstLineChars="200"/>
              <w:rPr>
                <w:rFonts w:hint="eastAsia" w:ascii="仿宋" w:hAnsi="仿宋" w:eastAsia="仿宋" w:cs="仿宋"/>
                <w:color w:val="auto"/>
                <w:sz w:val="22"/>
                <w:szCs w:val="22"/>
                <w:lang w:val="en-US" w:eastAsia="zh-CN"/>
              </w:rPr>
            </w:pPr>
          </w:p>
        </w:tc>
      </w:tr>
      <w:tr w14:paraId="69B5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1AE45FEE">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投标人需承诺维护服务人员应严格遵守采购人有关法规和政府内部规章制度，不得擅自翻阅、复制、传播所接触的用户资料、患者个人信息或数据。中标人和维护服务人员在上岗前可与采购人签署保密协议书，保证不向外露用户设备数据或用作其他用途。 (提供承诺函，格式自拟)</w:t>
            </w:r>
          </w:p>
        </w:tc>
        <w:tc>
          <w:tcPr>
            <w:tcW w:w="1699" w:type="dxa"/>
            <w:tcBorders>
              <w:top w:val="single" w:color="auto" w:sz="4" w:space="0"/>
              <w:left w:val="single" w:color="auto" w:sz="4" w:space="0"/>
              <w:bottom w:val="single" w:color="auto" w:sz="4" w:space="0"/>
              <w:right w:val="single" w:color="auto" w:sz="4" w:space="0"/>
            </w:tcBorders>
            <w:vAlign w:val="center"/>
          </w:tcPr>
          <w:p w14:paraId="38BF5D8C">
            <w:pPr>
              <w:ind w:firstLine="440" w:firstLineChars="200"/>
              <w:rPr>
                <w:rFonts w:hint="eastAsia" w:ascii="仿宋" w:hAnsi="仿宋" w:eastAsia="仿宋" w:cs="仿宋"/>
                <w:color w:val="auto"/>
                <w:sz w:val="22"/>
                <w:szCs w:val="22"/>
                <w:lang w:val="en-US" w:eastAsia="zh-CN"/>
              </w:rPr>
            </w:pPr>
          </w:p>
        </w:tc>
      </w:tr>
      <w:tr w14:paraId="4E5F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61" w:type="dxa"/>
            <w:tcBorders>
              <w:top w:val="single" w:color="auto" w:sz="4" w:space="0"/>
              <w:left w:val="single" w:color="auto" w:sz="4" w:space="0"/>
              <w:bottom w:val="single" w:color="auto" w:sz="4" w:space="0"/>
              <w:right w:val="single" w:color="auto" w:sz="4" w:space="0"/>
            </w:tcBorders>
            <w:shd w:val="clear" w:color="auto" w:fill="auto"/>
            <w:vAlign w:val="top"/>
          </w:tcPr>
          <w:p w14:paraId="66EBBFFB">
            <w:pPr>
              <w:keepNext w:val="0"/>
              <w:keepLines w:val="0"/>
              <w:widowControl/>
              <w:suppressLineNumbers w:val="0"/>
              <w:ind w:left="0" w:leftChars="0" w:firstLine="0" w:firstLineChars="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10.中标人须提供驻场人员的防护物资(包括口罩、手套) ，做好安全防护工作。中标人须对驻场人员的人身安全负责，凡任何由于中标人驻场人员违章操作造成的安全事故或由于中标人驻场人员工作失误造成的损害责任，采购人概不负责。</w:t>
            </w:r>
          </w:p>
        </w:tc>
        <w:tc>
          <w:tcPr>
            <w:tcW w:w="1699" w:type="dxa"/>
            <w:tcBorders>
              <w:top w:val="single" w:color="auto" w:sz="4" w:space="0"/>
              <w:left w:val="single" w:color="auto" w:sz="4" w:space="0"/>
              <w:bottom w:val="single" w:color="auto" w:sz="4" w:space="0"/>
              <w:right w:val="single" w:color="auto" w:sz="4" w:space="0"/>
            </w:tcBorders>
            <w:vAlign w:val="center"/>
          </w:tcPr>
          <w:p w14:paraId="4438624D">
            <w:pPr>
              <w:ind w:firstLine="440" w:firstLineChars="200"/>
              <w:rPr>
                <w:rFonts w:hint="eastAsia" w:ascii="仿宋" w:hAnsi="仿宋" w:eastAsia="仿宋" w:cs="仿宋"/>
                <w:color w:val="auto"/>
                <w:sz w:val="22"/>
                <w:szCs w:val="22"/>
                <w:lang w:val="en-US" w:eastAsia="zh-CN"/>
              </w:rPr>
            </w:pPr>
          </w:p>
        </w:tc>
      </w:tr>
    </w:tbl>
    <w:p w14:paraId="29C7C5DC">
      <w:pPr>
        <w:rPr>
          <w:rFonts w:hint="default" w:ascii="方正楷体_GB2312" w:hAnsi="方正楷体_GB2312" w:eastAsia="方正楷体_GB2312" w:cs="方正楷体_GB2312"/>
          <w:sz w:val="28"/>
          <w:szCs w:val="2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5251E1-9BBF-4F23-B817-CFD6467C4E8B}"/>
  </w:font>
  <w:font w:name="Courier New">
    <w:panose1 w:val="02070309020205020404"/>
    <w:charset w:val="01"/>
    <w:family w:val="modern"/>
    <w:pitch w:val="default"/>
    <w:sig w:usb0="E0002EFF" w:usb1="C0007843" w:usb2="00000009" w:usb3="00000000" w:csb0="400001FF" w:csb1="FFFF0000"/>
    <w:embedRegular r:id="rId2" w:fontKey="{418532FC-1729-4B85-8020-D4F322B997A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C828DB49-9816-48DF-8D4C-2574A9F54128}"/>
  </w:font>
  <w:font w:name="方正小标宋简体">
    <w:panose1 w:val="02010600010101010101"/>
    <w:charset w:val="86"/>
    <w:family w:val="auto"/>
    <w:pitch w:val="default"/>
    <w:sig w:usb0="00000001" w:usb1="080E0000" w:usb2="00000000" w:usb3="00000000" w:csb0="00040000" w:csb1="00000000"/>
    <w:embedRegular r:id="rId4" w:fontKey="{95370F79-E297-4A8C-A973-3E5DAB076C10}"/>
  </w:font>
  <w:font w:name="方正楷体_GB2312">
    <w:panose1 w:val="02000000000000000000"/>
    <w:charset w:val="86"/>
    <w:family w:val="auto"/>
    <w:pitch w:val="default"/>
    <w:sig w:usb0="A00002BF" w:usb1="184F6CFA" w:usb2="00000012" w:usb3="00000000" w:csb0="00040001" w:csb1="00000000"/>
    <w:embedRegular r:id="rId5" w:fontKey="{51FF1370-BB25-44C3-8538-931F2510A91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43316"/>
    <w:multiLevelType w:val="singleLevel"/>
    <w:tmpl w:val="8CE4331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F6C6F"/>
    <w:rsid w:val="01675739"/>
    <w:rsid w:val="02386B8D"/>
    <w:rsid w:val="032633D2"/>
    <w:rsid w:val="037979A5"/>
    <w:rsid w:val="043D2072"/>
    <w:rsid w:val="06B85617"/>
    <w:rsid w:val="08856DEC"/>
    <w:rsid w:val="08BA4CE8"/>
    <w:rsid w:val="08C276F9"/>
    <w:rsid w:val="09B5725D"/>
    <w:rsid w:val="0A8D3D36"/>
    <w:rsid w:val="0B9A7D7E"/>
    <w:rsid w:val="0C1B6FE5"/>
    <w:rsid w:val="0C2B7EAF"/>
    <w:rsid w:val="0D49488C"/>
    <w:rsid w:val="0DEA29D4"/>
    <w:rsid w:val="0E3F4ADC"/>
    <w:rsid w:val="0F0740B7"/>
    <w:rsid w:val="0F28618C"/>
    <w:rsid w:val="0F735BF1"/>
    <w:rsid w:val="0FBA4D2C"/>
    <w:rsid w:val="11053D8B"/>
    <w:rsid w:val="117A5014"/>
    <w:rsid w:val="11C664AC"/>
    <w:rsid w:val="12266F4A"/>
    <w:rsid w:val="12895E65"/>
    <w:rsid w:val="12D9220E"/>
    <w:rsid w:val="13177405"/>
    <w:rsid w:val="13C909E4"/>
    <w:rsid w:val="142676D5"/>
    <w:rsid w:val="157D3325"/>
    <w:rsid w:val="15DB004C"/>
    <w:rsid w:val="166B7621"/>
    <w:rsid w:val="19260EA3"/>
    <w:rsid w:val="1A472B8C"/>
    <w:rsid w:val="1B423018"/>
    <w:rsid w:val="1BD6378F"/>
    <w:rsid w:val="1BEF0BF4"/>
    <w:rsid w:val="1BF6798D"/>
    <w:rsid w:val="1C3B1844"/>
    <w:rsid w:val="1CEE7B6A"/>
    <w:rsid w:val="1D232A04"/>
    <w:rsid w:val="1D24052A"/>
    <w:rsid w:val="1D884F5D"/>
    <w:rsid w:val="1DED79A4"/>
    <w:rsid w:val="1E2F356F"/>
    <w:rsid w:val="1E7E516C"/>
    <w:rsid w:val="1EFA1543"/>
    <w:rsid w:val="1FC87893"/>
    <w:rsid w:val="20256A93"/>
    <w:rsid w:val="20615CC9"/>
    <w:rsid w:val="20684BD2"/>
    <w:rsid w:val="20887022"/>
    <w:rsid w:val="20FD698D"/>
    <w:rsid w:val="213E297B"/>
    <w:rsid w:val="22003C37"/>
    <w:rsid w:val="226E1867"/>
    <w:rsid w:val="22B95C64"/>
    <w:rsid w:val="22C53076"/>
    <w:rsid w:val="22F34C27"/>
    <w:rsid w:val="24044C11"/>
    <w:rsid w:val="240B5FA0"/>
    <w:rsid w:val="248F4E23"/>
    <w:rsid w:val="267F67D1"/>
    <w:rsid w:val="270E1222"/>
    <w:rsid w:val="27D36DD5"/>
    <w:rsid w:val="280B38A0"/>
    <w:rsid w:val="287700A8"/>
    <w:rsid w:val="28DE3C83"/>
    <w:rsid w:val="29B42C36"/>
    <w:rsid w:val="29BA46F0"/>
    <w:rsid w:val="29CB06AB"/>
    <w:rsid w:val="2A1D6A2D"/>
    <w:rsid w:val="2A834AE2"/>
    <w:rsid w:val="2A93421F"/>
    <w:rsid w:val="2B0A3F4C"/>
    <w:rsid w:val="2B3F23E7"/>
    <w:rsid w:val="2BBF5FEE"/>
    <w:rsid w:val="2BE617CC"/>
    <w:rsid w:val="2C153E60"/>
    <w:rsid w:val="2CA3146B"/>
    <w:rsid w:val="2E5C202E"/>
    <w:rsid w:val="30E91417"/>
    <w:rsid w:val="30FD1044"/>
    <w:rsid w:val="311A27C5"/>
    <w:rsid w:val="31276728"/>
    <w:rsid w:val="318625CD"/>
    <w:rsid w:val="318D4498"/>
    <w:rsid w:val="32CF6B69"/>
    <w:rsid w:val="32E26A66"/>
    <w:rsid w:val="32FD564D"/>
    <w:rsid w:val="346A6D13"/>
    <w:rsid w:val="3538296D"/>
    <w:rsid w:val="355E0625"/>
    <w:rsid w:val="358B2B82"/>
    <w:rsid w:val="3592207D"/>
    <w:rsid w:val="36B97ADD"/>
    <w:rsid w:val="36E47F7B"/>
    <w:rsid w:val="377B5B91"/>
    <w:rsid w:val="379D2F5B"/>
    <w:rsid w:val="38833B06"/>
    <w:rsid w:val="38CA7D80"/>
    <w:rsid w:val="3905242B"/>
    <w:rsid w:val="396C0E37"/>
    <w:rsid w:val="3A1219DE"/>
    <w:rsid w:val="3AC16F61"/>
    <w:rsid w:val="3B8E1539"/>
    <w:rsid w:val="3C776471"/>
    <w:rsid w:val="3CCA2A44"/>
    <w:rsid w:val="3D1F3BE3"/>
    <w:rsid w:val="3E5720B6"/>
    <w:rsid w:val="3E970704"/>
    <w:rsid w:val="3EA370A9"/>
    <w:rsid w:val="3EE85404"/>
    <w:rsid w:val="3EF95178"/>
    <w:rsid w:val="3F303DAA"/>
    <w:rsid w:val="3F6F51DD"/>
    <w:rsid w:val="40C94DC1"/>
    <w:rsid w:val="40D43E92"/>
    <w:rsid w:val="437D59B5"/>
    <w:rsid w:val="44112D07"/>
    <w:rsid w:val="44862B8A"/>
    <w:rsid w:val="44C47537"/>
    <w:rsid w:val="45297C62"/>
    <w:rsid w:val="460E27B6"/>
    <w:rsid w:val="46B75DE7"/>
    <w:rsid w:val="47540318"/>
    <w:rsid w:val="4A8A736F"/>
    <w:rsid w:val="4A8C4AFC"/>
    <w:rsid w:val="4AB024C8"/>
    <w:rsid w:val="4B62209A"/>
    <w:rsid w:val="4D297313"/>
    <w:rsid w:val="4D7D140D"/>
    <w:rsid w:val="4E2E7292"/>
    <w:rsid w:val="4ECD7CAE"/>
    <w:rsid w:val="4EEE4370"/>
    <w:rsid w:val="4F2064F4"/>
    <w:rsid w:val="4F2204BE"/>
    <w:rsid w:val="4F602D94"/>
    <w:rsid w:val="512A18AC"/>
    <w:rsid w:val="518B234A"/>
    <w:rsid w:val="5244074B"/>
    <w:rsid w:val="54273E81"/>
    <w:rsid w:val="54554E92"/>
    <w:rsid w:val="556918CE"/>
    <w:rsid w:val="56384123"/>
    <w:rsid w:val="56BA722E"/>
    <w:rsid w:val="591047A8"/>
    <w:rsid w:val="592F3F03"/>
    <w:rsid w:val="59A07C09"/>
    <w:rsid w:val="59E22D24"/>
    <w:rsid w:val="5B072A13"/>
    <w:rsid w:val="5BC008DF"/>
    <w:rsid w:val="5BF705DC"/>
    <w:rsid w:val="5C855BE8"/>
    <w:rsid w:val="5D0A122F"/>
    <w:rsid w:val="5E385608"/>
    <w:rsid w:val="5E410D3D"/>
    <w:rsid w:val="5F34278E"/>
    <w:rsid w:val="5F4D7048"/>
    <w:rsid w:val="5F8E477B"/>
    <w:rsid w:val="5FFF5CB2"/>
    <w:rsid w:val="60196362"/>
    <w:rsid w:val="611D6D37"/>
    <w:rsid w:val="62434A30"/>
    <w:rsid w:val="6361632C"/>
    <w:rsid w:val="63F53EF5"/>
    <w:rsid w:val="65240694"/>
    <w:rsid w:val="655679E7"/>
    <w:rsid w:val="66C73D09"/>
    <w:rsid w:val="671D183F"/>
    <w:rsid w:val="67743CB6"/>
    <w:rsid w:val="682F10C6"/>
    <w:rsid w:val="6875012C"/>
    <w:rsid w:val="690A7BA1"/>
    <w:rsid w:val="69771871"/>
    <w:rsid w:val="69E71C90"/>
    <w:rsid w:val="69EE1271"/>
    <w:rsid w:val="6A0831FA"/>
    <w:rsid w:val="6A233796"/>
    <w:rsid w:val="6A8A2CD2"/>
    <w:rsid w:val="6AC81AC2"/>
    <w:rsid w:val="6B712159"/>
    <w:rsid w:val="6BD65659"/>
    <w:rsid w:val="6C0752F0"/>
    <w:rsid w:val="6C580C23"/>
    <w:rsid w:val="6D3B47CD"/>
    <w:rsid w:val="6D9F6377"/>
    <w:rsid w:val="6DE2733E"/>
    <w:rsid w:val="6E0902F2"/>
    <w:rsid w:val="6E496D31"/>
    <w:rsid w:val="6E600263"/>
    <w:rsid w:val="6E8318A5"/>
    <w:rsid w:val="6F062BB9"/>
    <w:rsid w:val="6FFD3FBC"/>
    <w:rsid w:val="700F64AD"/>
    <w:rsid w:val="709C1A26"/>
    <w:rsid w:val="70E17439"/>
    <w:rsid w:val="717F0F85"/>
    <w:rsid w:val="71AB5C99"/>
    <w:rsid w:val="74185868"/>
    <w:rsid w:val="74957A9C"/>
    <w:rsid w:val="74D31514"/>
    <w:rsid w:val="755D73DF"/>
    <w:rsid w:val="761A519B"/>
    <w:rsid w:val="773D7165"/>
    <w:rsid w:val="77440722"/>
    <w:rsid w:val="77FA34D6"/>
    <w:rsid w:val="78116641"/>
    <w:rsid w:val="781C2EF4"/>
    <w:rsid w:val="781C6CEE"/>
    <w:rsid w:val="78680440"/>
    <w:rsid w:val="789314F6"/>
    <w:rsid w:val="78BE2756"/>
    <w:rsid w:val="791B6B26"/>
    <w:rsid w:val="79A92E6E"/>
    <w:rsid w:val="7A796935"/>
    <w:rsid w:val="7A8A6D94"/>
    <w:rsid w:val="7AEF4E49"/>
    <w:rsid w:val="7B3665D4"/>
    <w:rsid w:val="7BA72653"/>
    <w:rsid w:val="7BF24BF0"/>
    <w:rsid w:val="7C712EBC"/>
    <w:rsid w:val="7CDE5175"/>
    <w:rsid w:val="7CFC55FB"/>
    <w:rsid w:val="7EC00FD6"/>
    <w:rsid w:val="7F19538E"/>
    <w:rsid w:val="7F79724D"/>
    <w:rsid w:val="7FAF0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Courier New"/>
      <w:szCs w:val="21"/>
    </w:rPr>
  </w:style>
  <w:style w:type="paragraph" w:styleId="3">
    <w:name w:val="annotation text"/>
    <w:basedOn w:val="1"/>
    <w:qFormat/>
    <w:uiPriority w:val="0"/>
    <w:pPr>
      <w:jc w:val="left"/>
    </w:pPr>
  </w:style>
  <w:style w:type="paragraph" w:styleId="4">
    <w:name w:val="Body Text"/>
    <w:basedOn w:val="1"/>
    <w:next w:val="5"/>
    <w:qFormat/>
    <w:uiPriority w:val="0"/>
    <w:pPr>
      <w:spacing w:line="360" w:lineRule="auto"/>
    </w:pPr>
    <w:rPr>
      <w:b/>
      <w:bCs/>
      <w:sz w:val="24"/>
    </w:rPr>
  </w:style>
  <w:style w:type="paragraph" w:styleId="5">
    <w:name w:val="Body Text 2"/>
    <w:basedOn w:val="1"/>
    <w:qFormat/>
    <w:uiPriority w:val="0"/>
    <w:pPr>
      <w:spacing w:line="360" w:lineRule="auto"/>
    </w:pPr>
    <w:rPr>
      <w:sz w:val="24"/>
    </w:rPr>
  </w:style>
  <w:style w:type="paragraph" w:styleId="6">
    <w:name w:val="Body Text Indent"/>
    <w:basedOn w:val="1"/>
    <w:qFormat/>
    <w:uiPriority w:val="0"/>
    <w:pPr>
      <w:spacing w:line="360" w:lineRule="auto"/>
      <w:ind w:left="720" w:hanging="720" w:hangingChars="300"/>
    </w:pPr>
    <w:rPr>
      <w:sz w:val="24"/>
    </w:rPr>
  </w:style>
  <w:style w:type="paragraph" w:styleId="7">
    <w:name w:val="envelope return"/>
    <w:basedOn w:val="1"/>
    <w:qFormat/>
    <w:uiPriority w:val="99"/>
    <w:rPr>
      <w:rFonts w:ascii="Arial" w:hAnsi="Arial"/>
    </w:rPr>
  </w:style>
  <w:style w:type="paragraph" w:styleId="8">
    <w:name w:val="Body Text First Indent 2"/>
    <w:basedOn w:val="6"/>
    <w:qFormat/>
    <w:uiPriority w:val="0"/>
    <w:pPr>
      <w:spacing w:after="120" w:line="240" w:lineRule="auto"/>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纯文本1"/>
    <w:basedOn w:val="1"/>
    <w:qFormat/>
    <w:uiPriority w:val="0"/>
    <w:rPr>
      <w:rFonts w:ascii="宋体" w:hAnsi="Courier New" w:eastAsia="宋体" w:cs="Courier New"/>
    </w:rPr>
  </w:style>
  <w:style w:type="character" w:customStyle="1" w:styleId="13">
    <w:name w:val="font11"/>
    <w:basedOn w:val="11"/>
    <w:uiPriority w:val="0"/>
    <w:rPr>
      <w:rFonts w:hint="eastAsia" w:ascii="仿宋" w:hAnsi="仿宋" w:eastAsia="仿宋" w:cs="仿宋"/>
      <w:color w:val="000000"/>
      <w:sz w:val="24"/>
      <w:szCs w:val="24"/>
      <w:u w:val="none"/>
    </w:rPr>
  </w:style>
  <w:style w:type="character" w:customStyle="1" w:styleId="14">
    <w:name w:val="font21"/>
    <w:basedOn w:val="11"/>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257</Words>
  <Characters>289</Characters>
  <Lines>0</Lines>
  <Paragraphs>0</Paragraphs>
  <TotalTime>0</TotalTime>
  <ScaleCrop>false</ScaleCrop>
  <LinksUpToDate>false</LinksUpToDate>
  <CharactersWithSpaces>289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2025-07-23T07:24:00Z</dcterms:created>
  <dc:creator>19675</dc:creator>
  <cp:lastModifiedBy>蔡晓洁</cp:lastModifiedBy>
  <dcterms:modified xsi:type="dcterms:W3CDTF">2026-10-16T07:25:40Z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eyJoZGlkIjoiYjM4ZTZiMzMyZDVkYWY5NTRlMTllY2UwYzRjNmQ5ZmUiLCJ1c2VySWQiOiIxMDAzODI4MDI1In0=</vt:lpwstr>
  </property>
  <property fmtid="{D5CDD505-2E9C-101B-9397-08002B2CF9AE}" pid="4" name="ICV">
    <vt:lpwstr>9B6276CD57FD4BFFBC353DCDCF7D3043_12</vt:lpwstr>
  </property>
</Properties>
</file>