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C1DB9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Theme="minorEastAsia" w:hAnsiTheme="minorEastAsia" w:eastAsiaTheme="minorEastAsia" w:cstheme="minorEastAsia"/>
          <w:b/>
          <w:bCs w:val="0"/>
          <w:color w:val="auto"/>
          <w:sz w:val="36"/>
          <w:szCs w:val="36"/>
          <w:lang w:val="en-US" w:eastAsia="zh-CN"/>
        </w:rPr>
      </w:pPr>
      <w:r>
        <w:rPr>
          <w:rFonts w:hint="eastAsia" w:asciiTheme="minorEastAsia" w:hAnsiTheme="minorEastAsia" w:eastAsiaTheme="minorEastAsia" w:cstheme="minorEastAsia"/>
          <w:b/>
          <w:bCs w:val="0"/>
          <w:color w:val="auto"/>
          <w:sz w:val="36"/>
          <w:szCs w:val="36"/>
          <w:lang w:val="en-US" w:eastAsia="zh-CN"/>
        </w:rPr>
        <w:t>退休人员（在编）2027年蛋糕券-项目参数</w:t>
      </w:r>
    </w:p>
    <w:tbl>
      <w:tblPr>
        <w:tblStyle w:val="5"/>
        <w:tblW w:w="10065" w:type="dxa"/>
        <w:tblCellSpacing w:w="0" w:type="dxa"/>
        <w:tblInd w:w="-1356"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15" w:type="dxa"/>
          <w:left w:w="15" w:type="dxa"/>
          <w:bottom w:w="15" w:type="dxa"/>
          <w:right w:w="15" w:type="dxa"/>
        </w:tblCellMar>
      </w:tblPr>
      <w:tblGrid>
        <w:gridCol w:w="1170"/>
        <w:gridCol w:w="8895"/>
      </w:tblGrid>
      <w:tr w14:paraId="35A0485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308" w:hRule="atLeast"/>
          <w:tblCellSpacing w:w="0" w:type="dxa"/>
        </w:trPr>
        <w:tc>
          <w:tcPr>
            <w:tcW w:w="1170" w:type="dxa"/>
            <w:tcBorders>
              <w:top w:val="single" w:color="auto" w:sz="6" w:space="0"/>
              <w:left w:val="single" w:color="auto" w:sz="6" w:space="0"/>
              <w:bottom w:val="nil"/>
              <w:right w:val="nil"/>
            </w:tcBorders>
            <w:vAlign w:val="center"/>
          </w:tcPr>
          <w:p w14:paraId="4AEA4A70">
            <w:pPr>
              <w:widowControl/>
              <w:spacing w:before="100" w:beforeAutospacing="1" w:after="100" w:afterAutospacing="1"/>
              <w:jc w:val="center"/>
              <w:rPr>
                <w:rFonts w:cs="宋体" w:asciiTheme="minorEastAsia" w:hAnsiTheme="minorEastAsia" w:eastAsiaTheme="minorEastAsia"/>
                <w:color w:val="auto"/>
                <w:kern w:val="0"/>
                <w:sz w:val="24"/>
                <w:szCs w:val="24"/>
              </w:rPr>
            </w:pPr>
            <w:r>
              <w:rPr>
                <w:rFonts w:cs="宋体" w:asciiTheme="minorEastAsia" w:hAnsiTheme="minorEastAsia" w:eastAsiaTheme="minorEastAsia"/>
                <w:b/>
                <w:bCs/>
                <w:color w:val="auto"/>
                <w:kern w:val="0"/>
                <w:sz w:val="24"/>
                <w:szCs w:val="24"/>
              </w:rPr>
              <w:t>货物清单</w:t>
            </w:r>
          </w:p>
        </w:tc>
        <w:tc>
          <w:tcPr>
            <w:tcW w:w="8895" w:type="dxa"/>
            <w:tcBorders>
              <w:top w:val="single" w:color="auto" w:sz="6" w:space="0"/>
              <w:left w:val="single" w:color="auto" w:sz="6" w:space="0"/>
              <w:bottom w:val="nil"/>
              <w:right w:val="nil"/>
            </w:tcBorders>
            <w:vAlign w:val="center"/>
          </w:tcPr>
          <w:tbl>
            <w:tblPr>
              <w:tblStyle w:val="5"/>
              <w:tblW w:w="8827" w:type="dxa"/>
              <w:tblCellSpacing w:w="0" w:type="dxa"/>
              <w:tblInd w:w="0"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15" w:type="dxa"/>
                <w:left w:w="15" w:type="dxa"/>
                <w:bottom w:w="15" w:type="dxa"/>
                <w:right w:w="15" w:type="dxa"/>
              </w:tblCellMar>
            </w:tblPr>
            <w:tblGrid>
              <w:gridCol w:w="2530"/>
              <w:gridCol w:w="840"/>
              <w:gridCol w:w="733"/>
              <w:gridCol w:w="1667"/>
              <w:gridCol w:w="1850"/>
              <w:gridCol w:w="1207"/>
            </w:tblGrid>
            <w:tr w14:paraId="4533B3D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462" w:hRule="atLeast"/>
                <w:tblHeader/>
                <w:tblCellSpacing w:w="0" w:type="dxa"/>
              </w:trPr>
              <w:tc>
                <w:tcPr>
                  <w:tcW w:w="2530" w:type="dxa"/>
                  <w:tcBorders>
                    <w:top w:val="nil"/>
                    <w:left w:val="single" w:color="auto" w:sz="6" w:space="0"/>
                    <w:bottom w:val="nil"/>
                    <w:right w:val="nil"/>
                  </w:tcBorders>
                  <w:vAlign w:val="center"/>
                </w:tcPr>
                <w:p w14:paraId="2F6D535B">
                  <w:pPr>
                    <w:widowControl/>
                    <w:jc w:val="center"/>
                    <w:rPr>
                      <w:rFonts w:cs="宋体" w:asciiTheme="minorEastAsia" w:hAnsiTheme="minorEastAsia" w:eastAsiaTheme="minorEastAsia"/>
                      <w:b/>
                      <w:bCs/>
                      <w:color w:val="auto"/>
                      <w:kern w:val="0"/>
                      <w:sz w:val="24"/>
                      <w:szCs w:val="24"/>
                    </w:rPr>
                  </w:pPr>
                  <w:r>
                    <w:rPr>
                      <w:rFonts w:hint="eastAsia" w:cs="宋体" w:asciiTheme="minorEastAsia" w:hAnsiTheme="minorEastAsia" w:eastAsiaTheme="minorEastAsia"/>
                      <w:b/>
                      <w:bCs/>
                      <w:color w:val="auto"/>
                      <w:kern w:val="0"/>
                      <w:sz w:val="24"/>
                      <w:szCs w:val="24"/>
                      <w:lang w:val="en-US" w:eastAsia="zh-CN"/>
                    </w:rPr>
                    <w:t>项目</w:t>
                  </w:r>
                  <w:r>
                    <w:rPr>
                      <w:rFonts w:cs="宋体" w:asciiTheme="minorEastAsia" w:hAnsiTheme="minorEastAsia" w:eastAsiaTheme="minorEastAsia"/>
                      <w:b/>
                      <w:bCs/>
                      <w:color w:val="auto"/>
                      <w:kern w:val="0"/>
                      <w:sz w:val="24"/>
                      <w:szCs w:val="24"/>
                    </w:rPr>
                    <w:t>名称</w:t>
                  </w:r>
                </w:p>
              </w:tc>
              <w:tc>
                <w:tcPr>
                  <w:tcW w:w="840" w:type="dxa"/>
                  <w:tcBorders>
                    <w:top w:val="nil"/>
                    <w:left w:val="single" w:color="auto" w:sz="6" w:space="0"/>
                    <w:bottom w:val="nil"/>
                    <w:right w:val="nil"/>
                  </w:tcBorders>
                  <w:vAlign w:val="center"/>
                </w:tcPr>
                <w:p w14:paraId="484AFDD5">
                  <w:pPr>
                    <w:widowControl/>
                    <w:jc w:val="center"/>
                    <w:rPr>
                      <w:rFonts w:cs="宋体" w:asciiTheme="minorEastAsia" w:hAnsiTheme="minorEastAsia" w:eastAsiaTheme="minorEastAsia"/>
                      <w:b/>
                      <w:bCs/>
                      <w:color w:val="auto"/>
                      <w:kern w:val="0"/>
                      <w:sz w:val="24"/>
                      <w:szCs w:val="24"/>
                    </w:rPr>
                  </w:pPr>
                  <w:r>
                    <w:rPr>
                      <w:rFonts w:cs="宋体" w:asciiTheme="minorEastAsia" w:hAnsiTheme="minorEastAsia" w:eastAsiaTheme="minorEastAsia"/>
                      <w:b/>
                      <w:bCs/>
                      <w:color w:val="auto"/>
                      <w:kern w:val="0"/>
                      <w:sz w:val="24"/>
                      <w:szCs w:val="24"/>
                    </w:rPr>
                    <w:t>数量</w:t>
                  </w:r>
                </w:p>
              </w:tc>
              <w:tc>
                <w:tcPr>
                  <w:tcW w:w="733" w:type="dxa"/>
                  <w:tcBorders>
                    <w:top w:val="nil"/>
                    <w:left w:val="single" w:color="auto" w:sz="6" w:space="0"/>
                    <w:bottom w:val="nil"/>
                    <w:right w:val="nil"/>
                  </w:tcBorders>
                  <w:vAlign w:val="center"/>
                </w:tcPr>
                <w:p w14:paraId="3A1E5C76">
                  <w:pPr>
                    <w:widowControl/>
                    <w:jc w:val="center"/>
                    <w:rPr>
                      <w:rFonts w:hint="eastAsia" w:cs="宋体" w:asciiTheme="minorEastAsia" w:hAnsiTheme="minorEastAsia" w:eastAsiaTheme="minorEastAsia"/>
                      <w:b/>
                      <w:bCs/>
                      <w:color w:val="auto"/>
                      <w:kern w:val="0"/>
                      <w:sz w:val="24"/>
                      <w:szCs w:val="24"/>
                      <w:lang w:eastAsia="zh-CN"/>
                    </w:rPr>
                  </w:pPr>
                  <w:r>
                    <w:rPr>
                      <w:rFonts w:hint="eastAsia" w:cs="宋体" w:asciiTheme="minorEastAsia" w:hAnsiTheme="minorEastAsia" w:eastAsiaTheme="minorEastAsia"/>
                      <w:b/>
                      <w:bCs/>
                      <w:color w:val="auto"/>
                      <w:kern w:val="0"/>
                      <w:sz w:val="24"/>
                      <w:szCs w:val="24"/>
                      <w:lang w:eastAsia="zh-CN"/>
                    </w:rPr>
                    <w:t>单位</w:t>
                  </w:r>
                </w:p>
              </w:tc>
              <w:tc>
                <w:tcPr>
                  <w:tcW w:w="1667" w:type="dxa"/>
                  <w:tcBorders>
                    <w:top w:val="nil"/>
                    <w:left w:val="single" w:color="auto" w:sz="6" w:space="0"/>
                    <w:bottom w:val="nil"/>
                    <w:right w:val="nil"/>
                  </w:tcBorders>
                  <w:vAlign w:val="center"/>
                </w:tcPr>
                <w:p w14:paraId="50D0C315">
                  <w:pPr>
                    <w:widowControl/>
                    <w:jc w:val="center"/>
                    <w:rPr>
                      <w:rFonts w:hint="default" w:cs="宋体" w:asciiTheme="minorEastAsia" w:hAnsiTheme="minorEastAsia" w:eastAsiaTheme="minorEastAsia"/>
                      <w:b/>
                      <w:bCs/>
                      <w:color w:val="auto"/>
                      <w:kern w:val="0"/>
                      <w:sz w:val="24"/>
                      <w:szCs w:val="24"/>
                      <w:lang w:val="en-US" w:eastAsia="zh-CN"/>
                    </w:rPr>
                  </w:pPr>
                  <w:r>
                    <w:rPr>
                      <w:rFonts w:hint="eastAsia" w:cs="宋体" w:asciiTheme="minorEastAsia" w:hAnsiTheme="minorEastAsia" w:eastAsiaTheme="minorEastAsia"/>
                      <w:b/>
                      <w:bCs/>
                      <w:color w:val="auto"/>
                      <w:kern w:val="0"/>
                      <w:sz w:val="24"/>
                      <w:szCs w:val="24"/>
                      <w:lang w:val="en-US" w:eastAsia="zh-CN"/>
                    </w:rPr>
                    <w:t>预算单价（元）</w:t>
                  </w:r>
                </w:p>
              </w:tc>
              <w:tc>
                <w:tcPr>
                  <w:tcW w:w="1850" w:type="dxa"/>
                  <w:tcBorders>
                    <w:top w:val="nil"/>
                    <w:left w:val="single" w:color="auto" w:sz="6" w:space="0"/>
                    <w:bottom w:val="nil"/>
                    <w:right w:val="nil"/>
                  </w:tcBorders>
                  <w:shd w:val="clear" w:color="auto" w:fill="auto"/>
                  <w:vAlign w:val="center"/>
                </w:tcPr>
                <w:p w14:paraId="5DB479C2">
                  <w:pPr>
                    <w:widowControl/>
                    <w:jc w:val="center"/>
                    <w:rPr>
                      <w:rFonts w:hint="eastAsia" w:cs="宋体" w:asciiTheme="minorEastAsia" w:hAnsiTheme="minorEastAsia" w:eastAsiaTheme="minorEastAsia"/>
                      <w:b/>
                      <w:bCs/>
                      <w:color w:val="auto"/>
                      <w:kern w:val="0"/>
                      <w:sz w:val="24"/>
                      <w:szCs w:val="24"/>
                      <w:lang w:val="en-US" w:eastAsia="zh-CN" w:bidi="ar-SA"/>
                    </w:rPr>
                  </w:pPr>
                  <w:r>
                    <w:rPr>
                      <w:rFonts w:hint="eastAsia" w:cs="宋体" w:asciiTheme="minorEastAsia" w:hAnsiTheme="minorEastAsia" w:eastAsiaTheme="minorEastAsia"/>
                      <w:b/>
                      <w:bCs/>
                      <w:color w:val="auto"/>
                      <w:kern w:val="0"/>
                      <w:sz w:val="24"/>
                      <w:szCs w:val="24"/>
                      <w:lang w:eastAsia="zh-CN"/>
                    </w:rPr>
                    <w:t>总</w:t>
                  </w:r>
                  <w:r>
                    <w:rPr>
                      <w:rFonts w:cs="宋体" w:asciiTheme="minorEastAsia" w:hAnsiTheme="minorEastAsia" w:eastAsiaTheme="minorEastAsia"/>
                      <w:b/>
                      <w:bCs/>
                      <w:color w:val="auto"/>
                      <w:kern w:val="0"/>
                      <w:sz w:val="24"/>
                      <w:szCs w:val="24"/>
                    </w:rPr>
                    <w:t>预算</w:t>
                  </w:r>
                  <w:r>
                    <w:rPr>
                      <w:rFonts w:hint="eastAsia" w:cs="宋体" w:asciiTheme="minorEastAsia" w:hAnsiTheme="minorEastAsia" w:eastAsiaTheme="minorEastAsia"/>
                      <w:b/>
                      <w:bCs/>
                      <w:color w:val="auto"/>
                      <w:kern w:val="0"/>
                      <w:sz w:val="24"/>
                      <w:szCs w:val="24"/>
                      <w:lang w:eastAsia="zh-CN"/>
                    </w:rPr>
                    <w:t>金</w:t>
                  </w:r>
                  <w:r>
                    <w:rPr>
                      <w:rFonts w:cs="宋体" w:asciiTheme="minorEastAsia" w:hAnsiTheme="minorEastAsia" w:eastAsiaTheme="minorEastAsia"/>
                      <w:b/>
                      <w:bCs/>
                      <w:color w:val="auto"/>
                      <w:kern w:val="0"/>
                      <w:sz w:val="24"/>
                      <w:szCs w:val="24"/>
                    </w:rPr>
                    <w:t>额(元)</w:t>
                  </w:r>
                </w:p>
              </w:tc>
              <w:tc>
                <w:tcPr>
                  <w:tcW w:w="1207" w:type="dxa"/>
                  <w:tcBorders>
                    <w:top w:val="nil"/>
                    <w:left w:val="single" w:color="auto" w:sz="6" w:space="0"/>
                    <w:bottom w:val="nil"/>
                    <w:right w:val="nil"/>
                  </w:tcBorders>
                  <w:vAlign w:val="center"/>
                </w:tcPr>
                <w:p w14:paraId="3EADD77B">
                  <w:pPr>
                    <w:widowControl/>
                    <w:jc w:val="center"/>
                    <w:rPr>
                      <w:rFonts w:cs="宋体" w:asciiTheme="minorEastAsia" w:hAnsiTheme="minorEastAsia" w:eastAsiaTheme="minorEastAsia"/>
                      <w:b/>
                      <w:bCs/>
                      <w:color w:val="auto"/>
                      <w:kern w:val="0"/>
                      <w:sz w:val="24"/>
                      <w:szCs w:val="24"/>
                    </w:rPr>
                  </w:pPr>
                  <w:r>
                    <w:rPr>
                      <w:rFonts w:cs="宋体" w:asciiTheme="minorEastAsia" w:hAnsiTheme="minorEastAsia" w:eastAsiaTheme="minorEastAsia"/>
                      <w:b/>
                      <w:bCs/>
                      <w:color w:val="auto"/>
                      <w:kern w:val="0"/>
                      <w:sz w:val="24"/>
                      <w:szCs w:val="24"/>
                    </w:rPr>
                    <w:t>备注</w:t>
                  </w:r>
                </w:p>
              </w:tc>
            </w:tr>
            <w:tr w14:paraId="3BFA0D2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2530" w:type="dxa"/>
                  <w:tcBorders>
                    <w:top w:val="single" w:color="auto" w:sz="6" w:space="0"/>
                    <w:left w:val="single" w:color="auto" w:sz="6" w:space="0"/>
                    <w:bottom w:val="nil"/>
                    <w:right w:val="nil"/>
                  </w:tcBorders>
                  <w:vAlign w:val="center"/>
                </w:tcPr>
                <w:p w14:paraId="3F7279EE">
                  <w:pPr>
                    <w:widowControl/>
                    <w:jc w:val="center"/>
                    <w:rPr>
                      <w:rFonts w:cs="宋体" w:asciiTheme="minorEastAsia" w:hAnsiTheme="minorEastAsia" w:eastAsiaTheme="minorEastAsia"/>
                      <w:color w:val="auto"/>
                      <w:kern w:val="0"/>
                      <w:sz w:val="24"/>
                      <w:szCs w:val="24"/>
                    </w:rPr>
                  </w:pPr>
                  <w:r>
                    <w:rPr>
                      <w:rFonts w:hint="eastAsia" w:cs="宋体" w:asciiTheme="minorEastAsia" w:hAnsiTheme="minorEastAsia" w:eastAsiaTheme="minorEastAsia"/>
                      <w:color w:val="auto"/>
                      <w:kern w:val="0"/>
                      <w:sz w:val="24"/>
                      <w:szCs w:val="24"/>
                    </w:rPr>
                    <w:t>退休人员（在编）2027年蛋糕券</w:t>
                  </w:r>
                </w:p>
              </w:tc>
              <w:tc>
                <w:tcPr>
                  <w:tcW w:w="840" w:type="dxa"/>
                  <w:tcBorders>
                    <w:top w:val="single" w:color="auto" w:sz="6" w:space="0"/>
                    <w:left w:val="single" w:color="auto" w:sz="6" w:space="0"/>
                    <w:bottom w:val="nil"/>
                    <w:right w:val="nil"/>
                  </w:tcBorders>
                  <w:vAlign w:val="center"/>
                </w:tcPr>
                <w:p w14:paraId="001D418A">
                  <w:pPr>
                    <w:widowControl/>
                    <w:jc w:val="center"/>
                    <w:rPr>
                      <w:rFonts w:hint="default" w:cs="宋体" w:asciiTheme="minorEastAsia" w:hAnsiTheme="minorEastAsia" w:eastAsiaTheme="minorEastAsia"/>
                      <w:color w:val="auto"/>
                      <w:kern w:val="0"/>
                      <w:sz w:val="24"/>
                      <w:szCs w:val="24"/>
                      <w:lang w:val="en-US" w:eastAsia="zh-CN"/>
                    </w:rPr>
                  </w:pPr>
                  <w:r>
                    <w:rPr>
                      <w:rFonts w:hint="eastAsia" w:cs="宋体" w:asciiTheme="minorEastAsia" w:hAnsiTheme="minorEastAsia" w:eastAsiaTheme="minorEastAsia"/>
                      <w:color w:val="auto"/>
                      <w:kern w:val="0"/>
                      <w:sz w:val="24"/>
                      <w:szCs w:val="24"/>
                      <w:lang w:val="en-US" w:eastAsia="zh-CN"/>
                    </w:rPr>
                    <w:t>1</w:t>
                  </w:r>
                </w:p>
              </w:tc>
              <w:tc>
                <w:tcPr>
                  <w:tcW w:w="733" w:type="dxa"/>
                  <w:tcBorders>
                    <w:top w:val="single" w:color="auto" w:sz="6" w:space="0"/>
                    <w:left w:val="single" w:color="auto" w:sz="6" w:space="0"/>
                    <w:bottom w:val="nil"/>
                    <w:right w:val="nil"/>
                  </w:tcBorders>
                  <w:vAlign w:val="center"/>
                </w:tcPr>
                <w:p w14:paraId="04BEFD88">
                  <w:pPr>
                    <w:widowControl/>
                    <w:jc w:val="center"/>
                    <w:rPr>
                      <w:rFonts w:hint="eastAsia" w:cs="宋体" w:asciiTheme="minorEastAsia" w:hAnsiTheme="minorEastAsia" w:eastAsiaTheme="minorEastAsia"/>
                      <w:color w:val="auto"/>
                      <w:kern w:val="0"/>
                      <w:sz w:val="24"/>
                      <w:szCs w:val="24"/>
                      <w:lang w:val="en-US" w:eastAsia="zh-CN"/>
                    </w:rPr>
                  </w:pPr>
                  <w:r>
                    <w:rPr>
                      <w:rFonts w:hint="eastAsia" w:cs="宋体" w:asciiTheme="minorEastAsia" w:hAnsiTheme="minorEastAsia" w:eastAsiaTheme="minorEastAsia"/>
                      <w:color w:val="auto"/>
                      <w:kern w:val="0"/>
                      <w:sz w:val="24"/>
                      <w:szCs w:val="24"/>
                      <w:lang w:val="en-US" w:eastAsia="zh-CN"/>
                    </w:rPr>
                    <w:t>批</w:t>
                  </w:r>
                </w:p>
              </w:tc>
              <w:tc>
                <w:tcPr>
                  <w:tcW w:w="1667" w:type="dxa"/>
                  <w:tcBorders>
                    <w:top w:val="single" w:color="auto" w:sz="6" w:space="0"/>
                    <w:left w:val="single" w:color="auto" w:sz="6" w:space="0"/>
                    <w:bottom w:val="nil"/>
                    <w:right w:val="nil"/>
                  </w:tcBorders>
                  <w:vAlign w:val="center"/>
                </w:tcPr>
                <w:p w14:paraId="68C282A4">
                  <w:pPr>
                    <w:widowControl/>
                    <w:jc w:val="center"/>
                    <w:rPr>
                      <w:rFonts w:hint="default" w:cs="宋体" w:asciiTheme="minorEastAsia" w:hAnsiTheme="minorEastAsia" w:eastAsiaTheme="minorEastAsia"/>
                      <w:color w:val="auto"/>
                      <w:kern w:val="0"/>
                      <w:sz w:val="24"/>
                      <w:szCs w:val="24"/>
                      <w:lang w:val="en-US" w:eastAsia="zh-CN"/>
                    </w:rPr>
                  </w:pPr>
                  <w:r>
                    <w:rPr>
                      <w:rFonts w:hint="eastAsia" w:cs="宋体" w:asciiTheme="minorEastAsia" w:hAnsiTheme="minorEastAsia" w:eastAsiaTheme="minorEastAsia"/>
                      <w:color w:val="auto"/>
                      <w:kern w:val="0"/>
                      <w:sz w:val="24"/>
                      <w:szCs w:val="24"/>
                      <w:lang w:val="en-US" w:eastAsia="zh-CN"/>
                    </w:rPr>
                    <w:t>300</w:t>
                  </w:r>
                </w:p>
              </w:tc>
              <w:tc>
                <w:tcPr>
                  <w:tcW w:w="1850" w:type="dxa"/>
                  <w:tcBorders>
                    <w:top w:val="single" w:color="auto" w:sz="6" w:space="0"/>
                    <w:left w:val="single" w:color="auto" w:sz="6" w:space="0"/>
                    <w:bottom w:val="nil"/>
                    <w:right w:val="nil"/>
                  </w:tcBorders>
                  <w:shd w:val="clear" w:color="auto" w:fill="auto"/>
                  <w:vAlign w:val="center"/>
                </w:tcPr>
                <w:p w14:paraId="4A255B4A">
                  <w:pPr>
                    <w:widowControl/>
                    <w:jc w:val="center"/>
                    <w:rPr>
                      <w:rFonts w:hint="eastAsia" w:cs="宋体" w:asciiTheme="minorEastAsia" w:hAnsiTheme="minorEastAsia" w:eastAsiaTheme="minorEastAsia"/>
                      <w:color w:val="auto"/>
                      <w:kern w:val="0"/>
                      <w:sz w:val="24"/>
                      <w:szCs w:val="24"/>
                      <w:lang w:val="en-US" w:eastAsia="zh-CN" w:bidi="ar-SA"/>
                    </w:rPr>
                  </w:pPr>
                  <w:r>
                    <w:rPr>
                      <w:rFonts w:hint="eastAsia" w:cs="宋体" w:asciiTheme="minorEastAsia" w:hAnsiTheme="minorEastAsia" w:eastAsiaTheme="minorEastAsia"/>
                      <w:color w:val="auto"/>
                      <w:kern w:val="0"/>
                      <w:sz w:val="24"/>
                      <w:szCs w:val="24"/>
                      <w:lang w:val="en-US" w:eastAsia="zh-CN"/>
                    </w:rPr>
                    <w:t>48600</w:t>
                  </w:r>
                </w:p>
              </w:tc>
              <w:tc>
                <w:tcPr>
                  <w:tcW w:w="1207" w:type="dxa"/>
                  <w:tcBorders>
                    <w:top w:val="single" w:color="auto" w:sz="6" w:space="0"/>
                    <w:left w:val="single" w:color="auto" w:sz="6" w:space="0"/>
                    <w:bottom w:val="nil"/>
                    <w:right w:val="nil"/>
                  </w:tcBorders>
                  <w:vAlign w:val="center"/>
                </w:tcPr>
                <w:p w14:paraId="627F0BD4">
                  <w:pPr>
                    <w:widowControl/>
                    <w:jc w:val="center"/>
                    <w:rPr>
                      <w:rFonts w:hint="default" w:cs="宋体" w:asciiTheme="minorEastAsia" w:hAnsiTheme="minorEastAsia" w:eastAsiaTheme="minorEastAsia"/>
                      <w:color w:val="auto"/>
                      <w:kern w:val="0"/>
                      <w:sz w:val="24"/>
                      <w:szCs w:val="24"/>
                      <w:lang w:val="en-US" w:eastAsia="zh-CN"/>
                    </w:rPr>
                  </w:pPr>
                  <w:r>
                    <w:rPr>
                      <w:rFonts w:hint="eastAsia" w:cs="宋体" w:asciiTheme="minorEastAsia" w:hAnsiTheme="minorEastAsia" w:eastAsiaTheme="minorEastAsia"/>
                      <w:color w:val="auto"/>
                      <w:kern w:val="0"/>
                      <w:sz w:val="24"/>
                      <w:szCs w:val="24"/>
                      <w:lang w:val="en-US" w:eastAsia="zh-CN"/>
                    </w:rPr>
                    <w:t>拒绝进口</w:t>
                  </w:r>
                </w:p>
              </w:tc>
            </w:tr>
            <w:tr w14:paraId="0CECB2B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8827" w:type="dxa"/>
                  <w:gridSpan w:val="6"/>
                  <w:tcBorders>
                    <w:top w:val="single" w:color="auto" w:sz="6" w:space="0"/>
                    <w:left w:val="single" w:color="auto" w:sz="6" w:space="0"/>
                    <w:bottom w:val="nil"/>
                    <w:right w:val="nil"/>
                  </w:tcBorders>
                  <w:vAlign w:val="center"/>
                </w:tcPr>
                <w:p w14:paraId="0F84CF37">
                  <w:pPr>
                    <w:widowControl/>
                    <w:jc w:val="center"/>
                    <w:rPr>
                      <w:rFonts w:cs="宋体" w:asciiTheme="minorEastAsia" w:hAnsiTheme="minorEastAsia" w:eastAsiaTheme="minorEastAsia"/>
                      <w:color w:val="auto"/>
                      <w:kern w:val="0"/>
                      <w:sz w:val="24"/>
                      <w:szCs w:val="24"/>
                    </w:rPr>
                  </w:pPr>
                </w:p>
              </w:tc>
            </w:tr>
          </w:tbl>
          <w:p w14:paraId="769D051F">
            <w:pPr>
              <w:widowControl/>
              <w:jc w:val="center"/>
              <w:rPr>
                <w:rFonts w:cs="宋体" w:asciiTheme="minorEastAsia" w:hAnsiTheme="minorEastAsia" w:eastAsiaTheme="minorEastAsia"/>
                <w:color w:val="auto"/>
                <w:kern w:val="0"/>
                <w:sz w:val="24"/>
                <w:szCs w:val="24"/>
              </w:rPr>
            </w:pPr>
          </w:p>
        </w:tc>
      </w:tr>
      <w:tr w14:paraId="3F3BACA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820" w:hRule="atLeast"/>
          <w:tblCellSpacing w:w="0" w:type="dxa"/>
        </w:trPr>
        <w:tc>
          <w:tcPr>
            <w:tcW w:w="1170" w:type="dxa"/>
            <w:tcBorders>
              <w:top w:val="single" w:color="auto" w:sz="6" w:space="0"/>
              <w:left w:val="single" w:color="auto" w:sz="6" w:space="0"/>
              <w:bottom w:val="nil"/>
              <w:right w:val="nil"/>
            </w:tcBorders>
            <w:vAlign w:val="center"/>
          </w:tcPr>
          <w:p w14:paraId="570FFD3C">
            <w:pPr>
              <w:widowControl/>
              <w:spacing w:before="100" w:beforeAutospacing="1" w:after="100" w:afterAutospacing="1"/>
              <w:jc w:val="left"/>
              <w:rPr>
                <w:rFonts w:cs="宋体" w:asciiTheme="minorEastAsia" w:hAnsiTheme="minorEastAsia" w:eastAsiaTheme="minorEastAsia"/>
                <w:color w:val="auto"/>
                <w:kern w:val="0"/>
                <w:sz w:val="24"/>
                <w:szCs w:val="24"/>
              </w:rPr>
            </w:pPr>
            <w:r>
              <w:rPr>
                <w:rFonts w:cs="宋体" w:asciiTheme="minorEastAsia" w:hAnsiTheme="minorEastAsia" w:eastAsiaTheme="minorEastAsia"/>
                <w:b/>
                <w:bCs/>
                <w:color w:val="auto"/>
                <w:kern w:val="0"/>
                <w:sz w:val="24"/>
                <w:szCs w:val="24"/>
              </w:rPr>
              <w:t>技术要求</w:t>
            </w:r>
            <w:r>
              <w:rPr>
                <w:rFonts w:cs="宋体" w:asciiTheme="minorEastAsia" w:hAnsiTheme="minorEastAsia" w:eastAsiaTheme="minorEastAsia"/>
                <w:color w:val="auto"/>
                <w:kern w:val="0"/>
                <w:sz w:val="24"/>
                <w:szCs w:val="24"/>
              </w:rPr>
              <w:t xml:space="preserve"> </w:t>
            </w:r>
          </w:p>
        </w:tc>
        <w:tc>
          <w:tcPr>
            <w:tcW w:w="8895" w:type="dxa"/>
            <w:tcBorders>
              <w:top w:val="single" w:color="auto" w:sz="6" w:space="0"/>
              <w:left w:val="single" w:color="auto" w:sz="6" w:space="0"/>
              <w:bottom w:val="nil"/>
              <w:right w:val="nil"/>
            </w:tcBorders>
            <w:vAlign w:val="center"/>
          </w:tcPr>
          <w:p w14:paraId="151DC85A">
            <w:pPr>
              <w:keepNext w:val="0"/>
              <w:keepLines w:val="0"/>
              <w:pageBreakBefore w:val="0"/>
              <w:widowControl/>
              <w:numPr>
                <w:ilvl w:val="0"/>
                <w:numId w:val="0"/>
              </w:numPr>
              <w:kinsoku/>
              <w:wordWrap/>
              <w:overflowPunct/>
              <w:topLinePunct w:val="0"/>
              <w:autoSpaceDE/>
              <w:autoSpaceDN/>
              <w:bidi w:val="0"/>
              <w:adjustRightInd/>
              <w:snapToGrid/>
              <w:spacing w:before="100" w:beforeAutospacing="1" w:after="100" w:afterAutospacing="1" w:line="280" w:lineRule="exact"/>
              <w:jc w:val="left"/>
              <w:textAlignment w:val="auto"/>
              <w:rPr>
                <w:rFonts w:cs="宋体" w:asciiTheme="minorEastAsia" w:hAnsiTheme="minorEastAsia" w:eastAsiaTheme="minorEastAsia"/>
                <w:b/>
                <w:bCs/>
                <w:color w:val="auto"/>
                <w:kern w:val="0"/>
                <w:sz w:val="24"/>
                <w:szCs w:val="24"/>
              </w:rPr>
            </w:pPr>
            <w:r>
              <w:rPr>
                <w:rFonts w:cs="宋体" w:asciiTheme="minorEastAsia" w:hAnsiTheme="minorEastAsia" w:eastAsiaTheme="minorEastAsia"/>
                <w:b/>
                <w:bCs/>
                <w:color w:val="auto"/>
                <w:kern w:val="0"/>
                <w:sz w:val="24"/>
                <w:szCs w:val="24"/>
              </w:rPr>
              <w:t>具体技术</w:t>
            </w:r>
            <w:r>
              <w:rPr>
                <w:rFonts w:hint="eastAsia" w:cs="宋体" w:asciiTheme="minorEastAsia" w:hAnsiTheme="minorEastAsia" w:eastAsiaTheme="minorEastAsia"/>
                <w:b/>
                <w:bCs/>
                <w:color w:val="auto"/>
                <w:kern w:val="0"/>
                <w:sz w:val="24"/>
                <w:szCs w:val="24"/>
              </w:rPr>
              <w:t>参数</w:t>
            </w:r>
            <w:r>
              <w:rPr>
                <w:rFonts w:cs="宋体" w:asciiTheme="minorEastAsia" w:hAnsiTheme="minorEastAsia" w:eastAsiaTheme="minorEastAsia"/>
                <w:b/>
                <w:bCs/>
                <w:color w:val="auto"/>
                <w:kern w:val="0"/>
                <w:sz w:val="24"/>
                <w:szCs w:val="24"/>
              </w:rPr>
              <w:t>要求</w:t>
            </w:r>
            <w:r>
              <w:rPr>
                <w:rFonts w:hint="eastAsia" w:cs="宋体" w:asciiTheme="minorEastAsia" w:hAnsiTheme="minorEastAsia" w:eastAsiaTheme="minorEastAsia"/>
                <w:b/>
                <w:bCs/>
                <w:color w:val="auto"/>
                <w:kern w:val="0"/>
                <w:sz w:val="24"/>
                <w:szCs w:val="24"/>
                <w:lang w:eastAsia="zh-CN"/>
              </w:rPr>
              <w:t>：</w:t>
            </w:r>
          </w:p>
          <w:p w14:paraId="3ED367AD">
            <w:pPr>
              <w:keepNext w:val="0"/>
              <w:keepLines w:val="0"/>
              <w:pageBreakBefore w:val="0"/>
              <w:widowControl/>
              <w:numPr>
                <w:ilvl w:val="0"/>
                <w:numId w:val="0"/>
              </w:numPr>
              <w:kinsoku/>
              <w:wordWrap/>
              <w:overflowPunct/>
              <w:topLinePunct w:val="0"/>
              <w:autoSpaceDE/>
              <w:autoSpaceDN/>
              <w:bidi w:val="0"/>
              <w:adjustRightInd/>
              <w:snapToGrid/>
              <w:spacing w:before="100" w:beforeAutospacing="1" w:after="100" w:afterAutospacing="1" w:line="280" w:lineRule="exact"/>
              <w:jc w:val="left"/>
              <w:textAlignment w:val="auto"/>
              <w:rPr>
                <w:rFonts w:hint="eastAsia" w:cs="宋体" w:asciiTheme="minorEastAsia" w:hAnsiTheme="minorEastAsia" w:eastAsiaTheme="minorEastAsia"/>
                <w:b w:val="0"/>
                <w:bCs w:val="0"/>
                <w:color w:val="auto"/>
                <w:kern w:val="0"/>
                <w:sz w:val="24"/>
                <w:szCs w:val="24"/>
              </w:rPr>
            </w:pPr>
            <w:r>
              <w:rPr>
                <w:rFonts w:hint="eastAsia" w:cs="宋体" w:asciiTheme="minorEastAsia" w:hAnsiTheme="minorEastAsia" w:eastAsiaTheme="minorEastAsia"/>
                <w:b w:val="0"/>
                <w:bCs w:val="0"/>
                <w:color w:val="auto"/>
                <w:kern w:val="0"/>
                <w:sz w:val="24"/>
                <w:szCs w:val="24"/>
              </w:rPr>
              <w:t>★1、蛋糕券至少三年有效期。</w:t>
            </w:r>
          </w:p>
          <w:p w14:paraId="498CA7D2">
            <w:pPr>
              <w:keepNext w:val="0"/>
              <w:keepLines w:val="0"/>
              <w:pageBreakBefore w:val="0"/>
              <w:widowControl/>
              <w:numPr>
                <w:ilvl w:val="0"/>
                <w:numId w:val="0"/>
              </w:numPr>
              <w:kinsoku/>
              <w:wordWrap/>
              <w:overflowPunct/>
              <w:topLinePunct w:val="0"/>
              <w:autoSpaceDE/>
              <w:autoSpaceDN/>
              <w:bidi w:val="0"/>
              <w:adjustRightInd/>
              <w:snapToGrid/>
              <w:spacing w:before="100" w:beforeAutospacing="1" w:after="100" w:afterAutospacing="1" w:line="280" w:lineRule="exact"/>
              <w:jc w:val="left"/>
              <w:textAlignment w:val="auto"/>
              <w:rPr>
                <w:rFonts w:hint="eastAsia" w:cs="宋体" w:asciiTheme="minorEastAsia" w:hAnsiTheme="minorEastAsia" w:eastAsiaTheme="minorEastAsia"/>
                <w:b w:val="0"/>
                <w:bCs w:val="0"/>
                <w:color w:val="auto"/>
                <w:kern w:val="0"/>
                <w:sz w:val="24"/>
                <w:szCs w:val="24"/>
              </w:rPr>
            </w:pPr>
            <w:r>
              <w:rPr>
                <w:rFonts w:hint="eastAsia" w:cs="宋体" w:asciiTheme="minorEastAsia" w:hAnsiTheme="minorEastAsia" w:eastAsiaTheme="minorEastAsia"/>
                <w:b w:val="0"/>
                <w:bCs w:val="0"/>
                <w:color w:val="auto"/>
                <w:kern w:val="0"/>
                <w:sz w:val="24"/>
                <w:szCs w:val="24"/>
              </w:rPr>
              <w:t>★2、所有食品原材料均需达到国家标准包括但不限于：GB 2760《食品安全国家标准 食品添加剂使用标准》、GB 2762《食品安全国家标准 食品中污染物限量》、GB 2763《食品安全国家标准 食品中农药最大残留限量》等。对于没有国家标准的，应符合行业标准。。</w:t>
            </w:r>
          </w:p>
          <w:p w14:paraId="17686568">
            <w:pPr>
              <w:keepNext w:val="0"/>
              <w:keepLines w:val="0"/>
              <w:pageBreakBefore w:val="0"/>
              <w:widowControl/>
              <w:numPr>
                <w:ilvl w:val="0"/>
                <w:numId w:val="0"/>
              </w:numPr>
              <w:kinsoku/>
              <w:wordWrap/>
              <w:overflowPunct/>
              <w:topLinePunct w:val="0"/>
              <w:autoSpaceDE/>
              <w:autoSpaceDN/>
              <w:bidi w:val="0"/>
              <w:adjustRightInd/>
              <w:snapToGrid/>
              <w:spacing w:before="100" w:beforeAutospacing="1" w:after="100" w:afterAutospacing="1" w:line="280" w:lineRule="exact"/>
              <w:jc w:val="left"/>
              <w:textAlignment w:val="auto"/>
              <w:rPr>
                <w:rFonts w:hint="eastAsia" w:cs="宋体" w:asciiTheme="minorEastAsia" w:hAnsiTheme="minorEastAsia" w:eastAsiaTheme="minorEastAsia"/>
                <w:b w:val="0"/>
                <w:bCs w:val="0"/>
                <w:color w:val="auto"/>
                <w:kern w:val="0"/>
                <w:sz w:val="24"/>
                <w:szCs w:val="24"/>
              </w:rPr>
            </w:pPr>
            <w:r>
              <w:rPr>
                <w:rFonts w:hint="eastAsia" w:cs="宋体" w:asciiTheme="minorEastAsia" w:hAnsiTheme="minorEastAsia" w:eastAsiaTheme="minorEastAsia"/>
                <w:b w:val="0"/>
                <w:bCs w:val="0"/>
                <w:color w:val="auto"/>
                <w:kern w:val="0"/>
                <w:sz w:val="24"/>
                <w:szCs w:val="24"/>
              </w:rPr>
              <w:t>★3、需同时满足职工可选择线上下单、或通过实体店购买的需求，且可选样式应保证每天不得少于50</w:t>
            </w:r>
            <w:r>
              <w:rPr>
                <w:rFonts w:hint="eastAsia" w:cs="宋体" w:asciiTheme="minorEastAsia" w:hAnsiTheme="minorEastAsia" w:eastAsiaTheme="minorEastAsia"/>
                <w:b w:val="0"/>
                <w:bCs w:val="0"/>
                <w:color w:val="auto"/>
                <w:kern w:val="0"/>
                <w:sz w:val="24"/>
                <w:szCs w:val="24"/>
                <w:lang w:val="en-US" w:eastAsia="zh-CN"/>
              </w:rPr>
              <w:t>种</w:t>
            </w:r>
            <w:r>
              <w:rPr>
                <w:rFonts w:hint="eastAsia" w:cs="宋体" w:asciiTheme="minorEastAsia" w:hAnsiTheme="minorEastAsia" w:eastAsiaTheme="minorEastAsia"/>
                <w:b w:val="0"/>
                <w:bCs w:val="0"/>
                <w:color w:val="auto"/>
                <w:kern w:val="0"/>
                <w:sz w:val="24"/>
                <w:szCs w:val="24"/>
              </w:rPr>
              <w:t>。</w:t>
            </w:r>
          </w:p>
          <w:p w14:paraId="718B1240">
            <w:pPr>
              <w:keepNext w:val="0"/>
              <w:keepLines w:val="0"/>
              <w:pageBreakBefore w:val="0"/>
              <w:widowControl/>
              <w:numPr>
                <w:ilvl w:val="0"/>
                <w:numId w:val="0"/>
              </w:numPr>
              <w:kinsoku/>
              <w:wordWrap/>
              <w:overflowPunct/>
              <w:topLinePunct w:val="0"/>
              <w:autoSpaceDE/>
              <w:autoSpaceDN/>
              <w:bidi w:val="0"/>
              <w:adjustRightInd/>
              <w:snapToGrid/>
              <w:spacing w:before="100" w:beforeAutospacing="1" w:after="100" w:afterAutospacing="1" w:line="280" w:lineRule="exact"/>
              <w:jc w:val="left"/>
              <w:textAlignment w:val="auto"/>
              <w:rPr>
                <w:rFonts w:hint="eastAsia" w:cs="宋体" w:asciiTheme="minorEastAsia" w:hAnsiTheme="minorEastAsia" w:eastAsiaTheme="minorEastAsia"/>
                <w:b w:val="0"/>
                <w:bCs w:val="0"/>
                <w:color w:val="auto"/>
                <w:kern w:val="0"/>
                <w:sz w:val="24"/>
                <w:szCs w:val="24"/>
              </w:rPr>
            </w:pPr>
            <w:r>
              <w:rPr>
                <w:rFonts w:hint="eastAsia" w:cs="宋体" w:asciiTheme="minorEastAsia" w:hAnsiTheme="minorEastAsia" w:eastAsiaTheme="minorEastAsia"/>
                <w:b w:val="0"/>
                <w:bCs w:val="0"/>
                <w:color w:val="auto"/>
                <w:kern w:val="0"/>
                <w:sz w:val="24"/>
                <w:szCs w:val="24"/>
              </w:rPr>
              <w:t>4、提供其他品类选项，例如职工未选中适合的生日蛋糕下单，仍可在有效期内任意兑换其他等价商品避免浪费。</w:t>
            </w:r>
            <w:bookmarkStart w:id="0" w:name="_GoBack"/>
            <w:bookmarkEnd w:id="0"/>
          </w:p>
          <w:p w14:paraId="33BA3653">
            <w:pPr>
              <w:keepNext w:val="0"/>
              <w:keepLines w:val="0"/>
              <w:pageBreakBefore w:val="0"/>
              <w:widowControl/>
              <w:numPr>
                <w:ilvl w:val="0"/>
                <w:numId w:val="0"/>
              </w:numPr>
              <w:kinsoku/>
              <w:wordWrap/>
              <w:overflowPunct/>
              <w:topLinePunct w:val="0"/>
              <w:autoSpaceDE/>
              <w:autoSpaceDN/>
              <w:bidi w:val="0"/>
              <w:adjustRightInd/>
              <w:snapToGrid/>
              <w:spacing w:before="100" w:beforeAutospacing="1" w:after="100" w:afterAutospacing="1" w:line="280" w:lineRule="exact"/>
              <w:jc w:val="left"/>
              <w:textAlignment w:val="auto"/>
              <w:rPr>
                <w:rFonts w:hint="eastAsia" w:cs="宋体" w:asciiTheme="minorEastAsia" w:hAnsiTheme="minorEastAsia" w:eastAsiaTheme="minorEastAsia"/>
                <w:b w:val="0"/>
                <w:bCs w:val="0"/>
                <w:color w:val="auto"/>
                <w:kern w:val="0"/>
                <w:sz w:val="24"/>
                <w:szCs w:val="24"/>
              </w:rPr>
            </w:pPr>
            <w:r>
              <w:rPr>
                <w:rFonts w:hint="eastAsia" w:cs="宋体" w:asciiTheme="minorEastAsia" w:hAnsiTheme="minorEastAsia" w:eastAsiaTheme="minorEastAsia"/>
                <w:b w:val="0"/>
                <w:bCs w:val="0"/>
                <w:color w:val="auto"/>
                <w:kern w:val="0"/>
                <w:sz w:val="24"/>
                <w:szCs w:val="24"/>
              </w:rPr>
              <w:t>（其他等价商品包含米、面、粮油、生活用纸、扶贫产品、小家电等生活必需品）</w:t>
            </w:r>
          </w:p>
          <w:p w14:paraId="6C225D2E">
            <w:pPr>
              <w:keepNext w:val="0"/>
              <w:keepLines w:val="0"/>
              <w:widowControl/>
              <w:suppressLineNumbers w:val="0"/>
              <w:spacing w:line="280" w:lineRule="exact"/>
              <w:jc w:val="left"/>
            </w:pPr>
            <w:r>
              <w:rPr>
                <w:rFonts w:hint="eastAsia" w:cs="宋体" w:asciiTheme="minorEastAsia" w:hAnsiTheme="minorEastAsia" w:eastAsiaTheme="minorEastAsia"/>
                <w:b w:val="0"/>
                <w:bCs w:val="0"/>
                <w:color w:val="auto"/>
                <w:kern w:val="0"/>
                <w:sz w:val="24"/>
                <w:szCs w:val="24"/>
              </w:rPr>
              <w:t>★5、</w:t>
            </w:r>
            <w:r>
              <w:rPr>
                <w:rFonts w:hint="eastAsia" w:ascii="宋体" w:hAnsi="宋体" w:eastAsia="宋体" w:cs="宋体"/>
                <w:color w:val="000000"/>
                <w:kern w:val="0"/>
                <w:sz w:val="24"/>
                <w:szCs w:val="24"/>
                <w:lang w:val="en-US" w:eastAsia="zh-CN" w:bidi="ar"/>
              </w:rPr>
              <w:t>成交人根据采购人提供的采购数量及地址使用快递到家的方式进行交货。</w:t>
            </w:r>
          </w:p>
          <w:p w14:paraId="3FF728BD">
            <w:pPr>
              <w:keepNext w:val="0"/>
              <w:keepLines w:val="0"/>
              <w:pageBreakBefore w:val="0"/>
              <w:widowControl/>
              <w:numPr>
                <w:ilvl w:val="0"/>
                <w:numId w:val="0"/>
              </w:numPr>
              <w:kinsoku/>
              <w:wordWrap/>
              <w:overflowPunct/>
              <w:topLinePunct w:val="0"/>
              <w:autoSpaceDE/>
              <w:autoSpaceDN/>
              <w:bidi w:val="0"/>
              <w:adjustRightInd/>
              <w:snapToGrid/>
              <w:spacing w:before="100" w:beforeAutospacing="1" w:after="100" w:afterAutospacing="1" w:line="280" w:lineRule="exact"/>
              <w:jc w:val="left"/>
              <w:textAlignment w:val="auto"/>
              <w:rPr>
                <w:rFonts w:hint="eastAsia" w:cs="宋体" w:asciiTheme="minorEastAsia" w:hAnsiTheme="minorEastAsia" w:eastAsiaTheme="minorEastAsia"/>
                <w:b w:val="0"/>
                <w:bCs w:val="0"/>
                <w:color w:val="auto"/>
                <w:kern w:val="0"/>
                <w:sz w:val="24"/>
                <w:szCs w:val="24"/>
              </w:rPr>
            </w:pPr>
            <w:r>
              <w:rPr>
                <w:rFonts w:hint="eastAsia" w:cs="宋体" w:asciiTheme="minorEastAsia" w:hAnsiTheme="minorEastAsia" w:eastAsiaTheme="minorEastAsia"/>
                <w:b w:val="0"/>
                <w:bCs w:val="0"/>
                <w:color w:val="auto"/>
                <w:kern w:val="0"/>
                <w:sz w:val="24"/>
                <w:szCs w:val="24"/>
              </w:rPr>
              <w:t>★6、除去合理的快递费用，各类商品单价不高于同期市场正常零售价格。</w:t>
            </w:r>
          </w:p>
          <w:p w14:paraId="40D72606">
            <w:pPr>
              <w:keepNext w:val="0"/>
              <w:keepLines w:val="0"/>
              <w:pageBreakBefore w:val="0"/>
              <w:widowControl/>
              <w:numPr>
                <w:ilvl w:val="0"/>
                <w:numId w:val="0"/>
              </w:numPr>
              <w:kinsoku/>
              <w:wordWrap/>
              <w:overflowPunct/>
              <w:topLinePunct w:val="0"/>
              <w:autoSpaceDE/>
              <w:autoSpaceDN/>
              <w:bidi w:val="0"/>
              <w:adjustRightInd/>
              <w:snapToGrid/>
              <w:spacing w:before="100" w:beforeAutospacing="1" w:after="100" w:afterAutospacing="1" w:line="280" w:lineRule="exact"/>
              <w:jc w:val="left"/>
              <w:textAlignment w:val="auto"/>
              <w:rPr>
                <w:rFonts w:hint="eastAsia" w:cs="宋体" w:asciiTheme="minorEastAsia" w:hAnsiTheme="minorEastAsia" w:eastAsiaTheme="minorEastAsia"/>
                <w:b w:val="0"/>
                <w:bCs w:val="0"/>
                <w:color w:val="auto"/>
                <w:kern w:val="0"/>
                <w:sz w:val="24"/>
                <w:szCs w:val="24"/>
              </w:rPr>
            </w:pPr>
            <w:r>
              <w:rPr>
                <w:rFonts w:hint="eastAsia" w:cs="宋体" w:asciiTheme="minorEastAsia" w:hAnsiTheme="minorEastAsia" w:eastAsiaTheme="minorEastAsia"/>
                <w:b w:val="0"/>
                <w:bCs w:val="0"/>
                <w:color w:val="auto"/>
                <w:kern w:val="0"/>
                <w:sz w:val="24"/>
                <w:szCs w:val="24"/>
              </w:rPr>
              <w:t>★7、所有产品包装完整。</w:t>
            </w:r>
          </w:p>
          <w:p w14:paraId="0CC680F5">
            <w:pPr>
              <w:keepNext w:val="0"/>
              <w:keepLines w:val="0"/>
              <w:pageBreakBefore w:val="0"/>
              <w:widowControl/>
              <w:numPr>
                <w:ilvl w:val="0"/>
                <w:numId w:val="0"/>
              </w:numPr>
              <w:kinsoku/>
              <w:wordWrap/>
              <w:overflowPunct/>
              <w:topLinePunct w:val="0"/>
              <w:autoSpaceDE/>
              <w:autoSpaceDN/>
              <w:bidi w:val="0"/>
              <w:adjustRightInd/>
              <w:snapToGrid/>
              <w:spacing w:before="100" w:beforeAutospacing="1" w:after="100" w:afterAutospacing="1" w:line="280" w:lineRule="exact"/>
              <w:jc w:val="left"/>
              <w:textAlignment w:val="auto"/>
              <w:rPr>
                <w:rFonts w:hint="eastAsia" w:cs="宋体" w:asciiTheme="minorEastAsia" w:hAnsiTheme="minorEastAsia" w:eastAsiaTheme="minorEastAsia"/>
                <w:b w:val="0"/>
                <w:bCs w:val="0"/>
                <w:color w:val="auto"/>
                <w:kern w:val="0"/>
                <w:sz w:val="24"/>
                <w:szCs w:val="24"/>
              </w:rPr>
            </w:pPr>
            <w:r>
              <w:rPr>
                <w:rFonts w:hint="eastAsia" w:cs="宋体" w:asciiTheme="minorEastAsia" w:hAnsiTheme="minorEastAsia" w:eastAsiaTheme="minorEastAsia"/>
                <w:b w:val="0"/>
                <w:bCs w:val="0"/>
                <w:color w:val="auto"/>
                <w:kern w:val="0"/>
                <w:sz w:val="24"/>
                <w:szCs w:val="24"/>
              </w:rPr>
              <w:t>8、响应供应商应具备为本项目提供线下兑换服务的能力，能够在本市范围内为职工提供实体店兑换服务。供应商应在投标文件中提供线下服务网点的分布说明及服务承诺（包括但不限于服务网点地址、营业时间、可兑换商品范围等）。</w:t>
            </w:r>
          </w:p>
          <w:p w14:paraId="5D63CD25">
            <w:pPr>
              <w:keepNext w:val="0"/>
              <w:keepLines w:val="0"/>
              <w:pageBreakBefore w:val="0"/>
              <w:widowControl/>
              <w:numPr>
                <w:ilvl w:val="0"/>
                <w:numId w:val="0"/>
              </w:numPr>
              <w:kinsoku/>
              <w:wordWrap/>
              <w:overflowPunct/>
              <w:topLinePunct w:val="0"/>
              <w:autoSpaceDE/>
              <w:autoSpaceDN/>
              <w:bidi w:val="0"/>
              <w:adjustRightInd/>
              <w:snapToGrid/>
              <w:spacing w:before="100" w:beforeAutospacing="1" w:after="100" w:afterAutospacing="1" w:line="280" w:lineRule="exact"/>
              <w:jc w:val="left"/>
              <w:textAlignment w:val="auto"/>
              <w:rPr>
                <w:rFonts w:hint="eastAsia" w:cs="宋体" w:asciiTheme="minorEastAsia" w:hAnsiTheme="minorEastAsia" w:eastAsiaTheme="minorEastAsia"/>
                <w:b w:val="0"/>
                <w:bCs w:val="0"/>
                <w:color w:val="auto"/>
                <w:kern w:val="0"/>
                <w:sz w:val="24"/>
                <w:szCs w:val="24"/>
              </w:rPr>
            </w:pPr>
            <w:r>
              <w:rPr>
                <w:rFonts w:hint="eastAsia" w:cs="宋体" w:asciiTheme="minorEastAsia" w:hAnsiTheme="minorEastAsia" w:eastAsiaTheme="minorEastAsia"/>
                <w:b w:val="0"/>
                <w:bCs w:val="0"/>
                <w:color w:val="auto"/>
                <w:kern w:val="0"/>
                <w:sz w:val="24"/>
                <w:szCs w:val="24"/>
              </w:rPr>
              <w:t>9、响应供应商应具有提供生日蛋糕券或类似职工福利服务的经验，并提供相关服务案例证明（如合同复印件、服务评价等）。供应商应说明其服务能力，包括可覆盖的服务人数、配送能力及售后保障措施。</w:t>
            </w:r>
          </w:p>
          <w:p w14:paraId="1A80C8DA">
            <w:pPr>
              <w:widowControl/>
              <w:numPr>
                <w:ilvl w:val="0"/>
                <w:numId w:val="0"/>
              </w:numPr>
              <w:spacing w:before="100" w:beforeAutospacing="1" w:after="100" w:afterAutospacing="1" w:line="280" w:lineRule="exact"/>
              <w:jc w:val="left"/>
              <w:rPr>
                <w:rFonts w:hint="eastAsia" w:cs="宋体" w:asciiTheme="minorEastAsia" w:hAnsiTheme="minorEastAsia" w:eastAsiaTheme="minorEastAsia"/>
                <w:color w:val="auto"/>
                <w:kern w:val="0"/>
                <w:sz w:val="24"/>
                <w:szCs w:val="24"/>
                <w:lang w:eastAsia="zh-CN"/>
              </w:rPr>
            </w:pPr>
            <w:r>
              <w:rPr>
                <w:rFonts w:hint="eastAsia" w:cs="宋体" w:asciiTheme="minorEastAsia" w:hAnsiTheme="minorEastAsia" w:eastAsiaTheme="minorEastAsia"/>
                <w:color w:val="auto"/>
                <w:kern w:val="0"/>
                <w:sz w:val="24"/>
                <w:szCs w:val="24"/>
                <w:lang w:val="en-US" w:eastAsia="zh-CN"/>
              </w:rPr>
              <w:t>10</w:t>
            </w:r>
            <w:r>
              <w:rPr>
                <w:rFonts w:hint="eastAsia" w:cs="宋体" w:asciiTheme="minorEastAsia" w:hAnsiTheme="minorEastAsia" w:eastAsiaTheme="minorEastAsia"/>
                <w:color w:val="auto"/>
                <w:kern w:val="0"/>
                <w:sz w:val="24"/>
                <w:szCs w:val="24"/>
                <w:lang w:eastAsia="zh-CN"/>
              </w:rPr>
              <w:t>、根据职工下单的生日蛋糕送货日期，生日蛋糕为</w:t>
            </w:r>
            <w:r>
              <w:rPr>
                <w:rFonts w:hint="eastAsia" w:cs="宋体" w:asciiTheme="minorEastAsia" w:hAnsiTheme="minorEastAsia" w:eastAsiaTheme="minorEastAsia"/>
                <w:color w:val="auto"/>
                <w:kern w:val="0"/>
                <w:sz w:val="24"/>
                <w:szCs w:val="24"/>
                <w:lang w:val="en-US" w:eastAsia="zh-CN"/>
              </w:rPr>
              <w:t>送货</w:t>
            </w:r>
            <w:r>
              <w:rPr>
                <w:rFonts w:hint="eastAsia" w:cs="宋体" w:asciiTheme="minorEastAsia" w:hAnsiTheme="minorEastAsia" w:eastAsiaTheme="minorEastAsia"/>
                <w:color w:val="auto"/>
                <w:kern w:val="0"/>
                <w:sz w:val="24"/>
                <w:szCs w:val="24"/>
                <w:lang w:eastAsia="zh-CN"/>
              </w:rPr>
              <w:t>当天新鲜制作。</w:t>
            </w:r>
          </w:p>
          <w:p w14:paraId="49CC1643">
            <w:pPr>
              <w:pStyle w:val="2"/>
              <w:spacing w:line="280" w:lineRule="exact"/>
              <w:jc w:val="left"/>
            </w:pPr>
            <w:r>
              <w:rPr>
                <w:rFonts w:hint="eastAsia" w:cs="宋体" w:asciiTheme="minorEastAsia" w:hAnsiTheme="minorEastAsia" w:eastAsiaTheme="minorEastAsia"/>
                <w:color w:val="auto"/>
                <w:kern w:val="0"/>
                <w:sz w:val="24"/>
                <w:szCs w:val="24"/>
                <w:lang w:val="en-US" w:eastAsia="zh-CN"/>
              </w:rPr>
              <w:t>11、</w:t>
            </w:r>
            <w:r>
              <w:rPr>
                <w:rFonts w:hint="eastAsia" w:cs="宋体" w:asciiTheme="minorEastAsia" w:hAnsiTheme="minorEastAsia" w:eastAsiaTheme="minorEastAsia"/>
                <w:color w:val="auto"/>
                <w:kern w:val="0"/>
                <w:sz w:val="24"/>
                <w:szCs w:val="24"/>
                <w:lang w:eastAsia="zh-CN"/>
              </w:rPr>
              <w:t>如有其他商品，需保证快递到货时剩余有效期时长应大于等于商品实际有效期时长的70%。</w:t>
            </w:r>
          </w:p>
        </w:tc>
      </w:tr>
    </w:tbl>
    <w:p w14:paraId="0800DA34">
      <w:pPr>
        <w:ind w:firstLine="0" w:firstLineChars="0"/>
        <w:jc w:val="left"/>
        <w:rPr>
          <w:rFonts w:hint="default" w:eastAsia="宋体"/>
          <w:color w:val="auto"/>
          <w:lang w:val="en-US" w:eastAsia="zh-CN"/>
        </w:rPr>
      </w:pPr>
      <w:r>
        <w:rPr>
          <w:rFonts w:hint="eastAsia" w:ascii="宋体" w:hAnsi="宋体" w:eastAsia="宋体" w:cs="宋体"/>
          <w:color w:val="auto"/>
          <w:sz w:val="22"/>
          <w:szCs w:val="22"/>
          <w:highlight w:val="none"/>
          <w:lang w:val="en-US" w:eastAsia="zh-CN"/>
        </w:rPr>
        <w:t>报价填写要求：以蛋糕券的优惠率报价为准，优惠率报价≥0%，且是固定唯一值的，否则会导致无效投标（优惠率为蛋糕券的优惠额度，在基准价（300元）的基础上填报，例如，在实际面额300元/人的标准额度下，若优惠率报价为10%，蛋糕券实际购买额度为300*(1+10%）=330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904BA3"/>
    <w:rsid w:val="069E64D7"/>
    <w:rsid w:val="08B35053"/>
    <w:rsid w:val="0AA22412"/>
    <w:rsid w:val="0F7C7F74"/>
    <w:rsid w:val="0FA41C18"/>
    <w:rsid w:val="13E65FBA"/>
    <w:rsid w:val="21650730"/>
    <w:rsid w:val="2CDB2007"/>
    <w:rsid w:val="2EB524D6"/>
    <w:rsid w:val="32C661D8"/>
    <w:rsid w:val="32F41326"/>
    <w:rsid w:val="361272BE"/>
    <w:rsid w:val="44A428E3"/>
    <w:rsid w:val="4F640CE6"/>
    <w:rsid w:val="52BB0D49"/>
    <w:rsid w:val="55BA23F6"/>
    <w:rsid w:val="5637484F"/>
    <w:rsid w:val="5963021F"/>
    <w:rsid w:val="5E0B65DA"/>
    <w:rsid w:val="64904BA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jc w:val="center"/>
    </w:pPr>
    <w:rPr>
      <w:rFonts w:ascii="宋体" w:hAnsi="宋体"/>
      <w:color w:val="FF0000"/>
      <w:szCs w:val="24"/>
    </w:rPr>
  </w:style>
  <w:style w:type="paragraph" w:styleId="4">
    <w:name w:val="annotation text"/>
    <w:basedOn w:val="1"/>
    <w:qFormat/>
    <w:uiPriority w:val="0"/>
    <w:pPr>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815</Words>
  <Characters>863</Characters>
  <Lines>0</Lines>
  <Paragraphs>0</Paragraphs>
  <TotalTime>4</TotalTime>
  <ScaleCrop>false</ScaleCrop>
  <LinksUpToDate>false</LinksUpToDate>
  <CharactersWithSpaces>870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2017-05-17T00:34:00Z</dcterms:created>
  <dc:creator>Administrator</dc:creator>
  <cp:lastModifiedBy>芝士</cp:lastModifiedBy>
  <cp:lastPrinted>2026-03-13T00:40:00Z</cp:lastPrinted>
  <dcterms:modified xsi:type="dcterms:W3CDTF">2026-10-10T03:43:43Z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eyJoZGlkIjoiNGY4NmY3Yzc5MmU4MWI3YWIxMDQ1NGZjMDU2NGI4NzkiLCJ1c2VySWQiOiIzNTM4NDc5NTUifQ==</vt:lpwstr>
  </property>
  <property fmtid="{D5CDD505-2E9C-101B-9397-08002B2CF9AE}" pid="4" name="ICV">
    <vt:lpwstr>0306DD2DC8BC468381C9BE5F909ED182_13</vt:lpwstr>
  </property>
</Properties>
</file>