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6FEF0">
      <w:pPr>
        <w:spacing w:line="360" w:lineRule="auto"/>
        <w:rPr>
          <w:rFonts w:hint="eastAsia" w:ascii="仿宋" w:hAnsi="仿宋" w:eastAsia="仿宋"/>
          <w:sz w:val="28"/>
          <w:lang w:val="en-US" w:eastAsia="zh-CN"/>
        </w:rPr>
      </w:pPr>
      <w:r>
        <w:rPr>
          <w:rFonts w:hint="eastAsia" w:ascii="仿宋" w:hAnsi="仿宋" w:eastAsia="仿宋"/>
          <w:sz w:val="28"/>
          <w:lang w:val="en-US" w:eastAsia="zh-CN"/>
        </w:rPr>
        <w:t>附件1：</w:t>
      </w:r>
    </w:p>
    <w:p w14:paraId="5F23D57C">
      <w:pPr>
        <w:spacing w:line="360" w:lineRule="auto"/>
        <w:ind w:firstLine="880" w:firstLineChars="20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潜在供应商调查问卷</w:t>
      </w:r>
    </w:p>
    <w:p w14:paraId="35B6829B">
      <w:pPr>
        <w:pStyle w:val="8"/>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一、基本情况</w:t>
      </w:r>
    </w:p>
    <w:tbl>
      <w:tblPr>
        <w:tblStyle w:val="5"/>
        <w:tblW w:w="838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22"/>
        <w:gridCol w:w="1756"/>
        <w:gridCol w:w="1463"/>
        <w:gridCol w:w="2440"/>
      </w:tblGrid>
      <w:tr w14:paraId="1A6E5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56308965">
            <w:pPr>
              <w:spacing w:line="360" w:lineRule="auto"/>
              <w:jc w:val="center"/>
              <w:rPr>
                <w:rFonts w:hint="eastAsia" w:ascii="仿宋" w:hAnsi="仿宋" w:eastAsia="仿宋" w:cs="仿宋"/>
                <w:sz w:val="22"/>
                <w:szCs w:val="22"/>
                <w14:shadow w14:blurRad="50800" w14:dist="38100" w14:dir="2700000" w14:sx="100000" w14:sy="100000" w14:kx="0" w14:ky="0" w14:algn="tl">
                  <w14:srgbClr w14:val="000000">
                    <w14:alpha w14:val="60000"/>
                  </w14:srgbClr>
                </w14:shadow>
              </w:rPr>
            </w:pPr>
            <w:r>
              <w:rPr>
                <w:rFonts w:hint="eastAsia" w:ascii="仿宋" w:hAnsi="仿宋" w:eastAsia="仿宋"/>
                <w:sz w:val="21"/>
                <w:szCs w:val="21"/>
                <w:lang w:val="en-US" w:eastAsia="zh-CN"/>
              </w:rPr>
              <w:t>公司名称</w:t>
            </w:r>
          </w:p>
        </w:tc>
        <w:tc>
          <w:tcPr>
            <w:tcW w:w="5659" w:type="dxa"/>
            <w:gridSpan w:val="3"/>
            <w:noWrap w:val="0"/>
            <w:vAlign w:val="center"/>
          </w:tcPr>
          <w:p w14:paraId="0FEE31C2">
            <w:pPr>
              <w:ind w:left="420" w:hanging="360" w:hangingChars="150"/>
              <w:jc w:val="center"/>
              <w:rPr>
                <w:rFonts w:hint="eastAsia" w:ascii="仿宋" w:hAnsi="仿宋" w:eastAsia="仿宋" w:cs="仿宋"/>
                <w:sz w:val="24"/>
                <w:szCs w:val="24"/>
                <w14:shadow w14:blurRad="50800" w14:dist="38100" w14:dir="2700000" w14:sx="100000" w14:sy="100000" w14:kx="0" w14:ky="0" w14:algn="tl">
                  <w14:srgbClr w14:val="000000">
                    <w14:alpha w14:val="60000"/>
                  </w14:srgbClr>
                </w14:shadow>
              </w:rPr>
            </w:pPr>
          </w:p>
        </w:tc>
      </w:tr>
      <w:tr w14:paraId="7F871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5FD14ACC">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成立时间</w:t>
            </w:r>
          </w:p>
        </w:tc>
        <w:tc>
          <w:tcPr>
            <w:tcW w:w="5659" w:type="dxa"/>
            <w:gridSpan w:val="3"/>
            <w:noWrap w:val="0"/>
            <w:vAlign w:val="center"/>
          </w:tcPr>
          <w:p w14:paraId="5A80C924">
            <w:pPr>
              <w:spacing w:line="360" w:lineRule="auto"/>
              <w:jc w:val="center"/>
              <w:rPr>
                <w:rFonts w:hint="eastAsia" w:ascii="仿宋" w:hAnsi="仿宋" w:eastAsia="仿宋"/>
                <w:sz w:val="21"/>
                <w:szCs w:val="21"/>
                <w:lang w:val="en-US" w:eastAsia="zh-CN"/>
              </w:rPr>
            </w:pPr>
          </w:p>
        </w:tc>
      </w:tr>
      <w:tr w14:paraId="34261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4E582820">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联系人</w:t>
            </w:r>
          </w:p>
        </w:tc>
        <w:tc>
          <w:tcPr>
            <w:tcW w:w="1756" w:type="dxa"/>
            <w:noWrap w:val="0"/>
            <w:vAlign w:val="center"/>
          </w:tcPr>
          <w:p w14:paraId="4FE62E72">
            <w:pPr>
              <w:spacing w:line="360" w:lineRule="auto"/>
              <w:jc w:val="center"/>
              <w:rPr>
                <w:rFonts w:hint="eastAsia" w:ascii="仿宋" w:hAnsi="仿宋" w:eastAsia="仿宋"/>
                <w:sz w:val="21"/>
                <w:szCs w:val="21"/>
                <w:lang w:val="en-US" w:eastAsia="zh-CN"/>
              </w:rPr>
            </w:pPr>
          </w:p>
        </w:tc>
        <w:tc>
          <w:tcPr>
            <w:tcW w:w="1463" w:type="dxa"/>
            <w:noWrap w:val="0"/>
            <w:vAlign w:val="center"/>
          </w:tcPr>
          <w:p w14:paraId="2CF2D039">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手机</w:t>
            </w:r>
          </w:p>
        </w:tc>
        <w:tc>
          <w:tcPr>
            <w:tcW w:w="2440" w:type="dxa"/>
            <w:noWrap w:val="0"/>
            <w:vAlign w:val="center"/>
          </w:tcPr>
          <w:p w14:paraId="397FF149">
            <w:pPr>
              <w:spacing w:line="360" w:lineRule="auto"/>
              <w:jc w:val="center"/>
              <w:rPr>
                <w:rFonts w:hint="eastAsia" w:ascii="仿宋" w:hAnsi="仿宋" w:eastAsia="仿宋"/>
                <w:sz w:val="21"/>
                <w:szCs w:val="21"/>
                <w:lang w:val="en-US" w:eastAsia="zh-CN"/>
              </w:rPr>
            </w:pPr>
          </w:p>
        </w:tc>
      </w:tr>
      <w:tr w14:paraId="0AAF2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5025F9FC">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电话</w:t>
            </w:r>
          </w:p>
        </w:tc>
        <w:tc>
          <w:tcPr>
            <w:tcW w:w="1756" w:type="dxa"/>
            <w:noWrap w:val="0"/>
            <w:vAlign w:val="center"/>
          </w:tcPr>
          <w:p w14:paraId="594793BC">
            <w:pPr>
              <w:spacing w:line="360" w:lineRule="auto"/>
              <w:jc w:val="center"/>
              <w:rPr>
                <w:rFonts w:hint="eastAsia" w:ascii="仿宋" w:hAnsi="仿宋" w:eastAsia="仿宋"/>
                <w:sz w:val="21"/>
                <w:szCs w:val="21"/>
                <w:lang w:val="en-US" w:eastAsia="zh-CN"/>
              </w:rPr>
            </w:pPr>
          </w:p>
        </w:tc>
        <w:tc>
          <w:tcPr>
            <w:tcW w:w="1463" w:type="dxa"/>
            <w:noWrap w:val="0"/>
            <w:vAlign w:val="center"/>
          </w:tcPr>
          <w:p w14:paraId="09198641">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邮箱</w:t>
            </w:r>
          </w:p>
        </w:tc>
        <w:tc>
          <w:tcPr>
            <w:tcW w:w="2440" w:type="dxa"/>
            <w:noWrap w:val="0"/>
            <w:vAlign w:val="center"/>
          </w:tcPr>
          <w:p w14:paraId="7A2D7DCF">
            <w:pPr>
              <w:spacing w:line="360" w:lineRule="auto"/>
              <w:jc w:val="center"/>
              <w:rPr>
                <w:rFonts w:hint="eastAsia" w:ascii="仿宋" w:hAnsi="仿宋" w:eastAsia="仿宋"/>
                <w:sz w:val="21"/>
                <w:szCs w:val="21"/>
                <w:lang w:val="en-US" w:eastAsia="zh-CN"/>
              </w:rPr>
            </w:pPr>
          </w:p>
        </w:tc>
      </w:tr>
      <w:tr w14:paraId="6A013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053F9D2E">
            <w:pPr>
              <w:spacing w:line="360" w:lineRule="auto"/>
              <w:jc w:val="center"/>
              <w:rPr>
                <w:rFonts w:hint="default" w:ascii="仿宋" w:hAnsi="仿宋" w:eastAsia="仿宋"/>
                <w:sz w:val="21"/>
                <w:szCs w:val="21"/>
                <w:lang w:val="en-US" w:eastAsia="zh-CN"/>
              </w:rPr>
            </w:pPr>
            <w:r>
              <w:rPr>
                <w:rFonts w:hint="eastAsia" w:ascii="仿宋" w:hAnsi="仿宋" w:eastAsia="仿宋"/>
                <w:sz w:val="21"/>
                <w:szCs w:val="21"/>
                <w:lang w:val="en-US" w:eastAsia="zh-CN"/>
              </w:rPr>
              <w:t>本项目报价（万元）</w:t>
            </w:r>
          </w:p>
        </w:tc>
        <w:tc>
          <w:tcPr>
            <w:tcW w:w="5659" w:type="dxa"/>
            <w:gridSpan w:val="3"/>
            <w:noWrap w:val="0"/>
            <w:vAlign w:val="center"/>
          </w:tcPr>
          <w:p w14:paraId="3C2F5778">
            <w:pPr>
              <w:spacing w:line="360" w:lineRule="auto"/>
              <w:jc w:val="center"/>
              <w:rPr>
                <w:rFonts w:hint="eastAsia" w:ascii="仿宋" w:hAnsi="仿宋" w:eastAsia="仿宋"/>
                <w:sz w:val="21"/>
                <w:szCs w:val="21"/>
                <w:lang w:val="en-US" w:eastAsia="zh-CN"/>
              </w:rPr>
            </w:pPr>
          </w:p>
        </w:tc>
      </w:tr>
      <w:tr w14:paraId="7D90EE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5856" w:hRule="atLeast"/>
        </w:trPr>
        <w:tc>
          <w:tcPr>
            <w:tcW w:w="2722" w:type="dxa"/>
            <w:tcBorders>
              <w:top w:val="single" w:color="000000" w:sz="4" w:space="0"/>
              <w:left w:val="single" w:color="000000" w:sz="4" w:space="0"/>
              <w:bottom w:val="single" w:color="000000" w:sz="4" w:space="0"/>
              <w:right w:val="single" w:color="000000" w:sz="4" w:space="0"/>
            </w:tcBorders>
            <w:vAlign w:val="center"/>
          </w:tcPr>
          <w:p w14:paraId="2815FBB6">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投标人资质要求</w:t>
            </w:r>
          </w:p>
        </w:tc>
        <w:tc>
          <w:tcPr>
            <w:tcW w:w="5659" w:type="dxa"/>
            <w:gridSpan w:val="3"/>
            <w:tcBorders>
              <w:top w:val="single" w:color="000000" w:sz="4" w:space="0"/>
              <w:left w:val="single" w:color="000000" w:sz="4" w:space="0"/>
              <w:bottom w:val="single" w:color="000000" w:sz="4" w:space="0"/>
              <w:right w:val="single" w:color="000000" w:sz="4" w:space="0"/>
            </w:tcBorders>
            <w:vAlign w:val="center"/>
          </w:tcPr>
          <w:p w14:paraId="4BC2B32B">
            <w:pPr>
              <w:numPr>
                <w:ilvl w:val="0"/>
                <w:numId w:val="1"/>
              </w:numPr>
              <w:spacing w:line="360" w:lineRule="auto"/>
              <w:ind w:left="425" w:leftChars="0" w:hanging="425" w:firstLineChars="0"/>
              <w:jc w:val="left"/>
              <w:rPr>
                <w:rFonts w:hint="eastAsia" w:ascii="仿宋" w:hAnsi="仿宋" w:eastAsia="仿宋"/>
                <w:sz w:val="21"/>
                <w:szCs w:val="21"/>
                <w:lang w:val="en-US" w:eastAsia="zh-CN"/>
              </w:rPr>
            </w:pPr>
            <w:r>
              <w:rPr>
                <w:rFonts w:hint="eastAsia" w:ascii="仿宋" w:hAnsi="仿宋" w:eastAsia="仿宋"/>
                <w:sz w:val="21"/>
                <w:szCs w:val="21"/>
                <w:lang w:val="en-US" w:eastAsia="zh-CN"/>
              </w:rPr>
              <w:t>营业执照副本复印件,加盖投标人公章;提供在国家企业信用信息公示系统中自行打印的所有信息（http://www.gsxt.gov.cn/index.html）；（包括基础信息，企业自行公示信息，行政许可信息，行政处罚信息，纳入经营异常名录信息，纳入严重违法失信企业名单（黑名单）信息）加盖投标人公章）；</w:t>
            </w:r>
          </w:p>
          <w:p w14:paraId="4B040861">
            <w:pPr>
              <w:numPr>
                <w:ilvl w:val="0"/>
                <w:numId w:val="0"/>
              </w:numPr>
              <w:spacing w:line="360" w:lineRule="auto"/>
              <w:ind w:leftChars="0"/>
              <w:jc w:val="left"/>
              <w:rPr>
                <w:rFonts w:hint="eastAsia" w:ascii="仿宋" w:hAnsi="仿宋" w:eastAsia="仿宋"/>
                <w:sz w:val="21"/>
                <w:szCs w:val="21"/>
                <w:lang w:val="en-US" w:eastAsia="zh-CN"/>
              </w:rPr>
            </w:pPr>
          </w:p>
        </w:tc>
      </w:tr>
    </w:tbl>
    <w:p w14:paraId="25E6C46E"/>
    <w:p w14:paraId="5C7AF20E"/>
    <w:p w14:paraId="5D3D3208"/>
    <w:p w14:paraId="04892FF5"/>
    <w:p w14:paraId="69882A45"/>
    <w:p w14:paraId="610F19F5"/>
    <w:p w14:paraId="10C31793">
      <w:pPr>
        <w:pStyle w:val="4"/>
      </w:pPr>
    </w:p>
    <w:p w14:paraId="125236BB"/>
    <w:p w14:paraId="512193CB">
      <w:pP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br w:type="page"/>
      </w:r>
    </w:p>
    <w:p w14:paraId="1D8F64F1">
      <w:pPr>
        <w:pStyle w:val="8"/>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二、公司已获得的行业资质、资信证书及荣誉</w:t>
      </w:r>
    </w:p>
    <w:p w14:paraId="453CA17E">
      <w:pPr>
        <w:pStyle w:val="8"/>
        <w:rPr>
          <w:rFonts w:hint="default"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（一）请提供企业营业执照扫描件</w:t>
      </w:r>
    </w:p>
    <w:p w14:paraId="07FA600A">
      <w:pPr>
        <w:pStyle w:val="8"/>
        <w:rPr>
          <w:rFonts w:hint="eastAsia" w:ascii="方正楷体_GB2312" w:hAnsi="方正楷体_GB2312" w:eastAsia="方正楷体_GB2312" w:cs="方正楷体_GB2312"/>
          <w:sz w:val="28"/>
          <w:szCs w:val="28"/>
          <w:lang w:val="en-US" w:eastAsia="zh-CN"/>
        </w:rPr>
      </w:pPr>
    </w:p>
    <w:p w14:paraId="7774B91C">
      <w:pPr>
        <w:pStyle w:val="8"/>
        <w:rPr>
          <w:rFonts w:hint="eastAsia" w:ascii="方正楷体_GB2312" w:hAnsi="方正楷体_GB2312" w:eastAsia="方正楷体_GB2312" w:cs="方正楷体_GB2312"/>
          <w:sz w:val="28"/>
          <w:szCs w:val="28"/>
          <w:lang w:val="en-US" w:eastAsia="zh-CN"/>
        </w:rPr>
      </w:pPr>
    </w:p>
    <w:p w14:paraId="15CC63F6">
      <w:pPr>
        <w:pStyle w:val="8"/>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（二）请提供贵司已获得的行业资质、资信、认证证书列表</w:t>
      </w:r>
    </w:p>
    <w:tbl>
      <w:tblPr>
        <w:tblStyle w:val="6"/>
        <w:tblW w:w="8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0"/>
        <w:gridCol w:w="2684"/>
        <w:gridCol w:w="1686"/>
        <w:gridCol w:w="1581"/>
      </w:tblGrid>
      <w:tr w14:paraId="1982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447766A9">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证书名称</w:t>
            </w:r>
          </w:p>
        </w:tc>
        <w:tc>
          <w:tcPr>
            <w:tcW w:w="2684" w:type="dxa"/>
          </w:tcPr>
          <w:p w14:paraId="26A1360D">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颁发机构</w:t>
            </w:r>
          </w:p>
        </w:tc>
        <w:tc>
          <w:tcPr>
            <w:tcW w:w="1686" w:type="dxa"/>
          </w:tcPr>
          <w:p w14:paraId="4EB9129F">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获得时间</w:t>
            </w:r>
          </w:p>
        </w:tc>
        <w:tc>
          <w:tcPr>
            <w:tcW w:w="1581" w:type="dxa"/>
          </w:tcPr>
          <w:p w14:paraId="4C016588">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有效期限</w:t>
            </w:r>
          </w:p>
        </w:tc>
      </w:tr>
      <w:tr w14:paraId="58CD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1780CA48">
            <w:pPr>
              <w:spacing w:line="360" w:lineRule="auto"/>
              <w:jc w:val="center"/>
              <w:rPr>
                <w:rFonts w:hint="eastAsia" w:ascii="仿宋" w:hAnsi="仿宋" w:eastAsia="仿宋"/>
                <w:sz w:val="21"/>
                <w:szCs w:val="21"/>
                <w:vertAlign w:val="baseline"/>
                <w:lang w:val="en-US" w:eastAsia="zh-CN"/>
              </w:rPr>
            </w:pPr>
          </w:p>
        </w:tc>
        <w:tc>
          <w:tcPr>
            <w:tcW w:w="2684" w:type="dxa"/>
          </w:tcPr>
          <w:p w14:paraId="055C2A49">
            <w:pPr>
              <w:spacing w:line="360" w:lineRule="auto"/>
              <w:jc w:val="center"/>
              <w:rPr>
                <w:rFonts w:hint="eastAsia" w:ascii="仿宋" w:hAnsi="仿宋" w:eastAsia="仿宋"/>
                <w:sz w:val="21"/>
                <w:szCs w:val="21"/>
                <w:vertAlign w:val="baseline"/>
                <w:lang w:val="en-US" w:eastAsia="zh-CN"/>
              </w:rPr>
            </w:pPr>
          </w:p>
        </w:tc>
        <w:tc>
          <w:tcPr>
            <w:tcW w:w="1686" w:type="dxa"/>
          </w:tcPr>
          <w:p w14:paraId="477A6D05">
            <w:pPr>
              <w:spacing w:line="360" w:lineRule="auto"/>
              <w:jc w:val="center"/>
              <w:rPr>
                <w:rFonts w:hint="eastAsia" w:ascii="仿宋" w:hAnsi="仿宋" w:eastAsia="仿宋"/>
                <w:sz w:val="21"/>
                <w:szCs w:val="21"/>
                <w:vertAlign w:val="baseline"/>
                <w:lang w:val="en-US" w:eastAsia="zh-CN"/>
              </w:rPr>
            </w:pPr>
          </w:p>
        </w:tc>
        <w:tc>
          <w:tcPr>
            <w:tcW w:w="1581" w:type="dxa"/>
          </w:tcPr>
          <w:p w14:paraId="47BBD251">
            <w:pPr>
              <w:spacing w:line="360" w:lineRule="auto"/>
              <w:jc w:val="center"/>
              <w:rPr>
                <w:rFonts w:hint="eastAsia" w:ascii="仿宋" w:hAnsi="仿宋" w:eastAsia="仿宋"/>
                <w:sz w:val="21"/>
                <w:szCs w:val="21"/>
                <w:vertAlign w:val="baseline"/>
                <w:lang w:val="en-US" w:eastAsia="zh-CN"/>
              </w:rPr>
            </w:pPr>
          </w:p>
        </w:tc>
      </w:tr>
      <w:tr w14:paraId="7F7A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6DF01C6E">
            <w:pPr>
              <w:spacing w:line="360" w:lineRule="auto"/>
              <w:jc w:val="center"/>
              <w:rPr>
                <w:rFonts w:hint="eastAsia" w:ascii="仿宋" w:hAnsi="仿宋" w:eastAsia="仿宋"/>
                <w:sz w:val="21"/>
                <w:szCs w:val="21"/>
                <w:vertAlign w:val="baseline"/>
                <w:lang w:val="en-US" w:eastAsia="zh-CN"/>
              </w:rPr>
            </w:pPr>
          </w:p>
        </w:tc>
        <w:tc>
          <w:tcPr>
            <w:tcW w:w="2684" w:type="dxa"/>
          </w:tcPr>
          <w:p w14:paraId="487B96DF">
            <w:pPr>
              <w:spacing w:line="360" w:lineRule="auto"/>
              <w:jc w:val="center"/>
              <w:rPr>
                <w:rFonts w:hint="eastAsia" w:ascii="仿宋" w:hAnsi="仿宋" w:eastAsia="仿宋"/>
                <w:sz w:val="21"/>
                <w:szCs w:val="21"/>
                <w:vertAlign w:val="baseline"/>
                <w:lang w:val="en-US" w:eastAsia="zh-CN"/>
              </w:rPr>
            </w:pPr>
          </w:p>
        </w:tc>
        <w:tc>
          <w:tcPr>
            <w:tcW w:w="1686" w:type="dxa"/>
          </w:tcPr>
          <w:p w14:paraId="008BC92F">
            <w:pPr>
              <w:spacing w:line="360" w:lineRule="auto"/>
              <w:jc w:val="center"/>
              <w:rPr>
                <w:rFonts w:hint="eastAsia" w:ascii="仿宋" w:hAnsi="仿宋" w:eastAsia="仿宋"/>
                <w:sz w:val="21"/>
                <w:szCs w:val="21"/>
                <w:vertAlign w:val="baseline"/>
                <w:lang w:val="en-US" w:eastAsia="zh-CN"/>
              </w:rPr>
            </w:pPr>
          </w:p>
        </w:tc>
        <w:tc>
          <w:tcPr>
            <w:tcW w:w="1581" w:type="dxa"/>
          </w:tcPr>
          <w:p w14:paraId="03C7C88D">
            <w:pPr>
              <w:spacing w:line="360" w:lineRule="auto"/>
              <w:jc w:val="center"/>
              <w:rPr>
                <w:rFonts w:hint="eastAsia" w:ascii="仿宋" w:hAnsi="仿宋" w:eastAsia="仿宋"/>
                <w:sz w:val="21"/>
                <w:szCs w:val="21"/>
                <w:vertAlign w:val="baseline"/>
                <w:lang w:val="en-US" w:eastAsia="zh-CN"/>
              </w:rPr>
            </w:pPr>
          </w:p>
        </w:tc>
      </w:tr>
      <w:tr w14:paraId="124B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00BF25D0">
            <w:pPr>
              <w:spacing w:line="360" w:lineRule="auto"/>
              <w:jc w:val="center"/>
              <w:rPr>
                <w:rFonts w:hint="eastAsia" w:ascii="仿宋" w:hAnsi="仿宋" w:eastAsia="仿宋"/>
                <w:sz w:val="21"/>
                <w:szCs w:val="21"/>
                <w:vertAlign w:val="baseline"/>
                <w:lang w:val="en-US" w:eastAsia="zh-CN"/>
              </w:rPr>
            </w:pPr>
          </w:p>
        </w:tc>
        <w:tc>
          <w:tcPr>
            <w:tcW w:w="2684" w:type="dxa"/>
          </w:tcPr>
          <w:p w14:paraId="1A307C8B">
            <w:pPr>
              <w:spacing w:line="360" w:lineRule="auto"/>
              <w:jc w:val="center"/>
              <w:rPr>
                <w:rFonts w:hint="eastAsia" w:ascii="仿宋" w:hAnsi="仿宋" w:eastAsia="仿宋"/>
                <w:sz w:val="21"/>
                <w:szCs w:val="21"/>
                <w:vertAlign w:val="baseline"/>
                <w:lang w:val="en-US" w:eastAsia="zh-CN"/>
              </w:rPr>
            </w:pPr>
          </w:p>
        </w:tc>
        <w:tc>
          <w:tcPr>
            <w:tcW w:w="1686" w:type="dxa"/>
          </w:tcPr>
          <w:p w14:paraId="735F0BFD">
            <w:pPr>
              <w:spacing w:line="360" w:lineRule="auto"/>
              <w:jc w:val="center"/>
              <w:rPr>
                <w:rFonts w:hint="eastAsia" w:ascii="仿宋" w:hAnsi="仿宋" w:eastAsia="仿宋"/>
                <w:sz w:val="21"/>
                <w:szCs w:val="21"/>
                <w:vertAlign w:val="baseline"/>
                <w:lang w:val="en-US" w:eastAsia="zh-CN"/>
              </w:rPr>
            </w:pPr>
          </w:p>
        </w:tc>
        <w:tc>
          <w:tcPr>
            <w:tcW w:w="1581" w:type="dxa"/>
          </w:tcPr>
          <w:p w14:paraId="6AAA3DF0">
            <w:pPr>
              <w:spacing w:line="360" w:lineRule="auto"/>
              <w:jc w:val="center"/>
              <w:rPr>
                <w:rFonts w:hint="eastAsia" w:ascii="仿宋" w:hAnsi="仿宋" w:eastAsia="仿宋"/>
                <w:sz w:val="21"/>
                <w:szCs w:val="21"/>
                <w:vertAlign w:val="baseline"/>
                <w:lang w:val="en-US" w:eastAsia="zh-CN"/>
              </w:rPr>
            </w:pPr>
          </w:p>
        </w:tc>
      </w:tr>
      <w:tr w14:paraId="5016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27BF3A2B">
            <w:pPr>
              <w:spacing w:line="360" w:lineRule="auto"/>
              <w:jc w:val="center"/>
              <w:rPr>
                <w:rFonts w:hint="eastAsia" w:ascii="仿宋" w:hAnsi="仿宋" w:eastAsia="仿宋"/>
                <w:sz w:val="21"/>
                <w:szCs w:val="21"/>
                <w:vertAlign w:val="baseline"/>
                <w:lang w:val="en-US" w:eastAsia="zh-CN"/>
              </w:rPr>
            </w:pPr>
          </w:p>
        </w:tc>
        <w:tc>
          <w:tcPr>
            <w:tcW w:w="2684" w:type="dxa"/>
          </w:tcPr>
          <w:p w14:paraId="4677096C">
            <w:pPr>
              <w:spacing w:line="360" w:lineRule="auto"/>
              <w:jc w:val="center"/>
              <w:rPr>
                <w:rFonts w:hint="eastAsia" w:ascii="仿宋" w:hAnsi="仿宋" w:eastAsia="仿宋"/>
                <w:sz w:val="21"/>
                <w:szCs w:val="21"/>
                <w:vertAlign w:val="baseline"/>
                <w:lang w:val="en-US" w:eastAsia="zh-CN"/>
              </w:rPr>
            </w:pPr>
          </w:p>
        </w:tc>
        <w:tc>
          <w:tcPr>
            <w:tcW w:w="1686" w:type="dxa"/>
          </w:tcPr>
          <w:p w14:paraId="7F0E7F44">
            <w:pPr>
              <w:spacing w:line="360" w:lineRule="auto"/>
              <w:jc w:val="center"/>
              <w:rPr>
                <w:rFonts w:hint="eastAsia" w:ascii="仿宋" w:hAnsi="仿宋" w:eastAsia="仿宋"/>
                <w:sz w:val="21"/>
                <w:szCs w:val="21"/>
                <w:vertAlign w:val="baseline"/>
                <w:lang w:val="en-US" w:eastAsia="zh-CN"/>
              </w:rPr>
            </w:pPr>
          </w:p>
        </w:tc>
        <w:tc>
          <w:tcPr>
            <w:tcW w:w="1581" w:type="dxa"/>
          </w:tcPr>
          <w:p w14:paraId="0084E7B4">
            <w:pPr>
              <w:spacing w:line="360" w:lineRule="auto"/>
              <w:jc w:val="center"/>
              <w:rPr>
                <w:rFonts w:hint="eastAsia" w:ascii="仿宋" w:hAnsi="仿宋" w:eastAsia="仿宋"/>
                <w:sz w:val="21"/>
                <w:szCs w:val="21"/>
                <w:vertAlign w:val="baseline"/>
                <w:lang w:val="en-US" w:eastAsia="zh-CN"/>
              </w:rPr>
            </w:pPr>
          </w:p>
        </w:tc>
      </w:tr>
      <w:tr w14:paraId="38D7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5D2626D8">
            <w:pPr>
              <w:spacing w:line="360" w:lineRule="auto"/>
              <w:jc w:val="center"/>
              <w:rPr>
                <w:rFonts w:hint="eastAsia" w:ascii="仿宋" w:hAnsi="仿宋" w:eastAsia="仿宋"/>
                <w:sz w:val="21"/>
                <w:szCs w:val="21"/>
                <w:vertAlign w:val="baseline"/>
                <w:lang w:val="en-US" w:eastAsia="zh-CN"/>
              </w:rPr>
            </w:pPr>
          </w:p>
        </w:tc>
        <w:tc>
          <w:tcPr>
            <w:tcW w:w="2684" w:type="dxa"/>
          </w:tcPr>
          <w:p w14:paraId="05F6E90E">
            <w:pPr>
              <w:spacing w:line="360" w:lineRule="auto"/>
              <w:jc w:val="center"/>
              <w:rPr>
                <w:rFonts w:hint="eastAsia" w:ascii="仿宋" w:hAnsi="仿宋" w:eastAsia="仿宋"/>
                <w:sz w:val="21"/>
                <w:szCs w:val="21"/>
                <w:vertAlign w:val="baseline"/>
                <w:lang w:val="en-US" w:eastAsia="zh-CN"/>
              </w:rPr>
            </w:pPr>
          </w:p>
        </w:tc>
        <w:tc>
          <w:tcPr>
            <w:tcW w:w="1686" w:type="dxa"/>
          </w:tcPr>
          <w:p w14:paraId="3CEDA4CE">
            <w:pPr>
              <w:spacing w:line="360" w:lineRule="auto"/>
              <w:jc w:val="center"/>
              <w:rPr>
                <w:rFonts w:hint="eastAsia" w:ascii="仿宋" w:hAnsi="仿宋" w:eastAsia="仿宋"/>
                <w:sz w:val="21"/>
                <w:szCs w:val="21"/>
                <w:vertAlign w:val="baseline"/>
                <w:lang w:val="en-US" w:eastAsia="zh-CN"/>
              </w:rPr>
            </w:pPr>
          </w:p>
        </w:tc>
        <w:tc>
          <w:tcPr>
            <w:tcW w:w="1581" w:type="dxa"/>
          </w:tcPr>
          <w:p w14:paraId="749F89F5">
            <w:pPr>
              <w:spacing w:line="360" w:lineRule="auto"/>
              <w:jc w:val="center"/>
              <w:rPr>
                <w:rFonts w:hint="eastAsia" w:ascii="仿宋" w:hAnsi="仿宋" w:eastAsia="仿宋"/>
                <w:sz w:val="21"/>
                <w:szCs w:val="21"/>
                <w:vertAlign w:val="baseline"/>
                <w:lang w:val="en-US" w:eastAsia="zh-CN"/>
              </w:rPr>
            </w:pPr>
          </w:p>
        </w:tc>
      </w:tr>
    </w:tbl>
    <w:p w14:paraId="783438A8">
      <w:pPr>
        <w:pStyle w:val="8"/>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60D54664">
      <w:pPr>
        <w:pStyle w:val="8"/>
        <w:rPr>
          <w:rFonts w:hint="eastAsia" w:ascii="仿宋" w:hAnsi="仿宋" w:eastAsia="仿宋"/>
          <w:sz w:val="21"/>
          <w:szCs w:val="21"/>
          <w:lang w:val="en-US" w:eastAsia="zh-CN"/>
        </w:rPr>
      </w:pPr>
    </w:p>
    <w:p w14:paraId="333068B7">
      <w:pPr>
        <w:pStyle w:val="8"/>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（三）请提供企业行业资质、资信、认证证书扫描件：</w:t>
      </w:r>
    </w:p>
    <w:p w14:paraId="22BF4C9B"/>
    <w:p w14:paraId="63449C0F"/>
    <w:p w14:paraId="53093C02"/>
    <w:p w14:paraId="212709B3"/>
    <w:p w14:paraId="61F0316B">
      <w:pPr>
        <w:pStyle w:val="8"/>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三、根据本项目规模，请提供贵司拟投入的服务团队规划：</w:t>
      </w:r>
    </w:p>
    <w:tbl>
      <w:tblPr>
        <w:tblStyle w:val="6"/>
        <w:tblW w:w="8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442"/>
        <w:gridCol w:w="1073"/>
        <w:gridCol w:w="1107"/>
        <w:gridCol w:w="1266"/>
        <w:gridCol w:w="1307"/>
        <w:gridCol w:w="1764"/>
      </w:tblGrid>
      <w:tr w14:paraId="7698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26" w:type="dxa"/>
            <w:vMerge w:val="restart"/>
            <w:vAlign w:val="center"/>
          </w:tcPr>
          <w:p w14:paraId="5173E195">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序号</w:t>
            </w:r>
          </w:p>
        </w:tc>
        <w:tc>
          <w:tcPr>
            <w:tcW w:w="1442" w:type="dxa"/>
            <w:vMerge w:val="restart"/>
            <w:vAlign w:val="center"/>
          </w:tcPr>
          <w:p w14:paraId="75CADB0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岗位</w:t>
            </w:r>
          </w:p>
        </w:tc>
        <w:tc>
          <w:tcPr>
            <w:tcW w:w="1073" w:type="dxa"/>
            <w:vMerge w:val="restart"/>
            <w:vAlign w:val="center"/>
          </w:tcPr>
          <w:p w14:paraId="6952E2E3">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人数（人）</w:t>
            </w:r>
          </w:p>
        </w:tc>
        <w:tc>
          <w:tcPr>
            <w:tcW w:w="5444" w:type="dxa"/>
            <w:gridSpan w:val="4"/>
            <w:vAlign w:val="center"/>
          </w:tcPr>
          <w:p w14:paraId="381EDE91">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人员须具备的条件</w:t>
            </w:r>
          </w:p>
        </w:tc>
      </w:tr>
      <w:tr w14:paraId="1DEEF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blHeader/>
        </w:trPr>
        <w:tc>
          <w:tcPr>
            <w:tcW w:w="726" w:type="dxa"/>
            <w:vMerge w:val="continue"/>
            <w:vAlign w:val="center"/>
          </w:tcPr>
          <w:p w14:paraId="01DABCF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1442" w:type="dxa"/>
            <w:vMerge w:val="continue"/>
            <w:vAlign w:val="center"/>
          </w:tcPr>
          <w:p w14:paraId="674928C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1073" w:type="dxa"/>
            <w:vMerge w:val="continue"/>
            <w:vAlign w:val="center"/>
          </w:tcPr>
          <w:p w14:paraId="463D812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1107" w:type="dxa"/>
            <w:vAlign w:val="center"/>
          </w:tcPr>
          <w:p w14:paraId="1B7F55F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学历</w:t>
            </w:r>
          </w:p>
        </w:tc>
        <w:tc>
          <w:tcPr>
            <w:tcW w:w="1266" w:type="dxa"/>
            <w:vAlign w:val="center"/>
          </w:tcPr>
          <w:p w14:paraId="601B7EF5">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专业</w:t>
            </w:r>
          </w:p>
        </w:tc>
        <w:tc>
          <w:tcPr>
            <w:tcW w:w="1307" w:type="dxa"/>
            <w:vAlign w:val="center"/>
          </w:tcPr>
          <w:p w14:paraId="7487C2A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电工证书</w:t>
            </w:r>
          </w:p>
        </w:tc>
        <w:tc>
          <w:tcPr>
            <w:tcW w:w="1764" w:type="dxa"/>
            <w:vAlign w:val="center"/>
          </w:tcPr>
          <w:p w14:paraId="4BB5E4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同类项目经验</w:t>
            </w:r>
          </w:p>
        </w:tc>
      </w:tr>
      <w:tr w14:paraId="19C8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78318844">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sz w:val="22"/>
                <w:szCs w:val="22"/>
                <w:u w:val="none"/>
                <w:vertAlign w:val="baseline"/>
                <w:lang w:val="en-US" w:eastAsia="zh-CN"/>
              </w:rPr>
            </w:pPr>
            <w:r>
              <w:rPr>
                <w:rFonts w:hint="eastAsia" w:ascii="仿宋" w:hAnsi="仿宋" w:eastAsia="仿宋" w:cs="仿宋"/>
                <w:color w:val="auto"/>
                <w:sz w:val="22"/>
                <w:szCs w:val="22"/>
                <w:lang w:val="en-US" w:eastAsia="zh-CN"/>
              </w:rPr>
              <w:t>1</w:t>
            </w:r>
          </w:p>
        </w:tc>
        <w:tc>
          <w:tcPr>
            <w:tcW w:w="1442" w:type="dxa"/>
            <w:vAlign w:val="center"/>
          </w:tcPr>
          <w:p w14:paraId="3E6F8E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项目负责人</w:t>
            </w:r>
          </w:p>
        </w:tc>
        <w:tc>
          <w:tcPr>
            <w:tcW w:w="1073" w:type="dxa"/>
            <w:vAlign w:val="center"/>
          </w:tcPr>
          <w:p w14:paraId="1EAD582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7CD7E09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266" w:type="dxa"/>
            <w:vAlign w:val="center"/>
          </w:tcPr>
          <w:p w14:paraId="7A6AB81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307" w:type="dxa"/>
            <w:vAlign w:val="center"/>
          </w:tcPr>
          <w:p w14:paraId="647A8B3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764" w:type="dxa"/>
            <w:vAlign w:val="center"/>
          </w:tcPr>
          <w:p w14:paraId="23BB512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（请注意：须提供以项目主管或项目经理身份负责管理过的医疗设备维保项目经验）</w:t>
            </w:r>
          </w:p>
        </w:tc>
      </w:tr>
      <w:tr w14:paraId="52B2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0490546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sz w:val="22"/>
                <w:szCs w:val="22"/>
                <w:u w:val="none"/>
                <w:vertAlign w:val="baseline"/>
                <w:lang w:val="en-US" w:eastAsia="zh-CN"/>
              </w:rPr>
            </w:pPr>
            <w:r>
              <w:rPr>
                <w:rFonts w:hint="eastAsia" w:ascii="仿宋" w:hAnsi="仿宋" w:eastAsia="仿宋" w:cs="仿宋"/>
                <w:color w:val="auto"/>
                <w:sz w:val="22"/>
                <w:szCs w:val="22"/>
                <w:lang w:val="en-US" w:eastAsia="zh-CN"/>
              </w:rPr>
              <w:t>2</w:t>
            </w:r>
          </w:p>
        </w:tc>
        <w:tc>
          <w:tcPr>
            <w:tcW w:w="1442" w:type="dxa"/>
            <w:vAlign w:val="center"/>
          </w:tcPr>
          <w:p w14:paraId="39B38D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技术工程师</w:t>
            </w:r>
          </w:p>
        </w:tc>
        <w:tc>
          <w:tcPr>
            <w:tcW w:w="1073" w:type="dxa"/>
            <w:vAlign w:val="center"/>
          </w:tcPr>
          <w:p w14:paraId="25604AA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4BD67CE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266" w:type="dxa"/>
            <w:vAlign w:val="center"/>
          </w:tcPr>
          <w:p w14:paraId="2E972AFB">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307" w:type="dxa"/>
            <w:vAlign w:val="center"/>
          </w:tcPr>
          <w:p w14:paraId="4AAC9DB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764" w:type="dxa"/>
            <w:vAlign w:val="center"/>
          </w:tcPr>
          <w:p w14:paraId="52730EE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（请提供拟投入该岗位人员所能达到的最低同类工作经验年限）</w:t>
            </w:r>
          </w:p>
        </w:tc>
      </w:tr>
      <w:tr w14:paraId="729E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597EE3E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3</w:t>
            </w:r>
          </w:p>
        </w:tc>
        <w:tc>
          <w:tcPr>
            <w:tcW w:w="1442" w:type="dxa"/>
            <w:vAlign w:val="center"/>
          </w:tcPr>
          <w:p w14:paraId="08A8DB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技术工程师</w:t>
            </w:r>
          </w:p>
        </w:tc>
        <w:tc>
          <w:tcPr>
            <w:tcW w:w="1073" w:type="dxa"/>
            <w:vAlign w:val="center"/>
          </w:tcPr>
          <w:p w14:paraId="204E04A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749E46B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266" w:type="dxa"/>
            <w:vAlign w:val="center"/>
          </w:tcPr>
          <w:p w14:paraId="35B9B68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307" w:type="dxa"/>
            <w:vAlign w:val="center"/>
          </w:tcPr>
          <w:p w14:paraId="50846B0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764" w:type="dxa"/>
            <w:shd w:val="clear" w:color="auto" w:fill="auto"/>
            <w:vAlign w:val="center"/>
          </w:tcPr>
          <w:p w14:paraId="08B8661D">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bl>
    <w:p w14:paraId="40893DB0">
      <w:pPr>
        <w:pStyle w:val="8"/>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4DE7666E">
      <w:pPr>
        <w:pStyle w:val="8"/>
        <w:rPr>
          <w:rFonts w:hint="eastAsia" w:ascii="仿宋" w:hAnsi="仿宋" w:eastAsia="仿宋"/>
          <w:sz w:val="21"/>
          <w:szCs w:val="21"/>
          <w:lang w:val="en-US" w:eastAsia="zh-CN"/>
        </w:rPr>
      </w:pPr>
    </w:p>
    <w:p w14:paraId="752CFBB8">
      <w:pPr>
        <w:pStyle w:val="8"/>
        <w:rPr>
          <w:rFonts w:hint="default" w:ascii="仿宋" w:hAnsi="仿宋" w:eastAsia="仿宋"/>
          <w:sz w:val="21"/>
          <w:szCs w:val="21"/>
          <w:lang w:val="en-US" w:eastAsia="zh-CN"/>
        </w:rPr>
      </w:pPr>
    </w:p>
    <w:p w14:paraId="260217D7">
      <w:pPr>
        <w:pStyle w:val="8"/>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四、公司同类项目业绩情况</w:t>
      </w:r>
    </w:p>
    <w:p w14:paraId="52190C60">
      <w:pPr>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（一）请提供贵司自2023年1月至今所完成的运维服务项目：</w:t>
      </w:r>
    </w:p>
    <w:tbl>
      <w:tblPr>
        <w:tblStyle w:val="6"/>
        <w:tblW w:w="8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1792"/>
        <w:gridCol w:w="2453"/>
        <w:gridCol w:w="1658"/>
        <w:gridCol w:w="1101"/>
      </w:tblGrid>
      <w:tr w14:paraId="2D68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1F484B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项目名称</w:t>
            </w:r>
          </w:p>
        </w:tc>
        <w:tc>
          <w:tcPr>
            <w:tcW w:w="1792" w:type="dxa"/>
            <w:vAlign w:val="center"/>
          </w:tcPr>
          <w:p w14:paraId="5B219E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业主单位名称</w:t>
            </w:r>
          </w:p>
        </w:tc>
        <w:tc>
          <w:tcPr>
            <w:tcW w:w="2453" w:type="dxa"/>
            <w:vAlign w:val="center"/>
          </w:tcPr>
          <w:p w14:paraId="53DEDC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服务内容</w:t>
            </w:r>
          </w:p>
        </w:tc>
        <w:tc>
          <w:tcPr>
            <w:tcW w:w="1658" w:type="dxa"/>
            <w:vAlign w:val="center"/>
          </w:tcPr>
          <w:p w14:paraId="6E7497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合同签订时间（或中标时间）</w:t>
            </w:r>
          </w:p>
        </w:tc>
        <w:tc>
          <w:tcPr>
            <w:tcW w:w="1101" w:type="dxa"/>
            <w:vAlign w:val="center"/>
          </w:tcPr>
          <w:p w14:paraId="1C0AF1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用户满意度评价</w:t>
            </w:r>
          </w:p>
        </w:tc>
      </w:tr>
      <w:tr w14:paraId="5245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37" w:type="dxa"/>
            <w:vAlign w:val="center"/>
          </w:tcPr>
          <w:p w14:paraId="1026CE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3DBAFC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1F3DFB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24EC82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176408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3F67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4CF9E3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234AC0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38729C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0F3C5B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7BDDE7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2D2D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558725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701BDC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533C0E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69B241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0E0DC0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6F9E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7A7848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6FD12C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74CB7A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37C50F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73F07F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bl>
    <w:p w14:paraId="760F2EE9">
      <w:pPr>
        <w:pStyle w:val="8"/>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7B5139A4">
      <w:pPr>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（二）请提供以上业绩合同复印件或中标通知书扫描件：</w:t>
      </w:r>
    </w:p>
    <w:p w14:paraId="6846A2D8">
      <w:pPr>
        <w:rPr>
          <w:rFonts w:hint="eastAsia" w:ascii="方正楷体_GB2312" w:hAnsi="方正楷体_GB2312" w:eastAsia="方正楷体_GB2312" w:cs="方正楷体_GB2312"/>
          <w:sz w:val="28"/>
          <w:szCs w:val="28"/>
          <w:lang w:val="en-US" w:eastAsia="zh-CN"/>
        </w:rPr>
      </w:pPr>
    </w:p>
    <w:p w14:paraId="6C08855D">
      <w:pPr>
        <w:jc w:val="left"/>
        <w:rPr>
          <w:rFonts w:hint="eastAsia" w:ascii="宋体" w:hAnsi="宋体" w:cs="宋体"/>
          <w:b/>
          <w:bCs/>
          <w:color w:val="3F3F3F"/>
          <w:kern w:val="0"/>
          <w:szCs w:val="21"/>
        </w:rPr>
      </w:pPr>
    </w:p>
    <w:p w14:paraId="64949296">
      <w:pPr>
        <w:pStyle w:val="8"/>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五、请根据实际情况填写贵公司对本项目论证参数的响应情况</w:t>
      </w:r>
    </w:p>
    <w:p w14:paraId="778FD414">
      <w:pPr>
        <w:ind w:left="0" w:leftChars="0" w:firstLine="0" w:firstLineChars="0"/>
        <w:jc w:val="center"/>
        <w:rPr>
          <w:rFonts w:hint="eastAsia" w:ascii="仿宋" w:hAnsi="仿宋" w:eastAsia="仿宋" w:cs="仿宋"/>
          <w:b/>
          <w:bCs/>
          <w:color w:val="3F3F3F"/>
          <w:kern w:val="0"/>
          <w:szCs w:val="21"/>
        </w:rPr>
      </w:pPr>
      <w:r>
        <w:rPr>
          <w:rFonts w:hint="eastAsia" w:ascii="仿宋" w:hAnsi="仿宋" w:eastAsia="仿宋" w:cs="仿宋"/>
          <w:b/>
          <w:bCs/>
          <w:color w:val="3F3F3F"/>
          <w:kern w:val="0"/>
          <w:sz w:val="36"/>
          <w:szCs w:val="36"/>
          <w:lang w:val="en-US" w:eastAsia="zh-CN"/>
        </w:rPr>
        <w:t>论证</w:t>
      </w:r>
      <w:r>
        <w:rPr>
          <w:rFonts w:hint="eastAsia" w:ascii="仿宋" w:hAnsi="仿宋" w:eastAsia="仿宋" w:cs="仿宋"/>
          <w:b/>
          <w:bCs/>
          <w:color w:val="3F3F3F"/>
          <w:kern w:val="0"/>
          <w:sz w:val="36"/>
          <w:szCs w:val="36"/>
        </w:rPr>
        <w:t>参数列表</w:t>
      </w:r>
    </w:p>
    <w:tbl>
      <w:tblPr>
        <w:tblStyle w:val="5"/>
        <w:tblW w:w="8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0"/>
        <w:gridCol w:w="5406"/>
        <w:gridCol w:w="1699"/>
      </w:tblGrid>
      <w:tr w14:paraId="08C3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blHeader/>
          <w:jc w:val="center"/>
        </w:trPr>
        <w:tc>
          <w:tcPr>
            <w:tcW w:w="1290" w:type="dxa"/>
            <w:tcBorders>
              <w:top w:val="single" w:color="auto" w:sz="4" w:space="0"/>
              <w:left w:val="single" w:color="auto" w:sz="4" w:space="0"/>
              <w:right w:val="single" w:color="auto" w:sz="4" w:space="0"/>
            </w:tcBorders>
            <w:vAlign w:val="center"/>
          </w:tcPr>
          <w:p w14:paraId="6B5B6EFA">
            <w:pPr>
              <w:widowControl/>
              <w:jc w:val="center"/>
              <w:rPr>
                <w:rFonts w:hint="eastAsia" w:ascii="仿宋" w:hAnsi="仿宋" w:eastAsia="仿宋" w:cs="仿宋"/>
                <w:kern w:val="0"/>
                <w:sz w:val="24"/>
                <w:szCs w:val="24"/>
                <w:lang w:eastAsia="zh-CN"/>
              </w:rPr>
            </w:pPr>
            <w:r>
              <w:rPr>
                <w:rFonts w:hint="eastAsia" w:ascii="仿宋" w:hAnsi="仿宋" w:eastAsia="仿宋" w:cs="仿宋"/>
                <w:b/>
                <w:bCs/>
                <w:color w:val="3F3F3F"/>
                <w:kern w:val="0"/>
                <w:sz w:val="22"/>
              </w:rPr>
              <w:t>序号</w:t>
            </w:r>
          </w:p>
        </w:tc>
        <w:tc>
          <w:tcPr>
            <w:tcW w:w="5406" w:type="dxa"/>
            <w:tcBorders>
              <w:top w:val="single" w:color="auto" w:sz="4" w:space="0"/>
              <w:left w:val="single" w:color="auto" w:sz="4" w:space="0"/>
              <w:bottom w:val="single" w:color="auto" w:sz="4" w:space="0"/>
              <w:right w:val="single" w:color="auto" w:sz="4" w:space="0"/>
            </w:tcBorders>
            <w:vAlign w:val="center"/>
          </w:tcPr>
          <w:p w14:paraId="6767B1B9">
            <w:pPr>
              <w:widowControl/>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3F3F3F"/>
                <w:kern w:val="0"/>
                <w:sz w:val="22"/>
              </w:rPr>
              <w:t>需求</w:t>
            </w:r>
          </w:p>
        </w:tc>
        <w:tc>
          <w:tcPr>
            <w:tcW w:w="1699" w:type="dxa"/>
            <w:tcBorders>
              <w:top w:val="single" w:color="auto" w:sz="4" w:space="0"/>
              <w:left w:val="single" w:color="auto" w:sz="4" w:space="0"/>
              <w:bottom w:val="single" w:color="auto" w:sz="4" w:space="0"/>
              <w:right w:val="single" w:color="auto" w:sz="4" w:space="0"/>
            </w:tcBorders>
            <w:vAlign w:val="center"/>
          </w:tcPr>
          <w:p w14:paraId="61AA8C74">
            <w:pPr>
              <w:widowControl/>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3F3F3F"/>
                <w:kern w:val="0"/>
                <w:sz w:val="22"/>
                <w:lang w:eastAsia="zh-CN"/>
              </w:rPr>
              <w:t>是否</w:t>
            </w:r>
            <w:r>
              <w:rPr>
                <w:rFonts w:hint="eastAsia" w:ascii="仿宋" w:hAnsi="仿宋" w:eastAsia="仿宋" w:cs="仿宋"/>
                <w:b/>
                <w:bCs/>
                <w:color w:val="3F3F3F"/>
                <w:kern w:val="0"/>
                <w:sz w:val="22"/>
                <w:lang w:val="en-US" w:eastAsia="zh-CN"/>
              </w:rPr>
              <w:t>能完全响应</w:t>
            </w:r>
            <w:r>
              <w:rPr>
                <w:rFonts w:hint="eastAsia" w:ascii="仿宋" w:hAnsi="仿宋" w:eastAsia="仿宋" w:cs="仿宋"/>
                <w:b/>
                <w:bCs/>
                <w:color w:val="3F3F3F"/>
                <w:kern w:val="0"/>
                <w:sz w:val="22"/>
                <w:lang w:eastAsia="zh-CN"/>
              </w:rPr>
              <w:t>（若</w:t>
            </w:r>
            <w:r>
              <w:rPr>
                <w:rFonts w:hint="eastAsia" w:ascii="仿宋" w:hAnsi="仿宋" w:eastAsia="仿宋" w:cs="仿宋"/>
                <w:b/>
                <w:bCs/>
                <w:color w:val="3F3F3F"/>
                <w:kern w:val="0"/>
                <w:sz w:val="22"/>
                <w:lang w:val="en-US" w:eastAsia="zh-CN"/>
              </w:rPr>
              <w:t>有修改意见</w:t>
            </w:r>
            <w:r>
              <w:rPr>
                <w:rFonts w:hint="eastAsia" w:ascii="仿宋" w:hAnsi="仿宋" w:eastAsia="仿宋" w:cs="仿宋"/>
                <w:b/>
                <w:bCs/>
                <w:color w:val="3F3F3F"/>
                <w:kern w:val="0"/>
                <w:sz w:val="22"/>
                <w:lang w:eastAsia="zh-CN"/>
              </w:rPr>
              <w:t>，请在</w:t>
            </w:r>
            <w:r>
              <w:rPr>
                <w:rFonts w:hint="eastAsia" w:ascii="仿宋" w:hAnsi="仿宋" w:eastAsia="仿宋" w:cs="仿宋"/>
                <w:b/>
                <w:bCs/>
                <w:color w:val="3F3F3F"/>
                <w:kern w:val="0"/>
                <w:sz w:val="22"/>
                <w:lang w:val="en-US" w:eastAsia="zh-CN"/>
              </w:rPr>
              <w:t>此列</w:t>
            </w:r>
            <w:r>
              <w:rPr>
                <w:rFonts w:hint="eastAsia" w:ascii="仿宋" w:hAnsi="仿宋" w:eastAsia="仿宋" w:cs="仿宋"/>
                <w:b/>
                <w:bCs/>
                <w:color w:val="3F3F3F"/>
                <w:kern w:val="0"/>
                <w:sz w:val="22"/>
                <w:lang w:eastAsia="zh-CN"/>
              </w:rPr>
              <w:t>填写）</w:t>
            </w:r>
          </w:p>
        </w:tc>
      </w:tr>
      <w:tr w14:paraId="5587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3" w:hRule="atLeast"/>
          <w:jc w:val="center"/>
        </w:trPr>
        <w:tc>
          <w:tcPr>
            <w:tcW w:w="1290" w:type="dxa"/>
            <w:tcBorders>
              <w:top w:val="single" w:color="auto" w:sz="4" w:space="0"/>
              <w:left w:val="single" w:color="auto" w:sz="4" w:space="0"/>
              <w:bottom w:val="single" w:color="auto" w:sz="4" w:space="0"/>
              <w:right w:val="single" w:color="auto" w:sz="4" w:space="0"/>
            </w:tcBorders>
            <w:shd w:val="clear" w:color="auto" w:fill="auto"/>
            <w:vAlign w:val="center"/>
          </w:tcPr>
          <w:p w14:paraId="64409DEF">
            <w:pPr>
              <w:spacing w:after="78"/>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14:textFill>
                  <w14:solidFill>
                    <w14:schemeClr w14:val="tx1"/>
                  </w14:solidFill>
                </w14:textFill>
              </w:rPr>
              <w:t>服务内容</w:t>
            </w: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A3418C">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1、龙华</w:t>
            </w:r>
            <w:r>
              <w:rPr>
                <w:rFonts w:hint="eastAsia" w:ascii="仿宋" w:hAnsi="仿宋" w:eastAsia="仿宋" w:cs="仿宋"/>
                <w:color w:val="000000" w:themeColor="text1"/>
                <w:kern w:val="0"/>
                <w:sz w:val="22"/>
                <w:szCs w:val="22"/>
                <w:lang w:val="en-US" w:eastAsia="zh-CN"/>
                <w14:textFill>
                  <w14:solidFill>
                    <w14:schemeClr w14:val="tx1"/>
                  </w14:solidFill>
                </w14:textFill>
              </w:rPr>
              <w:t>院区</w:t>
            </w:r>
            <w:r>
              <w:rPr>
                <w:rFonts w:hint="eastAsia" w:ascii="仿宋" w:hAnsi="仿宋" w:eastAsia="仿宋" w:cs="仿宋"/>
                <w:color w:val="000000" w:themeColor="text1"/>
                <w:kern w:val="0"/>
                <w:sz w:val="22"/>
                <w:szCs w:val="22"/>
                <w:lang w:val="en-US" w:eastAsia="zh-CN" w:bidi="ar-SA"/>
                <w14:textFill>
                  <w14:solidFill>
                    <w14:schemeClr w14:val="tx1"/>
                  </w14:solidFill>
                </w14:textFill>
              </w:rPr>
              <w:t>箱式物流系统维保服务。</w:t>
            </w:r>
          </w:p>
          <w:p w14:paraId="056EE03E">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设备组成:系统由周转箱、垂直输送系统，水平输送系统，条码识读管理系统(可采用条码或RFID识别方式)、收发工作站等设备构成。系统配置十六套垂直输送系统，连接住院楼与门诊医技楼的各个科室。水平输送设备安装位置。为地下一层吊装，五层吊装，设备层落地安装，吊装水平输送设备采用并行布置。水平贯通输送线主要由直线辊筒输送机、转弯辊筒输送机、合路和分路机构、皮带输送机等组成。垂直输送系统主要为垂直升降机，内部运载平台上配置水平传送线体与外部线体衔接，根据外部水平线体形式，内部传送线体可以分上下两层布置;根据物资配送量及效率要求，垂直升降机内部线体分为双层双盒位形式。</w:t>
            </w:r>
          </w:p>
          <w:p w14:paraId="189D3DCC">
            <w:pPr>
              <w:pStyle w:val="3"/>
              <w:numPr>
                <w:ilvl w:val="0"/>
                <w:numId w:val="0"/>
              </w:numPr>
              <w:spacing w:line="240" w:lineRule="auto"/>
              <w:ind w:leftChars="0"/>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3、服务内容：</w:t>
            </w:r>
          </w:p>
          <w:p w14:paraId="7300B173">
            <w:pPr>
              <w:pStyle w:val="3"/>
              <w:numPr>
                <w:ilvl w:val="0"/>
                <w:numId w:val="0"/>
              </w:numPr>
              <w:spacing w:line="240" w:lineRule="auto"/>
              <w:ind w:leftChars="0"/>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3.1信息技术及 PLC控制技术服务内容：</w:t>
            </w:r>
          </w:p>
          <w:p w14:paraId="76EF6CEC">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3.1.1.信息系统。</w:t>
            </w:r>
          </w:p>
          <w:p w14:paraId="7783DD6C">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3.1.2物流监控系统。</w:t>
            </w:r>
          </w:p>
          <w:p w14:paraId="354CF715">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3.1.3信息系统数据库维护。</w:t>
            </w:r>
          </w:p>
          <w:p w14:paraId="54718A32">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3.1.4服务器备机配置和维护。</w:t>
            </w:r>
          </w:p>
          <w:p w14:paraId="12844368">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3.1.5保障与相关业务信息系统及相关设备接口正常对接。</w:t>
            </w:r>
          </w:p>
          <w:p w14:paraId="1BFA0C06">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3.1.6备份信息系统和监控系统。</w:t>
            </w:r>
          </w:p>
          <w:p w14:paraId="0C9787F7">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3.1.7清理和备份相关数据库数据。</w:t>
            </w:r>
          </w:p>
          <w:p w14:paraId="6DFC5C1C">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3.1.8做好现场技术培训和交流服务。</w:t>
            </w:r>
          </w:p>
          <w:p w14:paraId="3DD5852E">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3.1.9根据用户环境变化需求，提供重新部署数据及数据库迁移等的相关服务。</w:t>
            </w:r>
          </w:p>
          <w:p w14:paraId="4771AE56">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3.1.10向用户提供其他相关新技术和新业务咨询服务。</w:t>
            </w:r>
          </w:p>
          <w:p w14:paraId="380E766B">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3.1.11根据用户业务需求提供系统补丁、扩容和软件升级服务支持。</w:t>
            </w:r>
          </w:p>
          <w:p w14:paraId="68140667">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3.2水平贯通输送线机械设备维护保养服务内容：</w:t>
            </w:r>
          </w:p>
          <w:p w14:paraId="52BC6353">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3.2.1皮带输送机维护保养事项：</w:t>
            </w:r>
          </w:p>
          <w:p w14:paraId="263A9EFB">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3.2.1.1皮带输送机的各个滚筒检测并预测使用寿命及出现磨损进行更换。</w:t>
            </w:r>
          </w:p>
          <w:p w14:paraId="54BF5D74">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3.2.1.2皮带输送机各个电机进行维护保养如出现电机无法正常使用，则需更换。</w:t>
            </w:r>
          </w:p>
          <w:p w14:paraId="7AF29A8B">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3.2.1.3对皮带张紧力度、允差进行检测、调整。</w:t>
            </w:r>
          </w:p>
          <w:p w14:paraId="452A1334">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3.2.1.4各执行器件(变频器、接触器、继电器、检测开关、反射开关,对射开关、接近开关等)出现损坏或不能正常工作应给予更换。</w:t>
            </w:r>
          </w:p>
          <w:p w14:paraId="7689F753">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3.2.1.5检查PLC模块信号控制运行状况，同时需要提出当前情况及以后注意事项，并预估其使用寿命。</w:t>
            </w:r>
          </w:p>
          <w:p w14:paraId="4B213D9A">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3.2.1.6对所有传动机构进行清洁、润滑，对磨损件进行更换、对紧固件进行重新紧固。</w:t>
            </w:r>
          </w:p>
          <w:p w14:paraId="727E4604">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3.2.2直线辊筒输送机维护保养事项:</w:t>
            </w:r>
          </w:p>
          <w:p w14:paraId="5F41E037">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3.2.2.1直线辊筒输送机的传输带检查及出现破损的更换。</w:t>
            </w:r>
          </w:p>
          <w:p w14:paraId="4274EAF5">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3.2.2.2直线辊筒输送机各个滚筒检测并预测使用寿命及出现磨损进行更换。</w:t>
            </w:r>
          </w:p>
          <w:p w14:paraId="7A1EAD30">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3.2.2.3直线辊筒输送机各个电机进行维护保养如出现电机无法正常使用，则需更换。</w:t>
            </w:r>
          </w:p>
          <w:p w14:paraId="22D97087">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3.2.2.4对所有传动机构进行清洁、润滑，对磨损件进行更换、对紧固件进行重新紧固。</w:t>
            </w:r>
          </w:p>
          <w:p w14:paraId="44873DB4">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3.2.2.4对所有电动驱动滚筒的运行情况进行检测。</w:t>
            </w:r>
          </w:p>
          <w:p w14:paraId="1EB91DB0">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3.2.3转弯辊筒输送机维护保养事项：</w:t>
            </w:r>
          </w:p>
          <w:p w14:paraId="159D77C1">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3.2.3.1转弯辊筒输送机皮带检查及出现破损的更换。</w:t>
            </w:r>
          </w:p>
          <w:p w14:paraId="014E8F36">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3.2.3.2转弯辊筒输送机各个滚筒检测并预测使用寿命及出现磨损进行更换。</w:t>
            </w:r>
          </w:p>
          <w:p w14:paraId="17A6FFA5">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3.2.3.3各个电机进行维护保养如出现电机无法正常使用，则需更换。</w:t>
            </w:r>
          </w:p>
          <w:p w14:paraId="05CFEAD1">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3.2.3.4对所有传动机构进行清洁、润滑，对磨损件进行更换、对紧固件进行重新紧固。</w:t>
            </w:r>
          </w:p>
          <w:p w14:paraId="5930FCE2">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3.2.3.5转弯辊筒输送机带检查及更换;转弯辊筒输送机各部位检测开关位置的调整及更换。</w:t>
            </w:r>
          </w:p>
          <w:p w14:paraId="08CF0205">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3.2.4合路分路机构维护保养事项:</w:t>
            </w:r>
          </w:p>
          <w:p w14:paraId="65091724">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3.2.4.1合路分路机构的传输带检查及出现破损的更换。</w:t>
            </w:r>
          </w:p>
          <w:p w14:paraId="359A0B0B">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3.2.4.2合路分路机构各个滚筒检测并预测使用寿命及出现磨损进行更换。</w:t>
            </w:r>
          </w:p>
          <w:p w14:paraId="646B040D">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3.2.4.3合路分路机构各个电机进行维护保养如出现电机无法正常使用，则</w:t>
            </w:r>
            <w:bookmarkStart w:id="0" w:name="_GoBack"/>
            <w:bookmarkEnd w:id="0"/>
            <w:r>
              <w:rPr>
                <w:rFonts w:hint="eastAsia" w:ascii="仿宋" w:hAnsi="仿宋" w:eastAsia="仿宋" w:cs="仿宋"/>
                <w:color w:val="000000" w:themeColor="text1"/>
                <w:kern w:val="0"/>
                <w:sz w:val="22"/>
                <w:szCs w:val="22"/>
                <w:lang w:val="en-US" w:eastAsia="zh-CN" w:bidi="ar-SA"/>
                <w14:textFill>
                  <w14:solidFill>
                    <w14:schemeClr w14:val="tx1"/>
                  </w14:solidFill>
                </w14:textFill>
              </w:rPr>
              <w:t>需更换。</w:t>
            </w:r>
          </w:p>
          <w:p w14:paraId="24038220">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3.2.4.4对所有传动机构进行清洁、润滑，对磨损件进行更换、对紧固件进行重新紧固，输送机带检查及更换。</w:t>
            </w:r>
          </w:p>
          <w:p w14:paraId="08C5676E">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3.2.5 垂直输送分拣设备维护保养内容：</w:t>
            </w:r>
          </w:p>
          <w:p w14:paraId="70ABF9F9">
            <w:pPr>
              <w:pStyle w:val="3"/>
              <w:numPr>
                <w:ilvl w:val="0"/>
                <w:numId w:val="0"/>
              </w:numPr>
              <w:spacing w:line="240" w:lineRule="auto"/>
              <w:ind w:leftChars="0"/>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3.2.5.1外观检查</w:t>
            </w:r>
          </w:p>
          <w:p w14:paraId="453EB135">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（1）检查垂直输送分拣设备的行走通路内是否有障碍物。</w:t>
            </w:r>
          </w:p>
          <w:p w14:paraId="6AFB74B7">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（2）检查放置在提升托盘内的货物是否伸出提升托盘。</w:t>
            </w:r>
          </w:p>
          <w:p w14:paraId="59DCE129">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（3）检查垂直输送分拣设备框架、载货台、上下轨道、电源开关是否正常。</w:t>
            </w:r>
          </w:p>
          <w:p w14:paraId="4E1803E7">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（4）检查垂直输送分拣设备、输送系统各个指示灯或传感器状态是否正常。</w:t>
            </w:r>
          </w:p>
          <w:p w14:paraId="5F001C60">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（5）检查UPS电源及蓄电池是否正常。</w:t>
            </w:r>
          </w:p>
          <w:p w14:paraId="618BD66C">
            <w:pPr>
              <w:pStyle w:val="3"/>
              <w:numPr>
                <w:ilvl w:val="0"/>
                <w:numId w:val="0"/>
              </w:numPr>
              <w:spacing w:line="240" w:lineRule="auto"/>
              <w:ind w:leftChars="0"/>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3.2.5.2动作检查</w:t>
            </w:r>
          </w:p>
          <w:p w14:paraId="7083A7C6">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（1）通过手动操作，对垂直输送分拣设备进行“行走”、“提升”、等进行启动、停止操作，检查声音是否异常、动作是否顺畅。</w:t>
            </w:r>
          </w:p>
          <w:p w14:paraId="0172E7CB">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（2）检查垂直输送分拣设备的各种操作开关、按钮是否能正常动作。按下紧急停止按钮，检查垂直输送分拣设备是否停止动作。</w:t>
            </w:r>
          </w:p>
          <w:p w14:paraId="29B397F8">
            <w:pPr>
              <w:pStyle w:val="3"/>
              <w:numPr>
                <w:ilvl w:val="0"/>
                <w:numId w:val="0"/>
              </w:numPr>
              <w:spacing w:line="240" w:lineRule="auto"/>
              <w:ind w:leftChars="0"/>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3.2.5.3检修内容：垂直输送分拣设备、输送系统的机械检修，包括垂直输送分拣设备的水平运行部位、垂直输送分拣设备的垂直运行部位等内容。具体检查内容包括：</w:t>
            </w:r>
          </w:p>
          <w:p w14:paraId="2ACADEA8">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（1）声音异常:进行手动操作，检查电机、减速器及轴承和齿轮等是否发出异常声音。</w:t>
            </w:r>
          </w:p>
          <w:p w14:paraId="1B8C6E84">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（2）电机表面温度:进行连续30分钟以上的运行，停止后立即测量其表面的温度。电机表面的温度应在周围温度+30°C以下。</w:t>
            </w:r>
          </w:p>
          <w:p w14:paraId="11E9A31B">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（3）制动器的状况:卸下电机的外套，检查制动器衬里的厚度和间隙。</w:t>
            </w:r>
          </w:p>
          <w:p w14:paraId="6508CA44">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（4）垂直输送分拣设备底部滚子的状态:检查是否有不正常的磨损及磨损是否在限定值以内。</w:t>
            </w:r>
          </w:p>
          <w:p w14:paraId="7B85C425">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（5）润滑油的泄漏和油量:检查是否由减速器造成油脂的泄漏，另外，通过油量计检查油量是否在规定值之内。</w:t>
            </w:r>
          </w:p>
          <w:p w14:paraId="2B7D9065">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（6）齿轮的状态:检查是否有严重的及不正常的磨损，另外检查由于轴的变形等是否产生松动。</w:t>
            </w:r>
          </w:p>
          <w:p w14:paraId="3245F481">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（7）运行编码器的状态:检查是否有破损及联轴器是否完好地被固定。</w:t>
            </w:r>
          </w:p>
          <w:p w14:paraId="4E35FB25">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（8）螺栓的状态:检查安装的螺栓等是否有松动、脱落等的现象。</w:t>
            </w:r>
          </w:p>
          <w:p w14:paraId="2D659066">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（9）链条的状态:检查表面是否干燥及摩擦和损伤程度。</w:t>
            </w:r>
          </w:p>
          <w:p w14:paraId="67015F1F">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（10）链条的伸展:测量链条的伸展，是否在规定值之内。</w:t>
            </w:r>
          </w:p>
          <w:p w14:paraId="65807E28">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（11）链条的张力:检查张力调整弹簧是否正常。</w:t>
            </w:r>
          </w:p>
          <w:p w14:paraId="7FCB5F05">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（12）导向轮的状态:检查是否有变形摩擦及摩擦是否在限定值之内。</w:t>
            </w:r>
          </w:p>
          <w:p w14:paraId="2EE57FB1">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（13）靠轮和框架的间隙:检查向上、向下运行及货叉伸收的活动范围是否有障碍。</w:t>
            </w:r>
          </w:p>
          <w:p w14:paraId="025C64C2">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（14）货台框架的倾斜:确认货台框架的前后倾斜是否在规定值之内。</w:t>
            </w:r>
          </w:p>
          <w:p w14:paraId="434645E5">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（15）易损件更换:更换损坏或到达使用年限的易损件，如垂直输送分拣设备导轮和滑轮等。</w:t>
            </w:r>
          </w:p>
          <w:p w14:paraId="6AEFCE35">
            <w:pPr>
              <w:pStyle w:val="3"/>
              <w:numPr>
                <w:ilvl w:val="0"/>
                <w:numId w:val="0"/>
              </w:numPr>
              <w:spacing w:line="240" w:lineRule="auto"/>
              <w:ind w:leftChars="0"/>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3.2.5.4垂直输送分拣设备、输送系统的电气检修。包括垂直输送分拣设备、输送机的控制系统、传感器、供电系统等内容。具体检查内容包括:</w:t>
            </w:r>
          </w:p>
          <w:p w14:paraId="590432F0">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（1）指示灯:检查指示灯的显示是否正常、外观是否有破损、污渍。</w:t>
            </w:r>
          </w:p>
          <w:p w14:paraId="58F9B070">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（2）操作开关:检查开关是否能正常动作及是否有破损现象。对于带有电缆的操作开关，检查电缆外部是否有伤痕、断线、缠绕等现象及其插接件的连结是否正常。</w:t>
            </w:r>
          </w:p>
          <w:p w14:paraId="77034626">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（3）操作面板:检查外观是否有污渍及破损。检查面板的操作开关是否能正常动作。</w:t>
            </w:r>
          </w:p>
          <w:p w14:paraId="5BF46095">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（4）各传感器状态:用感应片遮住传感器，检查接收指示灯的显示状况，并检查是否有破损。</w:t>
            </w:r>
          </w:p>
          <w:p w14:paraId="6D47D608">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（5）限位开关的状态:按动开关触头，检查是否有动作的声音及是否有破损的现象。</w:t>
            </w:r>
          </w:p>
          <w:p w14:paraId="6A1159B6">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（6）额定电压的电源:检查电压，必要时调整微调整量到额定电压。</w:t>
            </w:r>
          </w:p>
          <w:p w14:paraId="1B4D761C">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（7）开关器件、接触器件、继电器:检查动作是否正常，及是否有破损。检查热敏继电器的设定值是否合适。在电源切断的状态下，，检查连接点是否有氧化变色及破损。</w:t>
            </w:r>
          </w:p>
          <w:p w14:paraId="30F49FCA">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（8）电器器件的常规检查:检查是否有异常振动及轰鸣等声音的产生。</w:t>
            </w:r>
          </w:p>
          <w:p w14:paraId="5C8D13CD">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（9）配线的常规项目:检查配线是否有外伤及断线。检查端子及插接件是否松动及有脱落现象。端子及连接点是否有变色及破损。</w:t>
            </w:r>
          </w:p>
          <w:p w14:paraId="65ADA837">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（10）盘内器件:检查盘内器件是否有异常发热、变色。</w:t>
            </w:r>
          </w:p>
          <w:p w14:paraId="7E1C3562">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（11）PLC:检查状态指示灯是否正常（打开PLC CPU部分的盖子)检查各个I/0点是否正常工作。(断开一次电源，给定输入观察相应输入点的指示灯状态，并通过梯形图观察该点的状态。通过PLC梯形图给一输出观察输出点的指示灯的状态并用万用表检测相应输出点的电位）。</w:t>
            </w:r>
          </w:p>
          <w:p w14:paraId="07D4D9AA">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（12）动力回路:在电源断开的状态下，测定水平电机、垂直电机、货叉电机的各个端子间和接地间的绝缘电阻，并确认其分别应在5M以上(不应有绝缘不良现象)。</w:t>
            </w:r>
          </w:p>
          <w:p w14:paraId="41BD1065">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13）电机的状态:清除垂直输送分拣设备电机内部灰尘及杂物，保持垂直输送分拣设备电机内部清洁;检查电机是否有漏油情况;观察电机运行时是否有异响，杂音，或者震动;检查垂直输送分拣设备电机接线端子及电机底座固定螺栓是否松动。</w:t>
            </w:r>
          </w:p>
          <w:p w14:paraId="40FE3B4A">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（14）接地系统状态:检查柜内接地线是否松动，用万用表测量是否与大地导通良好。</w:t>
            </w:r>
          </w:p>
          <w:p w14:paraId="32450E3D">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（15）电箱控制柜状态:清除控制柜内灰尘及杂物，保持柜内清洁;检查所有柜内端子是否松动;检查电线控制柜固定螺栓是否松动。</w:t>
            </w:r>
          </w:p>
          <w:p w14:paraId="43AB72BD">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（16）动作频繁元器件状态:检查继电器，接触器等动作频繁元器件接线端子是否松动;检查是否有老化迹象，并做出动作频繁元器件的检修记录表。</w:t>
            </w:r>
          </w:p>
          <w:p w14:paraId="6ED713F2">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（17）变频器状态:清除变频器上的灰尘，保持变频器的清洁;检查变频器接线端子是否松动;检查变频器固定螺栓是否松动。</w:t>
            </w:r>
          </w:p>
          <w:p w14:paraId="38E9181E">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（18）通讯线的状态:检查网线水晶头，DP线DP接头是否松动，接头不好的更换接头;检查通讯线破损情况，有破损的更换通讯线。</w:t>
            </w:r>
          </w:p>
          <w:p w14:paraId="45467B1B">
            <w:pPr>
              <w:pStyle w:val="3"/>
              <w:numPr>
                <w:ilvl w:val="0"/>
                <w:numId w:val="0"/>
              </w:numPr>
              <w:spacing w:line="240" w:lineRule="auto"/>
              <w:ind w:leftChars="0"/>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3.2.5.5系统保养内容：每季度保养一次，保养内容包括：</w:t>
            </w:r>
          </w:p>
          <w:p w14:paraId="7E9D0BDF">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（1）垂直输送分拣设备机械润滑点加油。</w:t>
            </w:r>
          </w:p>
          <w:p w14:paraId="556E9D16">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（2）垂直输送分拣设备水平、垂直的调整。</w:t>
            </w:r>
          </w:p>
          <w:p w14:paraId="036559D4">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（3）垂直输送分拣设备导向滚轮系统调整。</w:t>
            </w:r>
          </w:p>
          <w:p w14:paraId="44D6054C">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（4）垂直输送分拣设备提升传动系统的调整。</w:t>
            </w:r>
          </w:p>
          <w:p w14:paraId="2A05042C">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（5）垂直输送分拣设备载货台横梁前后倾斜度的调整。</w:t>
            </w:r>
          </w:p>
          <w:p w14:paraId="2C60FCFF">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（6）垂直输送分拣设备货叉链条的调整。</w:t>
            </w:r>
          </w:p>
          <w:p w14:paraId="7EB97BD8">
            <w:pPr>
              <w:pStyle w:val="3"/>
              <w:numPr>
                <w:ilvl w:val="0"/>
                <w:numId w:val="0"/>
              </w:numPr>
              <w:spacing w:line="240" w:lineRule="auto"/>
              <w:ind w:left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（7）输送系统机械润滑点加油。</w:t>
            </w:r>
          </w:p>
          <w:p w14:paraId="431615F3">
            <w:pPr>
              <w:pStyle w:val="3"/>
              <w:numPr>
                <w:ilvl w:val="0"/>
                <w:numId w:val="0"/>
              </w:numPr>
              <w:spacing w:line="240" w:lineRule="auto"/>
              <w:ind w:leftChars="0"/>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（8）输送机链条张紧调整，移载机水平度调整。</w:t>
            </w:r>
          </w:p>
        </w:tc>
        <w:tc>
          <w:tcPr>
            <w:tcW w:w="1699" w:type="dxa"/>
            <w:tcBorders>
              <w:top w:val="single" w:color="auto" w:sz="4" w:space="0"/>
              <w:left w:val="single" w:color="auto" w:sz="4" w:space="0"/>
              <w:bottom w:val="single" w:color="auto" w:sz="4" w:space="0"/>
              <w:right w:val="single" w:color="auto" w:sz="4" w:space="0"/>
            </w:tcBorders>
            <w:vAlign w:val="center"/>
          </w:tcPr>
          <w:p w14:paraId="09C1F0B2">
            <w:pPr>
              <w:ind w:firstLine="440" w:firstLineChars="200"/>
              <w:rPr>
                <w:rFonts w:hint="eastAsia" w:ascii="仿宋" w:hAnsi="仿宋" w:eastAsia="仿宋" w:cs="仿宋"/>
                <w:color w:val="auto"/>
                <w:sz w:val="22"/>
                <w:szCs w:val="22"/>
                <w:lang w:val="en-US" w:eastAsia="zh-CN"/>
              </w:rPr>
            </w:pPr>
          </w:p>
        </w:tc>
      </w:tr>
      <w:tr w14:paraId="755C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restart"/>
            <w:tcBorders>
              <w:top w:val="single" w:color="auto" w:sz="4" w:space="0"/>
              <w:left w:val="single" w:color="auto" w:sz="4" w:space="0"/>
              <w:right w:val="single" w:color="auto" w:sz="4" w:space="0"/>
            </w:tcBorders>
            <w:shd w:val="clear" w:color="auto" w:fill="auto"/>
            <w:vAlign w:val="center"/>
          </w:tcPr>
          <w:p w14:paraId="1B002238">
            <w:pPr>
              <w:spacing w:after="78"/>
              <w:rPr>
                <w:rFonts w:hint="default" w:ascii="仿宋" w:hAnsi="仿宋" w:eastAsia="仿宋" w:cs="仿宋"/>
                <w:color w:val="000000" w:themeColor="text1"/>
                <w:kern w:val="0"/>
                <w:sz w:val="22"/>
                <w:szCs w:val="22"/>
                <w:lang w:val="en-US" w:eastAsia="zh-CN"/>
                <w14:textFill>
                  <w14:solidFill>
                    <w14:schemeClr w14:val="tx1"/>
                  </w14:solidFill>
                </w14:textFill>
              </w:rPr>
            </w:pPr>
            <w:r>
              <w:rPr>
                <w:rFonts w:hint="eastAsia" w:ascii="仿宋" w:hAnsi="仿宋" w:eastAsia="仿宋" w:cs="仿宋"/>
                <w:color w:val="000000" w:themeColor="text1"/>
                <w:kern w:val="0"/>
                <w:sz w:val="22"/>
                <w:szCs w:val="22"/>
                <w:lang w:val="en-US" w:eastAsia="zh-CN"/>
                <w14:textFill>
                  <w14:solidFill>
                    <w14:schemeClr w14:val="tx1"/>
                  </w14:solidFill>
                </w14:textFill>
              </w:rPr>
              <w:t>商务参数</w:t>
            </w: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A833A5">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1、驻场人员管理要求：</w:t>
            </w:r>
          </w:p>
          <w:p w14:paraId="0B28F91A">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1.1投标单位派驻两名维修工驻点，对系统设备进行日常运行、维护保养和维修服务，每天对设备和机房进行巡检。工作时间匹配医院正常运营时段，保障现场问题第一时间处置。</w:t>
            </w:r>
          </w:p>
          <w:p w14:paraId="0C5E4F73">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1.2驻场人员负责日常设备巡查、配件领用/登记、配件更换现场配合、备件库管理、台账整理、对接医院各使用科室及后勤管理科，维保单位需备足常用零配件，确保及时进行维修及维护。</w:t>
            </w:r>
          </w:p>
          <w:p w14:paraId="5F2A3D61">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1.3拟派本项目人员要求具有2年及以上同类项目工作经验，熟悉医院箱式物流系统运行标准及院内管理制度。</w:t>
            </w:r>
          </w:p>
        </w:tc>
        <w:tc>
          <w:tcPr>
            <w:tcW w:w="1699" w:type="dxa"/>
            <w:vMerge w:val="restart"/>
            <w:tcBorders>
              <w:top w:val="single" w:color="auto" w:sz="4" w:space="0"/>
              <w:left w:val="single" w:color="auto" w:sz="4" w:space="0"/>
              <w:right w:val="single" w:color="auto" w:sz="4" w:space="0"/>
            </w:tcBorders>
            <w:vAlign w:val="center"/>
          </w:tcPr>
          <w:p w14:paraId="742176C5">
            <w:pPr>
              <w:ind w:firstLine="440" w:firstLineChars="200"/>
              <w:rPr>
                <w:rFonts w:hint="eastAsia" w:ascii="仿宋" w:hAnsi="仿宋" w:eastAsia="仿宋" w:cs="仿宋"/>
                <w:color w:val="auto"/>
                <w:sz w:val="22"/>
                <w:szCs w:val="22"/>
                <w:lang w:val="en-US" w:eastAsia="zh-CN"/>
              </w:rPr>
            </w:pPr>
          </w:p>
        </w:tc>
      </w:tr>
      <w:tr w14:paraId="6D695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right w:val="single" w:color="auto" w:sz="4" w:space="0"/>
            </w:tcBorders>
            <w:shd w:val="clear" w:color="auto" w:fill="auto"/>
            <w:vAlign w:val="center"/>
          </w:tcPr>
          <w:p w14:paraId="528FDA05">
            <w:pPr>
              <w:spacing w:after="78"/>
              <w:ind w:left="0" w:leftChars="0" w:firstLine="0" w:firstLineChars="0"/>
              <w:jc w:val="both"/>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6EBAB5">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2、档案管理要求：</w:t>
            </w:r>
          </w:p>
          <w:p w14:paraId="1B11AFFD">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2.1维保单位需建立动静态档案管理系统，包括管理制度、交接班制度、操作手册、系统分部图、零配件出入库登记表及使用记录、各项数据检测记录表、设备设施维修记录等。</w:t>
            </w:r>
          </w:p>
          <w:p w14:paraId="2A1397EB">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2.2定期需对系统的运行情况进行统计分析，提出整改措施，确保物流系统运行良好。</w:t>
            </w:r>
          </w:p>
          <w:p w14:paraId="126AD7DF">
            <w:pPr>
              <w:pStyle w:val="2"/>
              <w:rPr>
                <w:rFonts w:hint="eastAsia"/>
                <w:lang w:val="en-US" w:eastAsia="zh-CN"/>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2.3维保单位需对故障的种类、数量、故障率等进行定期统计，甲方可以随时查看后台数据，并与年度履约评价及付款金额相挂钩。</w:t>
            </w:r>
          </w:p>
        </w:tc>
        <w:tc>
          <w:tcPr>
            <w:tcW w:w="1699" w:type="dxa"/>
            <w:vMerge w:val="continue"/>
            <w:tcBorders>
              <w:left w:val="single" w:color="auto" w:sz="4" w:space="0"/>
              <w:right w:val="single" w:color="auto" w:sz="4" w:space="0"/>
            </w:tcBorders>
            <w:vAlign w:val="center"/>
          </w:tcPr>
          <w:p w14:paraId="41762781">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0A9B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right w:val="single" w:color="auto" w:sz="4" w:space="0"/>
            </w:tcBorders>
            <w:shd w:val="clear" w:color="auto" w:fill="auto"/>
            <w:vAlign w:val="center"/>
          </w:tcPr>
          <w:p w14:paraId="644107AF">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E5C984">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3、其他要求：</w:t>
            </w:r>
          </w:p>
          <w:p w14:paraId="07F33376">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3.1维保期间，如设备因人为故意损坏等原因造成损伤、意外破坏、遗失，投标方不承担免费维修或更换的责任，如需维修或更换，经双方书面确认，责任方单独支付维修或更换配件的费用。</w:t>
            </w:r>
          </w:p>
          <w:p w14:paraId="52199A9B">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3.2投标方需向采购方提交书面季度维护保养报告、应急现场维护工作报告。以上书面报告需双方现场技术负责人签字确认。书面提交5个工作日后，任何一方仍未签字确认，可视为已确认相关内容。</w:t>
            </w:r>
          </w:p>
          <w:p w14:paraId="2B273F2B">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3.3系统进入维保期前，投标方技术人员在采购方协助下为系统提供系统全面检查并对现有系统做出运行状态评估及书面检修报告，经双方签字确认。</w:t>
            </w:r>
          </w:p>
        </w:tc>
        <w:tc>
          <w:tcPr>
            <w:tcW w:w="1699" w:type="dxa"/>
            <w:vMerge w:val="continue"/>
            <w:tcBorders>
              <w:left w:val="single" w:color="auto" w:sz="4" w:space="0"/>
              <w:right w:val="single" w:color="auto" w:sz="4" w:space="0"/>
            </w:tcBorders>
            <w:vAlign w:val="center"/>
          </w:tcPr>
          <w:p w14:paraId="03EBAF93">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1624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right w:val="single" w:color="auto" w:sz="4" w:space="0"/>
            </w:tcBorders>
            <w:shd w:val="clear" w:color="auto" w:fill="auto"/>
            <w:vAlign w:val="center"/>
          </w:tcPr>
          <w:p w14:paraId="60ADCBB0">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56EC0C">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4、备件库建设与配件采购和储备要求：</w:t>
            </w:r>
          </w:p>
          <w:p w14:paraId="751E7B16">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4.1根据设备损耗规律、历史故障数据，提前储备高频易损配件、核心常用配件，保障故障发生时可快速调取更换，缩短设备停机时间。</w:t>
            </w:r>
          </w:p>
          <w:p w14:paraId="7B255593">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4.2建立备件出入库登记制度，做到账物相符，实时跟踪配件库存、使用及补货情况。</w:t>
            </w:r>
          </w:p>
        </w:tc>
        <w:tc>
          <w:tcPr>
            <w:tcW w:w="1699" w:type="dxa"/>
            <w:vMerge w:val="continue"/>
            <w:tcBorders>
              <w:left w:val="single" w:color="auto" w:sz="4" w:space="0"/>
              <w:right w:val="single" w:color="auto" w:sz="4" w:space="0"/>
            </w:tcBorders>
            <w:vAlign w:val="center"/>
          </w:tcPr>
          <w:p w14:paraId="4177F7A8">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2E75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right w:val="single" w:color="auto" w:sz="4" w:space="0"/>
            </w:tcBorders>
            <w:shd w:val="clear" w:color="auto" w:fill="auto"/>
            <w:vAlign w:val="center"/>
          </w:tcPr>
          <w:p w14:paraId="6EC8CFDD">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9C3017">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5、配件质保要求：</w:t>
            </w:r>
          </w:p>
          <w:p w14:paraId="5A056125">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5.1本项目所有更换的配件、耗材均提供不少于 1 年免费质保，质保期自配件安装调试合格之日起计算。</w:t>
            </w:r>
          </w:p>
          <w:p w14:paraId="36692025">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5.2若项目合同到期，但对应配件仍在质保期内，投标人继续履行质保义务，直至该配件质保期满，质保期内非人为损坏免费维修、更换。</w:t>
            </w:r>
          </w:p>
        </w:tc>
        <w:tc>
          <w:tcPr>
            <w:tcW w:w="1699" w:type="dxa"/>
            <w:vMerge w:val="continue"/>
            <w:tcBorders>
              <w:left w:val="single" w:color="auto" w:sz="4" w:space="0"/>
              <w:right w:val="single" w:color="auto" w:sz="4" w:space="0"/>
            </w:tcBorders>
            <w:vAlign w:val="center"/>
          </w:tcPr>
          <w:p w14:paraId="7E1DDEDF">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5C6A0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right w:val="single" w:color="auto" w:sz="4" w:space="0"/>
            </w:tcBorders>
            <w:shd w:val="clear" w:color="auto" w:fill="auto"/>
            <w:vAlign w:val="center"/>
          </w:tcPr>
          <w:p w14:paraId="5EB6CBC6">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168781">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6、应急处置机制要求：</w:t>
            </w:r>
          </w:p>
          <w:p w14:paraId="628430A6">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6.1建立7×24 小时突发事故应急处理机制（甲方为维修人员提供办公位，但不提供宿舍），设立专项应急联络电话，确保医院设备故障、系统异常、突发停机等情况可随时联系响应。</w:t>
            </w:r>
          </w:p>
          <w:p w14:paraId="517E9530">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6.2接到应急报修后，维修人员在白天工作时间（8:00至18:00），需10分钟内到场处置，晚夜间（18:00至次日8:00）需30分钟内到场处置；重大故障、复杂故障，服务商须增派专业技术人员赶赴现场抢修，最大限度降低设备停机对临床诊疗、检验工作的影响。</w:t>
            </w:r>
          </w:p>
          <w:p w14:paraId="66AE6D22">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6.3制定应急抢修流程、重大故障处置预案，定期复盘应急事件处置情况。</w:t>
            </w:r>
          </w:p>
        </w:tc>
        <w:tc>
          <w:tcPr>
            <w:tcW w:w="1699" w:type="dxa"/>
            <w:vMerge w:val="continue"/>
            <w:tcBorders>
              <w:left w:val="single" w:color="auto" w:sz="4" w:space="0"/>
              <w:right w:val="single" w:color="auto" w:sz="4" w:space="0"/>
            </w:tcBorders>
            <w:vAlign w:val="center"/>
          </w:tcPr>
          <w:p w14:paraId="3827296D">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6D2E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right w:val="single" w:color="auto" w:sz="4" w:space="0"/>
            </w:tcBorders>
            <w:shd w:val="clear" w:color="auto" w:fill="auto"/>
            <w:vAlign w:val="center"/>
          </w:tcPr>
          <w:p w14:paraId="0B386C9D">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97F22F">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7、维保承诺：</w:t>
            </w:r>
          </w:p>
          <w:p w14:paraId="6FCA5A34">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7.1承诺所范围内所有工作独立按期完成，若因技术等原因无法完成的，中标供应商外聘第三方技术支持，费用由中标供应商承担。</w:t>
            </w:r>
          </w:p>
          <w:p w14:paraId="62C9FD6F">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7.2所有维护、维修行为均建立档案，双方存底。</w:t>
            </w:r>
          </w:p>
          <w:p w14:paraId="69C8F417">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7.3保证易耗零配件及普通配件充足可靠，建立备件库，确保备件使用及时。</w:t>
            </w:r>
          </w:p>
          <w:p w14:paraId="1A012B59">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7.4提供日常巡查计划，月、季、年度维保的详细工作计划。认真做好运行、维修、保养记录、每月对物流系统运行情况评估报告给于采购方。以上资料作为甲方付款的重要参考依据，需设专人管理，以备查询。</w:t>
            </w:r>
          </w:p>
        </w:tc>
        <w:tc>
          <w:tcPr>
            <w:tcW w:w="1699" w:type="dxa"/>
            <w:vMerge w:val="continue"/>
            <w:tcBorders>
              <w:left w:val="single" w:color="auto" w:sz="4" w:space="0"/>
              <w:bottom w:val="single" w:color="auto" w:sz="4" w:space="0"/>
              <w:right w:val="single" w:color="auto" w:sz="4" w:space="0"/>
            </w:tcBorders>
            <w:vAlign w:val="center"/>
          </w:tcPr>
          <w:p w14:paraId="5B5770DA">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12FE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40FC8A6C">
            <w:pPr>
              <w:spacing w:after="78"/>
              <w:ind w:left="0" w:leftChars="0" w:firstLine="0" w:firstLineChars="0"/>
              <w:jc w:val="both"/>
              <w:rPr>
                <w:rFonts w:hint="default" w:eastAsiaTheme="minorEastAsia"/>
                <w:lang w:val="en-US" w:eastAsia="zh-CN"/>
              </w:rPr>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578543">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本项目服务费采用包干制，应包括服务成本（包含设备维保及维修所需更换的所有零配件、人工费、运输费等）、法定税费和企业的利润。由投标供应商根据采购文件所提供的资料自行测算投标报价；一经中标，报价总价作为中标供应商与采购人签定的合同金额，合同期限内不做调整。</w:t>
            </w:r>
          </w:p>
        </w:tc>
        <w:tc>
          <w:tcPr>
            <w:tcW w:w="1699" w:type="dxa"/>
            <w:vMerge w:val="continue"/>
            <w:tcBorders>
              <w:left w:val="single" w:color="auto" w:sz="4" w:space="0"/>
              <w:right w:val="single" w:color="auto" w:sz="4" w:space="0"/>
            </w:tcBorders>
            <w:vAlign w:val="center"/>
          </w:tcPr>
          <w:p w14:paraId="2F82AE1B">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0C45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606919CA">
            <w:pPr>
              <w:spacing w:after="78"/>
              <w:ind w:left="0" w:leftChars="0" w:firstLine="0" w:firstLineChars="0"/>
              <w:jc w:val="both"/>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3E8FF8">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 xml:space="preserve">2、投标人应根据其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若评审委员会成员对是否需由投标人作出报价合理性说明，以及书面说明是否采纳等判断不一致的，按照“少数服从多数”的原则确定评审委员会的意见。 </w:t>
            </w:r>
          </w:p>
        </w:tc>
        <w:tc>
          <w:tcPr>
            <w:tcW w:w="1699" w:type="dxa"/>
            <w:vMerge w:val="continue"/>
            <w:tcBorders>
              <w:left w:val="single" w:color="auto" w:sz="4" w:space="0"/>
              <w:right w:val="single" w:color="auto" w:sz="4" w:space="0"/>
            </w:tcBorders>
            <w:vAlign w:val="center"/>
          </w:tcPr>
          <w:p w14:paraId="1B017F89">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6A33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28DE5A2E">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4AF063">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3、投标人的投标报价不得超过预算限额，如设投标最高限价的，报价不得超过最高限价。</w:t>
            </w:r>
          </w:p>
        </w:tc>
        <w:tc>
          <w:tcPr>
            <w:tcW w:w="1699" w:type="dxa"/>
            <w:vMerge w:val="continue"/>
            <w:tcBorders>
              <w:left w:val="single" w:color="auto" w:sz="4" w:space="0"/>
              <w:right w:val="single" w:color="auto" w:sz="4" w:space="0"/>
            </w:tcBorders>
            <w:vAlign w:val="center"/>
          </w:tcPr>
          <w:p w14:paraId="15AAFEF9">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680C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444D1495">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54EDA8">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4、投标人的投标报价，应是本项目招标范围和招标文件及合同条款上所列的各项内容中所述的全部，不得以任何理由予以重复，并以投标人在中提出的综合单价或总价为依据。</w:t>
            </w:r>
          </w:p>
        </w:tc>
        <w:tc>
          <w:tcPr>
            <w:tcW w:w="1699" w:type="dxa"/>
            <w:vMerge w:val="continue"/>
            <w:tcBorders>
              <w:left w:val="single" w:color="auto" w:sz="4" w:space="0"/>
              <w:right w:val="single" w:color="auto" w:sz="4" w:space="0"/>
            </w:tcBorders>
            <w:vAlign w:val="center"/>
          </w:tcPr>
          <w:p w14:paraId="28B27C5B">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5738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203403C5">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D9CB36">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除非政府集中采购机构通过修改招标文件予以更正，否则，投标人应毫无例外地按招标文件所列的清单中项目和数量填报综合单价和合价。投标人未填综合单价或合价的项目，视作该项费用已包括在其它有价款的综合单价或合价内。</w:t>
            </w:r>
          </w:p>
        </w:tc>
        <w:tc>
          <w:tcPr>
            <w:tcW w:w="1699" w:type="dxa"/>
            <w:vMerge w:val="continue"/>
            <w:tcBorders>
              <w:left w:val="single" w:color="auto" w:sz="4" w:space="0"/>
              <w:right w:val="single" w:color="auto" w:sz="4" w:space="0"/>
            </w:tcBorders>
            <w:vAlign w:val="center"/>
          </w:tcPr>
          <w:p w14:paraId="5B625B96">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1C170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59C9DAE5">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83CBE5">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6、投标人应先到项目地点踏勘以充分了解项目的位置、情况、道路及任何其它足以影响投标报价的情况，任何因忽视或误解项目情况而导致的索赔或服务期限延长申请将不获批准。</w:t>
            </w:r>
          </w:p>
        </w:tc>
        <w:tc>
          <w:tcPr>
            <w:tcW w:w="1699" w:type="dxa"/>
            <w:vMerge w:val="continue"/>
            <w:tcBorders>
              <w:left w:val="single" w:color="auto" w:sz="4" w:space="0"/>
              <w:right w:val="single" w:color="auto" w:sz="4" w:space="0"/>
            </w:tcBorders>
            <w:vAlign w:val="center"/>
          </w:tcPr>
          <w:p w14:paraId="7725E83B">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5727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bottom w:val="single" w:color="auto" w:sz="4" w:space="0"/>
              <w:right w:val="single" w:color="auto" w:sz="4" w:space="0"/>
            </w:tcBorders>
            <w:shd w:val="clear" w:color="auto" w:fill="auto"/>
            <w:vAlign w:val="center"/>
          </w:tcPr>
          <w:p w14:paraId="476D7CCA">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2C9111">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7、投标人不得期望通过索赔等方式获取补偿，否则，除可能遭到拒绝外，还可能将被作为不良行为记录在案，并可能影响其以后参加政府采购的项目投标。各投标人在投标报价时，应充分考虑投标报价的风险。</w:t>
            </w:r>
          </w:p>
        </w:tc>
        <w:tc>
          <w:tcPr>
            <w:tcW w:w="1699" w:type="dxa"/>
            <w:vMerge w:val="continue"/>
            <w:tcBorders>
              <w:left w:val="single" w:color="auto" w:sz="4" w:space="0"/>
              <w:bottom w:val="single" w:color="auto" w:sz="4" w:space="0"/>
              <w:right w:val="single" w:color="auto" w:sz="4" w:space="0"/>
            </w:tcBorders>
            <w:vAlign w:val="center"/>
          </w:tcPr>
          <w:p w14:paraId="0117DC5A">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3146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1290" w:type="dxa"/>
            <w:vMerge w:val="restart"/>
            <w:tcBorders>
              <w:top w:val="single" w:color="auto" w:sz="4" w:space="0"/>
              <w:left w:val="single" w:color="auto" w:sz="4" w:space="0"/>
              <w:right w:val="single" w:color="auto" w:sz="4" w:space="0"/>
            </w:tcBorders>
            <w:shd w:val="clear" w:color="auto" w:fill="auto"/>
            <w:vAlign w:val="center"/>
          </w:tcPr>
          <w:p w14:paraId="20154DAE">
            <w:pPr>
              <w:spacing w:after="78"/>
              <w:rPr>
                <w:rFonts w:hint="eastAsia" w:ascii="仿宋" w:hAnsi="仿宋" w:eastAsia="仿宋" w:cs="仿宋"/>
                <w:color w:val="000000" w:themeColor="text1"/>
                <w:kern w:val="0"/>
                <w:sz w:val="22"/>
                <w:szCs w:val="22"/>
                <w:lang w:val="en-US" w:eastAsia="zh-CN"/>
                <w14:textFill>
                  <w14:solidFill>
                    <w14:schemeClr w14:val="tx1"/>
                  </w14:solidFill>
                </w14:textFill>
              </w:rPr>
            </w:pPr>
            <w:r>
              <w:rPr>
                <w:rFonts w:hint="eastAsia" w:ascii="仿宋" w:hAnsi="仿宋" w:eastAsia="仿宋" w:cs="仿宋"/>
                <w:color w:val="000000" w:themeColor="text1"/>
                <w:kern w:val="0"/>
                <w:sz w:val="22"/>
                <w:szCs w:val="22"/>
                <w:lang w:val="en-US" w:eastAsia="zh-CN"/>
                <w14:textFill>
                  <w14:solidFill>
                    <w14:schemeClr w14:val="tx1"/>
                  </w14:solidFill>
                </w14:textFill>
              </w:rPr>
              <w:t>技术参数</w:t>
            </w: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610E3BE6">
            <w:pPr>
              <w:keepNext w:val="0"/>
              <w:keepLines w:val="0"/>
              <w:pageBreakBefore w:val="0"/>
              <w:widowControl w:val="0"/>
              <w:kinsoku/>
              <w:wordWrap/>
              <w:overflowPunct/>
              <w:topLinePunct w:val="0"/>
              <w:autoSpaceDE/>
              <w:autoSpaceDN/>
              <w:bidi w:val="0"/>
              <w:adjustRightInd/>
              <w:snapToGrid/>
              <w:spacing w:after="120" w:line="0" w:lineRule="atLeast"/>
              <w:textAlignment w:val="auto"/>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远程服务要求：用户方提供远程信息技术服务和远程排除设备故障和信息故障等问题，服务方式为电话通讯和计算机远程控制，服务不计次数。</w:t>
            </w:r>
          </w:p>
        </w:tc>
        <w:tc>
          <w:tcPr>
            <w:tcW w:w="1699" w:type="dxa"/>
            <w:tcBorders>
              <w:top w:val="single" w:color="auto" w:sz="4" w:space="0"/>
              <w:left w:val="single" w:color="auto" w:sz="4" w:space="0"/>
              <w:right w:val="single" w:color="auto" w:sz="4" w:space="0"/>
            </w:tcBorders>
            <w:vAlign w:val="center"/>
          </w:tcPr>
          <w:p w14:paraId="0B4DAF28">
            <w:pPr>
              <w:ind w:firstLine="440" w:firstLineChars="200"/>
              <w:rPr>
                <w:rFonts w:hint="eastAsia" w:ascii="仿宋" w:hAnsi="仿宋" w:eastAsia="仿宋" w:cs="仿宋"/>
                <w:color w:val="auto"/>
                <w:sz w:val="22"/>
                <w:szCs w:val="22"/>
                <w:lang w:val="en-US" w:eastAsia="zh-CN"/>
              </w:rPr>
            </w:pPr>
          </w:p>
        </w:tc>
      </w:tr>
      <w:tr w14:paraId="7F23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1290" w:type="dxa"/>
            <w:vMerge w:val="continue"/>
            <w:tcBorders>
              <w:left w:val="single" w:color="auto" w:sz="4" w:space="0"/>
              <w:right w:val="single" w:color="auto" w:sz="4" w:space="0"/>
            </w:tcBorders>
            <w:shd w:val="clear" w:color="auto" w:fill="auto"/>
            <w:vAlign w:val="center"/>
          </w:tcPr>
          <w:p w14:paraId="7DE4B710">
            <w:pPr>
              <w:pStyle w:val="2"/>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44D78566">
            <w:pPr>
              <w:pStyle w:val="2"/>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1.信息技术方面:为用户提供远程技术服务，对设备信息系统和服务器方面的问题在接到用户通知后立即通过远程进行处理。</w:t>
            </w:r>
          </w:p>
        </w:tc>
        <w:tc>
          <w:tcPr>
            <w:tcW w:w="1699" w:type="dxa"/>
            <w:tcBorders>
              <w:left w:val="single" w:color="auto" w:sz="4" w:space="0"/>
              <w:right w:val="single" w:color="auto" w:sz="4" w:space="0"/>
            </w:tcBorders>
            <w:vAlign w:val="center"/>
          </w:tcPr>
          <w:p w14:paraId="4F718267">
            <w:pPr>
              <w:pStyle w:val="2"/>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7D1A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1290" w:type="dxa"/>
            <w:vMerge w:val="continue"/>
            <w:tcBorders>
              <w:left w:val="single" w:color="auto" w:sz="4" w:space="0"/>
              <w:right w:val="single" w:color="auto" w:sz="4" w:space="0"/>
            </w:tcBorders>
            <w:shd w:val="clear" w:color="auto" w:fill="auto"/>
            <w:vAlign w:val="center"/>
          </w:tcPr>
          <w:p w14:paraId="5C45AC03">
            <w:pPr>
              <w:pStyle w:val="2"/>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29D2623D">
            <w:pPr>
              <w:pStyle w:val="2"/>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2.机械设备方面:在接到用户要求服务信息后，服务人员立即与用户设备维护人员进行沟通，并进行远程技术服务，排除设备故障。</w:t>
            </w:r>
          </w:p>
        </w:tc>
        <w:tc>
          <w:tcPr>
            <w:tcW w:w="1699" w:type="dxa"/>
            <w:tcBorders>
              <w:left w:val="single" w:color="auto" w:sz="4" w:space="0"/>
              <w:right w:val="single" w:color="auto" w:sz="4" w:space="0"/>
            </w:tcBorders>
            <w:vAlign w:val="center"/>
          </w:tcPr>
          <w:p w14:paraId="2B146A32">
            <w:pPr>
              <w:pStyle w:val="2"/>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55426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290" w:type="dxa"/>
            <w:vMerge w:val="continue"/>
            <w:tcBorders>
              <w:left w:val="single" w:color="auto" w:sz="4" w:space="0"/>
              <w:right w:val="single" w:color="auto" w:sz="4" w:space="0"/>
            </w:tcBorders>
            <w:shd w:val="clear" w:color="auto" w:fill="auto"/>
            <w:vAlign w:val="center"/>
          </w:tcPr>
          <w:p w14:paraId="48E2BB85">
            <w:pPr>
              <w:pStyle w:val="2"/>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523D5866">
            <w:pPr>
              <w:pStyle w:val="2"/>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3.用户需提供给服务人员计算机远程访问环境和确保7x24小时稳定的网络以便进行远程服务。</w:t>
            </w:r>
          </w:p>
        </w:tc>
        <w:tc>
          <w:tcPr>
            <w:tcW w:w="1699" w:type="dxa"/>
            <w:tcBorders>
              <w:left w:val="single" w:color="auto" w:sz="4" w:space="0"/>
              <w:right w:val="single" w:color="auto" w:sz="4" w:space="0"/>
            </w:tcBorders>
            <w:vAlign w:val="center"/>
          </w:tcPr>
          <w:p w14:paraId="3F834BB0">
            <w:pPr>
              <w:pStyle w:val="2"/>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5B4C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jc w:val="center"/>
        </w:trPr>
        <w:tc>
          <w:tcPr>
            <w:tcW w:w="1290" w:type="dxa"/>
            <w:vMerge w:val="continue"/>
            <w:tcBorders>
              <w:left w:val="single" w:color="auto" w:sz="4" w:space="0"/>
              <w:right w:val="single" w:color="auto" w:sz="4" w:space="0"/>
            </w:tcBorders>
            <w:shd w:val="clear" w:color="auto" w:fill="auto"/>
            <w:vAlign w:val="center"/>
          </w:tcPr>
          <w:p w14:paraId="0F6DC5EC">
            <w:pPr>
              <w:pStyle w:val="2"/>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051529AB">
            <w:pPr>
              <w:pStyle w:val="2"/>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4.明确进行远程服务的途径，明确指定远程服务的人员以及联系的方式，确保用户能够在第一时间与服务人员取得联系，服务人员需要提供7x24小时通畅的电话支持。</w:t>
            </w:r>
          </w:p>
        </w:tc>
        <w:tc>
          <w:tcPr>
            <w:tcW w:w="1699" w:type="dxa"/>
            <w:tcBorders>
              <w:left w:val="single" w:color="auto" w:sz="4" w:space="0"/>
              <w:right w:val="single" w:color="auto" w:sz="4" w:space="0"/>
            </w:tcBorders>
            <w:vAlign w:val="center"/>
          </w:tcPr>
          <w:p w14:paraId="7DF9C408">
            <w:pPr>
              <w:pStyle w:val="2"/>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bl>
    <w:p w14:paraId="2CF01C7A">
      <w:pPr>
        <w:rPr>
          <w:rFonts w:hint="default" w:ascii="仿宋" w:hAnsi="仿宋" w:eastAsia="仿宋" w:cs="仿宋"/>
          <w:color w:val="000000" w:themeColor="text1"/>
          <w:kern w:val="0"/>
          <w:sz w:val="22"/>
          <w:szCs w:val="22"/>
          <w:lang w:val="en-US" w:eastAsia="zh-CN" w:bidi="ar-SA"/>
          <w14:textFill>
            <w14:solidFill>
              <w14:schemeClr w14:val="tx1"/>
            </w14:solidFill>
          </w14:textFill>
        </w:rPr>
      </w:pPr>
    </w:p>
    <w:p w14:paraId="1EA1DCF9">
      <w:pPr>
        <w:rPr>
          <w:rFonts w:hint="default" w:ascii="方正楷体_GB2312" w:hAnsi="方正楷体_GB2312" w:eastAsia="方正楷体_GB2312" w:cs="方正楷体_GB2312"/>
          <w:sz w:val="28"/>
          <w:szCs w:val="28"/>
          <w:lang w:val="en-US" w:eastAsia="zh-CN"/>
        </w:rPr>
      </w:pPr>
    </w:p>
    <w:p w14:paraId="5E51A9E8"/>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楷体_GB2312">
    <w:altName w:val="宋体"/>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E43316"/>
    <w:multiLevelType w:val="singleLevel"/>
    <w:tmpl w:val="8CE43316"/>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CA38B0"/>
    <w:rsid w:val="023A6206"/>
    <w:rsid w:val="0C313B32"/>
    <w:rsid w:val="11E579A3"/>
    <w:rsid w:val="133833D9"/>
    <w:rsid w:val="1B6A11DD"/>
    <w:rsid w:val="1C8F2816"/>
    <w:rsid w:val="23730FC9"/>
    <w:rsid w:val="2E947342"/>
    <w:rsid w:val="2F970662"/>
    <w:rsid w:val="34C651D8"/>
    <w:rsid w:val="3A2E6000"/>
    <w:rsid w:val="406F14EB"/>
    <w:rsid w:val="40807736"/>
    <w:rsid w:val="5EDC2437"/>
    <w:rsid w:val="6C523F43"/>
    <w:rsid w:val="6CE717E2"/>
    <w:rsid w:val="6E631CA1"/>
    <w:rsid w:val="73685BF0"/>
    <w:rsid w:val="79CA3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rPr>
  </w:style>
  <w:style w:type="paragraph" w:styleId="3">
    <w:name w:val="Body Text Indent"/>
    <w:basedOn w:val="1"/>
    <w:qFormat/>
    <w:uiPriority w:val="0"/>
    <w:pPr>
      <w:spacing w:line="360" w:lineRule="auto"/>
      <w:ind w:left="720" w:hanging="720" w:hangingChars="300"/>
    </w:pPr>
    <w:rPr>
      <w:sz w:val="24"/>
    </w:rPr>
  </w:style>
  <w:style w:type="paragraph" w:styleId="4">
    <w:name w:val="Plain Text"/>
    <w:basedOn w:val="1"/>
    <w:qFormat/>
    <w:uiPriority w:val="0"/>
    <w:rPr>
      <w:rFonts w:ascii="宋体" w:hAnsi="Courier New" w:eastAsia="宋体" w:cs="Courier New"/>
      <w:szCs w:val="21"/>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纯文本1"/>
    <w:basedOn w:val="1"/>
    <w:qFormat/>
    <w:uiPriority w:val="0"/>
    <w:rPr>
      <w:rFonts w:ascii="宋体" w:hAnsi="Courier New" w:eastAsia="宋体" w:cs="Courier New"/>
    </w:rPr>
  </w:style>
  <w:style w:type="paragraph" w:customStyle="1" w:styleId="9">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3994</Words>
  <Characters>4291</Characters>
  <Lines>0</Lines>
  <Paragraphs>0</Paragraphs>
  <TotalTime>7</TotalTime>
  <ScaleCrop>false</ScaleCrop>
  <LinksUpToDate>false</LinksUpToDate>
  <CharactersWithSpaces>4294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2025-12-24T07:03:00Z</dcterms:created>
  <dc:creator>Archer</dc:creator>
  <cp:lastModifiedBy>WPS_1645158875</cp:lastModifiedBy>
  <dcterms:modified xsi:type="dcterms:W3CDTF">2026-10-08T09:21:21Z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D2A235377D054F718A626455E9579A70_13</vt:lpwstr>
  </property>
  <property fmtid="{D5CDD505-2E9C-101B-9397-08002B2CF9AE}" pid="4" name="KSOTemplateDocerSaveRecord">
    <vt:lpwstr>eyJoZGlkIjoiZDZlNGUxZWZlMDg0MTM4ZmQ3YzhmYTI0MDdmY2QzYWUiLCJ1c2VySWQiOiIxMzMwOTAyNDc5In0=</vt:lpwstr>
  </property>
</Properties>
</file>