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6FEF0">
      <w:pPr>
        <w:spacing w:line="360" w:lineRule="auto"/>
        <w:rPr>
          <w:rFonts w:hint="eastAsia" w:ascii="仿宋" w:hAnsi="仿宋" w:eastAsia="仿宋"/>
          <w:sz w:val="28"/>
          <w:lang w:val="en-US" w:eastAsia="zh-CN"/>
        </w:rPr>
      </w:pPr>
      <w:r>
        <w:rPr>
          <w:rFonts w:hint="eastAsia" w:ascii="仿宋" w:hAnsi="仿宋" w:eastAsia="仿宋"/>
          <w:sz w:val="28"/>
          <w:lang w:val="en-US" w:eastAsia="zh-CN"/>
        </w:rPr>
        <w:t>附件1：</w:t>
      </w:r>
    </w:p>
    <w:p w14:paraId="5F23D57C">
      <w:pPr>
        <w:spacing w:line="360" w:lineRule="auto"/>
        <w:ind w:firstLine="880" w:firstLineChars="2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潜在供应商调查问卷</w:t>
      </w:r>
    </w:p>
    <w:p w14:paraId="35B6829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5"/>
        <w:tblW w:w="83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22"/>
        <w:gridCol w:w="1756"/>
        <w:gridCol w:w="1463"/>
        <w:gridCol w:w="2440"/>
      </w:tblGrid>
      <w:tr w14:paraId="1A6E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6308965">
            <w:pPr>
              <w:spacing w:line="360" w:lineRule="auto"/>
              <w:jc w:val="center"/>
              <w:rPr>
                <w:rFonts w:hint="eastAsia" w:ascii="仿宋" w:hAnsi="仿宋" w:eastAsia="仿宋" w:cs="仿宋"/>
                <w:sz w:val="22"/>
                <w:szCs w:val="22"/>
                <w14:shadow w14:blurRad="50800" w14:dist="38100" w14:dir="2700000" w14:sx="100000" w14:sy="100000" w14:kx="0" w14:ky="0" w14:algn="tl">
                  <w14:srgbClr w14:val="000000">
                    <w14:alpha w14:val="60000"/>
                  </w14:srgbClr>
                </w14:shadow>
              </w:rPr>
            </w:pPr>
            <w:r>
              <w:rPr>
                <w:rFonts w:hint="eastAsia" w:ascii="仿宋" w:hAnsi="仿宋" w:eastAsia="仿宋"/>
                <w:sz w:val="21"/>
                <w:szCs w:val="21"/>
                <w:lang w:val="en-US" w:eastAsia="zh-CN"/>
              </w:rPr>
              <w:t>公司名称</w:t>
            </w:r>
          </w:p>
        </w:tc>
        <w:tc>
          <w:tcPr>
            <w:tcW w:w="5659" w:type="dxa"/>
            <w:gridSpan w:val="3"/>
            <w:noWrap w:val="0"/>
            <w:vAlign w:val="center"/>
          </w:tcPr>
          <w:p w14:paraId="0FEE31C2">
            <w:pPr>
              <w:ind w:left="420" w:hanging="360" w:hangingChars="150"/>
              <w:jc w:val="center"/>
              <w:rPr>
                <w:rFonts w:hint="eastAsia" w:ascii="仿宋" w:hAnsi="仿宋" w:eastAsia="仿宋" w:cs="仿宋"/>
                <w:sz w:val="24"/>
                <w:szCs w:val="24"/>
                <w14:shadow w14:blurRad="50800" w14:dist="38100" w14:dir="2700000" w14:sx="100000" w14:sy="100000" w14:kx="0" w14:ky="0" w14:algn="tl">
                  <w14:srgbClr w14:val="000000">
                    <w14:alpha w14:val="60000"/>
                  </w14:srgbClr>
                </w14:shadow>
              </w:rPr>
            </w:pPr>
          </w:p>
        </w:tc>
      </w:tr>
      <w:tr w14:paraId="7F871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FD14AC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成立时间</w:t>
            </w:r>
          </w:p>
        </w:tc>
        <w:tc>
          <w:tcPr>
            <w:tcW w:w="5659" w:type="dxa"/>
            <w:gridSpan w:val="3"/>
            <w:noWrap w:val="0"/>
            <w:vAlign w:val="center"/>
          </w:tcPr>
          <w:p w14:paraId="5A80C924">
            <w:pPr>
              <w:spacing w:line="360" w:lineRule="auto"/>
              <w:jc w:val="center"/>
              <w:rPr>
                <w:rFonts w:hint="eastAsia" w:ascii="仿宋" w:hAnsi="仿宋" w:eastAsia="仿宋"/>
                <w:sz w:val="21"/>
                <w:szCs w:val="21"/>
                <w:lang w:val="en-US" w:eastAsia="zh-CN"/>
              </w:rPr>
            </w:pPr>
          </w:p>
        </w:tc>
      </w:tr>
      <w:tr w14:paraId="34261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4E582820">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联系人</w:t>
            </w:r>
          </w:p>
        </w:tc>
        <w:tc>
          <w:tcPr>
            <w:tcW w:w="1756" w:type="dxa"/>
            <w:noWrap w:val="0"/>
            <w:vAlign w:val="center"/>
          </w:tcPr>
          <w:p w14:paraId="4FE62E72">
            <w:pPr>
              <w:spacing w:line="360" w:lineRule="auto"/>
              <w:jc w:val="center"/>
              <w:rPr>
                <w:rFonts w:hint="eastAsia" w:ascii="仿宋" w:hAnsi="仿宋" w:eastAsia="仿宋"/>
                <w:sz w:val="21"/>
                <w:szCs w:val="21"/>
                <w:lang w:val="en-US" w:eastAsia="zh-CN"/>
              </w:rPr>
            </w:pPr>
          </w:p>
        </w:tc>
        <w:tc>
          <w:tcPr>
            <w:tcW w:w="1463" w:type="dxa"/>
            <w:noWrap w:val="0"/>
            <w:vAlign w:val="center"/>
          </w:tcPr>
          <w:p w14:paraId="2CF2D039">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手机</w:t>
            </w:r>
          </w:p>
        </w:tc>
        <w:tc>
          <w:tcPr>
            <w:tcW w:w="2440" w:type="dxa"/>
            <w:noWrap w:val="0"/>
            <w:vAlign w:val="center"/>
          </w:tcPr>
          <w:p w14:paraId="397FF149">
            <w:pPr>
              <w:spacing w:line="360" w:lineRule="auto"/>
              <w:jc w:val="center"/>
              <w:rPr>
                <w:rFonts w:hint="eastAsia" w:ascii="仿宋" w:hAnsi="仿宋" w:eastAsia="仿宋"/>
                <w:sz w:val="21"/>
                <w:szCs w:val="21"/>
                <w:lang w:val="en-US" w:eastAsia="zh-CN"/>
              </w:rPr>
            </w:pPr>
          </w:p>
        </w:tc>
      </w:tr>
      <w:tr w14:paraId="0AAF2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5025F9FC">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电话</w:t>
            </w:r>
          </w:p>
        </w:tc>
        <w:tc>
          <w:tcPr>
            <w:tcW w:w="1756" w:type="dxa"/>
            <w:noWrap w:val="0"/>
            <w:vAlign w:val="center"/>
          </w:tcPr>
          <w:p w14:paraId="594793BC">
            <w:pPr>
              <w:spacing w:line="360" w:lineRule="auto"/>
              <w:jc w:val="center"/>
              <w:rPr>
                <w:rFonts w:hint="eastAsia" w:ascii="仿宋" w:hAnsi="仿宋" w:eastAsia="仿宋"/>
                <w:sz w:val="21"/>
                <w:szCs w:val="21"/>
                <w:lang w:val="en-US" w:eastAsia="zh-CN"/>
              </w:rPr>
            </w:pPr>
          </w:p>
        </w:tc>
        <w:tc>
          <w:tcPr>
            <w:tcW w:w="1463" w:type="dxa"/>
            <w:noWrap w:val="0"/>
            <w:vAlign w:val="center"/>
          </w:tcPr>
          <w:p w14:paraId="09198641">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邮箱</w:t>
            </w:r>
          </w:p>
        </w:tc>
        <w:tc>
          <w:tcPr>
            <w:tcW w:w="2440" w:type="dxa"/>
            <w:noWrap w:val="0"/>
            <w:vAlign w:val="center"/>
          </w:tcPr>
          <w:p w14:paraId="7A2D7DCF">
            <w:pPr>
              <w:spacing w:line="360" w:lineRule="auto"/>
              <w:jc w:val="center"/>
              <w:rPr>
                <w:rFonts w:hint="eastAsia" w:ascii="仿宋" w:hAnsi="仿宋" w:eastAsia="仿宋"/>
                <w:sz w:val="21"/>
                <w:szCs w:val="21"/>
                <w:lang w:val="en-US" w:eastAsia="zh-CN"/>
              </w:rPr>
            </w:pPr>
          </w:p>
        </w:tc>
      </w:tr>
      <w:tr w14:paraId="6A01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2722" w:type="dxa"/>
            <w:noWrap w:val="0"/>
            <w:vAlign w:val="center"/>
          </w:tcPr>
          <w:p w14:paraId="053F9D2E">
            <w:pPr>
              <w:spacing w:line="360" w:lineRule="auto"/>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本项目报价（万元）</w:t>
            </w:r>
          </w:p>
        </w:tc>
        <w:tc>
          <w:tcPr>
            <w:tcW w:w="5659" w:type="dxa"/>
            <w:gridSpan w:val="3"/>
            <w:noWrap w:val="0"/>
            <w:vAlign w:val="center"/>
          </w:tcPr>
          <w:p w14:paraId="3C2F5778">
            <w:pPr>
              <w:spacing w:line="360" w:lineRule="auto"/>
              <w:jc w:val="center"/>
              <w:rPr>
                <w:rFonts w:hint="eastAsia" w:ascii="仿宋" w:hAnsi="仿宋" w:eastAsia="仿宋"/>
                <w:sz w:val="21"/>
                <w:szCs w:val="21"/>
                <w:lang w:val="en-US" w:eastAsia="zh-CN"/>
              </w:rPr>
            </w:pPr>
          </w:p>
        </w:tc>
      </w:tr>
      <w:tr w14:paraId="7D90E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5856" w:hRule="atLeast"/>
        </w:trPr>
        <w:tc>
          <w:tcPr>
            <w:tcW w:w="2722" w:type="dxa"/>
            <w:tcBorders>
              <w:top w:val="single" w:color="000000" w:sz="4" w:space="0"/>
              <w:left w:val="single" w:color="000000" w:sz="4" w:space="0"/>
              <w:bottom w:val="single" w:color="000000" w:sz="4" w:space="0"/>
              <w:right w:val="single" w:color="000000" w:sz="4" w:space="0"/>
            </w:tcBorders>
            <w:vAlign w:val="center"/>
          </w:tcPr>
          <w:p w14:paraId="2815FBB6">
            <w:pPr>
              <w:spacing w:line="360" w:lineRule="auto"/>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投标人资质要求</w:t>
            </w:r>
          </w:p>
        </w:tc>
        <w:tc>
          <w:tcPr>
            <w:tcW w:w="5659" w:type="dxa"/>
            <w:gridSpan w:val="3"/>
            <w:tcBorders>
              <w:top w:val="single" w:color="000000" w:sz="4" w:space="0"/>
              <w:left w:val="single" w:color="000000" w:sz="4" w:space="0"/>
              <w:bottom w:val="single" w:color="000000" w:sz="4" w:space="0"/>
              <w:right w:val="single" w:color="000000" w:sz="4" w:space="0"/>
            </w:tcBorders>
            <w:vAlign w:val="center"/>
          </w:tcPr>
          <w:p w14:paraId="4BC2B32B">
            <w:pPr>
              <w:numPr>
                <w:ilvl w:val="0"/>
                <w:numId w:val="1"/>
              </w:numPr>
              <w:spacing w:line="360" w:lineRule="auto"/>
              <w:ind w:left="425" w:leftChars="0" w:hanging="425" w:firstLineChars="0"/>
              <w:jc w:val="left"/>
              <w:rPr>
                <w:rFonts w:hint="eastAsia" w:ascii="仿宋" w:hAnsi="仿宋" w:eastAsia="仿宋"/>
                <w:sz w:val="21"/>
                <w:szCs w:val="21"/>
                <w:lang w:val="en-US" w:eastAsia="zh-CN"/>
              </w:rPr>
            </w:pPr>
            <w:r>
              <w:rPr>
                <w:rFonts w:hint="eastAsia" w:ascii="仿宋" w:hAnsi="仿宋" w:eastAsia="仿宋"/>
                <w:sz w:val="21"/>
                <w:szCs w:val="21"/>
                <w:lang w:val="en-US" w:eastAsia="zh-CN"/>
              </w:rPr>
              <w:t>营业执照副本复印件,加盖投标人公章;提供在国家企业信用信息公示系统中自行打印的所有信息（http://www.gsxt.gov.cn/index.html）；（包括基础信息，企业自行公示信息，行政许可信息，行政处罚信息，纳入经营异常名录信息，纳入严重违法失信企业名单（黑名单）信息）加盖投标人公章）；</w:t>
            </w:r>
          </w:p>
          <w:p w14:paraId="4B040861">
            <w:pPr>
              <w:numPr>
                <w:ilvl w:val="0"/>
                <w:numId w:val="0"/>
              </w:numPr>
              <w:spacing w:line="360" w:lineRule="auto"/>
              <w:ind w:leftChars="0"/>
              <w:jc w:val="left"/>
              <w:rPr>
                <w:rFonts w:hint="eastAsia" w:ascii="仿宋" w:hAnsi="仿宋" w:eastAsia="仿宋"/>
                <w:sz w:val="21"/>
                <w:szCs w:val="21"/>
                <w:lang w:val="en-US" w:eastAsia="zh-CN"/>
              </w:rPr>
            </w:pPr>
          </w:p>
        </w:tc>
      </w:tr>
    </w:tbl>
    <w:p w14:paraId="25E6C46E"/>
    <w:p w14:paraId="5C7AF20E"/>
    <w:p w14:paraId="5D3D3208"/>
    <w:p w14:paraId="04892FF5"/>
    <w:p w14:paraId="69882A45"/>
    <w:p w14:paraId="610F19F5"/>
    <w:p w14:paraId="10C31793">
      <w:pPr>
        <w:pStyle w:val="4"/>
      </w:pPr>
    </w:p>
    <w:p w14:paraId="125236BB"/>
    <w:p w14:paraId="512193CB">
      <w:pP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14:paraId="1D8F64F1">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453CA17E">
      <w:pPr>
        <w:pStyle w:val="8"/>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07FA600A">
      <w:pPr>
        <w:pStyle w:val="8"/>
        <w:rPr>
          <w:rFonts w:hint="eastAsia" w:ascii="方正楷体_GB2312" w:hAnsi="方正楷体_GB2312" w:eastAsia="方正楷体_GB2312" w:cs="方正楷体_GB2312"/>
          <w:sz w:val="28"/>
          <w:szCs w:val="28"/>
          <w:lang w:val="en-US" w:eastAsia="zh-CN"/>
        </w:rPr>
      </w:pPr>
    </w:p>
    <w:p w14:paraId="7774B91C">
      <w:pPr>
        <w:pStyle w:val="8"/>
        <w:rPr>
          <w:rFonts w:hint="eastAsia" w:ascii="方正楷体_GB2312" w:hAnsi="方正楷体_GB2312" w:eastAsia="方正楷体_GB2312" w:cs="方正楷体_GB2312"/>
          <w:sz w:val="28"/>
          <w:szCs w:val="28"/>
          <w:lang w:val="en-US" w:eastAsia="zh-CN"/>
        </w:rPr>
      </w:pPr>
    </w:p>
    <w:p w14:paraId="15CC63F6">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（二）请提供贵司已获得的行业资质、资信、认证证书列表</w:t>
      </w:r>
    </w:p>
    <w:tbl>
      <w:tblPr>
        <w:tblStyle w:val="6"/>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684"/>
        <w:gridCol w:w="1686"/>
        <w:gridCol w:w="1581"/>
      </w:tblGrid>
      <w:tr w14:paraId="1982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447766A9">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684" w:type="dxa"/>
          </w:tcPr>
          <w:p w14:paraId="26A1360D">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686" w:type="dxa"/>
          </w:tcPr>
          <w:p w14:paraId="4EB9129F">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581" w:type="dxa"/>
          </w:tcPr>
          <w:p w14:paraId="4C016588">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r>
      <w:tr w14:paraId="58CD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1780CA48">
            <w:pPr>
              <w:spacing w:line="360" w:lineRule="auto"/>
              <w:jc w:val="center"/>
              <w:rPr>
                <w:rFonts w:hint="eastAsia" w:ascii="仿宋" w:hAnsi="仿宋" w:eastAsia="仿宋"/>
                <w:sz w:val="21"/>
                <w:szCs w:val="21"/>
                <w:vertAlign w:val="baseline"/>
                <w:lang w:val="en-US" w:eastAsia="zh-CN"/>
              </w:rPr>
            </w:pPr>
          </w:p>
        </w:tc>
        <w:tc>
          <w:tcPr>
            <w:tcW w:w="2684" w:type="dxa"/>
          </w:tcPr>
          <w:p w14:paraId="055C2A49">
            <w:pPr>
              <w:spacing w:line="360" w:lineRule="auto"/>
              <w:jc w:val="center"/>
              <w:rPr>
                <w:rFonts w:hint="eastAsia" w:ascii="仿宋" w:hAnsi="仿宋" w:eastAsia="仿宋"/>
                <w:sz w:val="21"/>
                <w:szCs w:val="21"/>
                <w:vertAlign w:val="baseline"/>
                <w:lang w:val="en-US" w:eastAsia="zh-CN"/>
              </w:rPr>
            </w:pPr>
          </w:p>
        </w:tc>
        <w:tc>
          <w:tcPr>
            <w:tcW w:w="1686" w:type="dxa"/>
          </w:tcPr>
          <w:p w14:paraId="477A6D05">
            <w:pPr>
              <w:spacing w:line="360" w:lineRule="auto"/>
              <w:jc w:val="center"/>
              <w:rPr>
                <w:rFonts w:hint="eastAsia" w:ascii="仿宋" w:hAnsi="仿宋" w:eastAsia="仿宋"/>
                <w:sz w:val="21"/>
                <w:szCs w:val="21"/>
                <w:vertAlign w:val="baseline"/>
                <w:lang w:val="en-US" w:eastAsia="zh-CN"/>
              </w:rPr>
            </w:pPr>
          </w:p>
        </w:tc>
        <w:tc>
          <w:tcPr>
            <w:tcW w:w="1581" w:type="dxa"/>
          </w:tcPr>
          <w:p w14:paraId="47BBD251">
            <w:pPr>
              <w:spacing w:line="360" w:lineRule="auto"/>
              <w:jc w:val="center"/>
              <w:rPr>
                <w:rFonts w:hint="eastAsia" w:ascii="仿宋" w:hAnsi="仿宋" w:eastAsia="仿宋"/>
                <w:sz w:val="21"/>
                <w:szCs w:val="21"/>
                <w:vertAlign w:val="baseline"/>
                <w:lang w:val="en-US" w:eastAsia="zh-CN"/>
              </w:rPr>
            </w:pPr>
          </w:p>
        </w:tc>
      </w:tr>
      <w:tr w14:paraId="7F7A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6DF01C6E">
            <w:pPr>
              <w:spacing w:line="360" w:lineRule="auto"/>
              <w:jc w:val="center"/>
              <w:rPr>
                <w:rFonts w:hint="eastAsia" w:ascii="仿宋" w:hAnsi="仿宋" w:eastAsia="仿宋"/>
                <w:sz w:val="21"/>
                <w:szCs w:val="21"/>
                <w:vertAlign w:val="baseline"/>
                <w:lang w:val="en-US" w:eastAsia="zh-CN"/>
              </w:rPr>
            </w:pPr>
          </w:p>
        </w:tc>
        <w:tc>
          <w:tcPr>
            <w:tcW w:w="2684" w:type="dxa"/>
          </w:tcPr>
          <w:p w14:paraId="487B96DF">
            <w:pPr>
              <w:spacing w:line="360" w:lineRule="auto"/>
              <w:jc w:val="center"/>
              <w:rPr>
                <w:rFonts w:hint="eastAsia" w:ascii="仿宋" w:hAnsi="仿宋" w:eastAsia="仿宋"/>
                <w:sz w:val="21"/>
                <w:szCs w:val="21"/>
                <w:vertAlign w:val="baseline"/>
                <w:lang w:val="en-US" w:eastAsia="zh-CN"/>
              </w:rPr>
            </w:pPr>
          </w:p>
        </w:tc>
        <w:tc>
          <w:tcPr>
            <w:tcW w:w="1686" w:type="dxa"/>
          </w:tcPr>
          <w:p w14:paraId="008BC92F">
            <w:pPr>
              <w:spacing w:line="360" w:lineRule="auto"/>
              <w:jc w:val="center"/>
              <w:rPr>
                <w:rFonts w:hint="eastAsia" w:ascii="仿宋" w:hAnsi="仿宋" w:eastAsia="仿宋"/>
                <w:sz w:val="21"/>
                <w:szCs w:val="21"/>
                <w:vertAlign w:val="baseline"/>
                <w:lang w:val="en-US" w:eastAsia="zh-CN"/>
              </w:rPr>
            </w:pPr>
          </w:p>
        </w:tc>
        <w:tc>
          <w:tcPr>
            <w:tcW w:w="1581" w:type="dxa"/>
          </w:tcPr>
          <w:p w14:paraId="03C7C88D">
            <w:pPr>
              <w:spacing w:line="360" w:lineRule="auto"/>
              <w:jc w:val="center"/>
              <w:rPr>
                <w:rFonts w:hint="eastAsia" w:ascii="仿宋" w:hAnsi="仿宋" w:eastAsia="仿宋"/>
                <w:sz w:val="21"/>
                <w:szCs w:val="21"/>
                <w:vertAlign w:val="baseline"/>
                <w:lang w:val="en-US" w:eastAsia="zh-CN"/>
              </w:rPr>
            </w:pPr>
          </w:p>
        </w:tc>
      </w:tr>
      <w:tr w14:paraId="124B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00BF25D0">
            <w:pPr>
              <w:spacing w:line="360" w:lineRule="auto"/>
              <w:jc w:val="center"/>
              <w:rPr>
                <w:rFonts w:hint="eastAsia" w:ascii="仿宋" w:hAnsi="仿宋" w:eastAsia="仿宋"/>
                <w:sz w:val="21"/>
                <w:szCs w:val="21"/>
                <w:vertAlign w:val="baseline"/>
                <w:lang w:val="en-US" w:eastAsia="zh-CN"/>
              </w:rPr>
            </w:pPr>
          </w:p>
        </w:tc>
        <w:tc>
          <w:tcPr>
            <w:tcW w:w="2684" w:type="dxa"/>
          </w:tcPr>
          <w:p w14:paraId="1A307C8B">
            <w:pPr>
              <w:spacing w:line="360" w:lineRule="auto"/>
              <w:jc w:val="center"/>
              <w:rPr>
                <w:rFonts w:hint="eastAsia" w:ascii="仿宋" w:hAnsi="仿宋" w:eastAsia="仿宋"/>
                <w:sz w:val="21"/>
                <w:szCs w:val="21"/>
                <w:vertAlign w:val="baseline"/>
                <w:lang w:val="en-US" w:eastAsia="zh-CN"/>
              </w:rPr>
            </w:pPr>
          </w:p>
        </w:tc>
        <w:tc>
          <w:tcPr>
            <w:tcW w:w="1686" w:type="dxa"/>
          </w:tcPr>
          <w:p w14:paraId="735F0BFD">
            <w:pPr>
              <w:spacing w:line="360" w:lineRule="auto"/>
              <w:jc w:val="center"/>
              <w:rPr>
                <w:rFonts w:hint="eastAsia" w:ascii="仿宋" w:hAnsi="仿宋" w:eastAsia="仿宋"/>
                <w:sz w:val="21"/>
                <w:szCs w:val="21"/>
                <w:vertAlign w:val="baseline"/>
                <w:lang w:val="en-US" w:eastAsia="zh-CN"/>
              </w:rPr>
            </w:pPr>
          </w:p>
        </w:tc>
        <w:tc>
          <w:tcPr>
            <w:tcW w:w="1581" w:type="dxa"/>
          </w:tcPr>
          <w:p w14:paraId="6AAA3DF0">
            <w:pPr>
              <w:spacing w:line="360" w:lineRule="auto"/>
              <w:jc w:val="center"/>
              <w:rPr>
                <w:rFonts w:hint="eastAsia" w:ascii="仿宋" w:hAnsi="仿宋" w:eastAsia="仿宋"/>
                <w:sz w:val="21"/>
                <w:szCs w:val="21"/>
                <w:vertAlign w:val="baseline"/>
                <w:lang w:val="en-US" w:eastAsia="zh-CN"/>
              </w:rPr>
            </w:pPr>
          </w:p>
        </w:tc>
      </w:tr>
      <w:tr w14:paraId="5016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27BF3A2B">
            <w:pPr>
              <w:spacing w:line="360" w:lineRule="auto"/>
              <w:jc w:val="center"/>
              <w:rPr>
                <w:rFonts w:hint="eastAsia" w:ascii="仿宋" w:hAnsi="仿宋" w:eastAsia="仿宋"/>
                <w:sz w:val="21"/>
                <w:szCs w:val="21"/>
                <w:vertAlign w:val="baseline"/>
                <w:lang w:val="en-US" w:eastAsia="zh-CN"/>
              </w:rPr>
            </w:pPr>
          </w:p>
        </w:tc>
        <w:tc>
          <w:tcPr>
            <w:tcW w:w="2684" w:type="dxa"/>
          </w:tcPr>
          <w:p w14:paraId="4677096C">
            <w:pPr>
              <w:spacing w:line="360" w:lineRule="auto"/>
              <w:jc w:val="center"/>
              <w:rPr>
                <w:rFonts w:hint="eastAsia" w:ascii="仿宋" w:hAnsi="仿宋" w:eastAsia="仿宋"/>
                <w:sz w:val="21"/>
                <w:szCs w:val="21"/>
                <w:vertAlign w:val="baseline"/>
                <w:lang w:val="en-US" w:eastAsia="zh-CN"/>
              </w:rPr>
            </w:pPr>
          </w:p>
        </w:tc>
        <w:tc>
          <w:tcPr>
            <w:tcW w:w="1686" w:type="dxa"/>
          </w:tcPr>
          <w:p w14:paraId="7F0E7F44">
            <w:pPr>
              <w:spacing w:line="360" w:lineRule="auto"/>
              <w:jc w:val="center"/>
              <w:rPr>
                <w:rFonts w:hint="eastAsia" w:ascii="仿宋" w:hAnsi="仿宋" w:eastAsia="仿宋"/>
                <w:sz w:val="21"/>
                <w:szCs w:val="21"/>
                <w:vertAlign w:val="baseline"/>
                <w:lang w:val="en-US" w:eastAsia="zh-CN"/>
              </w:rPr>
            </w:pPr>
          </w:p>
        </w:tc>
        <w:tc>
          <w:tcPr>
            <w:tcW w:w="1581" w:type="dxa"/>
          </w:tcPr>
          <w:p w14:paraId="0084E7B4">
            <w:pPr>
              <w:spacing w:line="360" w:lineRule="auto"/>
              <w:jc w:val="center"/>
              <w:rPr>
                <w:rFonts w:hint="eastAsia" w:ascii="仿宋" w:hAnsi="仿宋" w:eastAsia="仿宋"/>
                <w:sz w:val="21"/>
                <w:szCs w:val="21"/>
                <w:vertAlign w:val="baseline"/>
                <w:lang w:val="en-US" w:eastAsia="zh-CN"/>
              </w:rPr>
            </w:pPr>
          </w:p>
        </w:tc>
      </w:tr>
      <w:tr w14:paraId="38D7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0" w:type="dxa"/>
          </w:tcPr>
          <w:p w14:paraId="5D2626D8">
            <w:pPr>
              <w:spacing w:line="360" w:lineRule="auto"/>
              <w:jc w:val="center"/>
              <w:rPr>
                <w:rFonts w:hint="eastAsia" w:ascii="仿宋" w:hAnsi="仿宋" w:eastAsia="仿宋"/>
                <w:sz w:val="21"/>
                <w:szCs w:val="21"/>
                <w:vertAlign w:val="baseline"/>
                <w:lang w:val="en-US" w:eastAsia="zh-CN"/>
              </w:rPr>
            </w:pPr>
          </w:p>
        </w:tc>
        <w:tc>
          <w:tcPr>
            <w:tcW w:w="2684" w:type="dxa"/>
          </w:tcPr>
          <w:p w14:paraId="05F6E90E">
            <w:pPr>
              <w:spacing w:line="360" w:lineRule="auto"/>
              <w:jc w:val="center"/>
              <w:rPr>
                <w:rFonts w:hint="eastAsia" w:ascii="仿宋" w:hAnsi="仿宋" w:eastAsia="仿宋"/>
                <w:sz w:val="21"/>
                <w:szCs w:val="21"/>
                <w:vertAlign w:val="baseline"/>
                <w:lang w:val="en-US" w:eastAsia="zh-CN"/>
              </w:rPr>
            </w:pPr>
          </w:p>
        </w:tc>
        <w:tc>
          <w:tcPr>
            <w:tcW w:w="1686" w:type="dxa"/>
          </w:tcPr>
          <w:p w14:paraId="3CEDA4CE">
            <w:pPr>
              <w:spacing w:line="360" w:lineRule="auto"/>
              <w:jc w:val="center"/>
              <w:rPr>
                <w:rFonts w:hint="eastAsia" w:ascii="仿宋" w:hAnsi="仿宋" w:eastAsia="仿宋"/>
                <w:sz w:val="21"/>
                <w:szCs w:val="21"/>
                <w:vertAlign w:val="baseline"/>
                <w:lang w:val="en-US" w:eastAsia="zh-CN"/>
              </w:rPr>
            </w:pPr>
          </w:p>
        </w:tc>
        <w:tc>
          <w:tcPr>
            <w:tcW w:w="1581" w:type="dxa"/>
          </w:tcPr>
          <w:p w14:paraId="749F89F5">
            <w:pPr>
              <w:spacing w:line="360" w:lineRule="auto"/>
              <w:jc w:val="center"/>
              <w:rPr>
                <w:rFonts w:hint="eastAsia" w:ascii="仿宋" w:hAnsi="仿宋" w:eastAsia="仿宋"/>
                <w:sz w:val="21"/>
                <w:szCs w:val="21"/>
                <w:vertAlign w:val="baseline"/>
                <w:lang w:val="en-US" w:eastAsia="zh-CN"/>
              </w:rPr>
            </w:pPr>
          </w:p>
        </w:tc>
      </w:tr>
    </w:tbl>
    <w:p w14:paraId="783438A8">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60D54664">
      <w:pPr>
        <w:pStyle w:val="8"/>
        <w:rPr>
          <w:rFonts w:hint="eastAsia" w:ascii="仿宋" w:hAnsi="仿宋" w:eastAsia="仿宋"/>
          <w:sz w:val="21"/>
          <w:szCs w:val="21"/>
          <w:lang w:val="en-US" w:eastAsia="zh-CN"/>
        </w:rPr>
      </w:pPr>
    </w:p>
    <w:p w14:paraId="333068B7">
      <w:pPr>
        <w:pStyle w:val="8"/>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（三）请提供企业行业资质、资信、认证证书扫描件：</w:t>
      </w:r>
    </w:p>
    <w:p w14:paraId="22BF4C9B"/>
    <w:p w14:paraId="63449C0F"/>
    <w:p w14:paraId="53093C02"/>
    <w:p w14:paraId="212709B3"/>
    <w:p w14:paraId="61F0316B">
      <w:pPr>
        <w:pStyle w:val="8"/>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三、根据本项目规模，请提供贵司拟投入的服务团队规划：</w:t>
      </w:r>
    </w:p>
    <w:tbl>
      <w:tblPr>
        <w:tblStyle w:val="6"/>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42"/>
        <w:gridCol w:w="1073"/>
        <w:gridCol w:w="1107"/>
        <w:gridCol w:w="1266"/>
        <w:gridCol w:w="1307"/>
        <w:gridCol w:w="1764"/>
      </w:tblGrid>
      <w:tr w14:paraId="7698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6" w:type="dxa"/>
            <w:vMerge w:val="restart"/>
            <w:vAlign w:val="center"/>
          </w:tcPr>
          <w:p w14:paraId="5173E19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序号</w:t>
            </w:r>
          </w:p>
        </w:tc>
        <w:tc>
          <w:tcPr>
            <w:tcW w:w="1442" w:type="dxa"/>
            <w:vMerge w:val="restart"/>
            <w:vAlign w:val="center"/>
          </w:tcPr>
          <w:p w14:paraId="75CADB0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岗位</w:t>
            </w:r>
          </w:p>
        </w:tc>
        <w:tc>
          <w:tcPr>
            <w:tcW w:w="1073" w:type="dxa"/>
            <w:vMerge w:val="restart"/>
            <w:vAlign w:val="center"/>
          </w:tcPr>
          <w:p w14:paraId="6952E2E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人数（人）</w:t>
            </w:r>
          </w:p>
        </w:tc>
        <w:tc>
          <w:tcPr>
            <w:tcW w:w="5444" w:type="dxa"/>
            <w:gridSpan w:val="4"/>
            <w:vAlign w:val="center"/>
          </w:tcPr>
          <w:p w14:paraId="381EDE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人员须具备的条件</w:t>
            </w:r>
          </w:p>
        </w:tc>
      </w:tr>
      <w:tr w14:paraId="1DEE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blHeader/>
        </w:trPr>
        <w:tc>
          <w:tcPr>
            <w:tcW w:w="726" w:type="dxa"/>
            <w:vMerge w:val="continue"/>
            <w:vAlign w:val="center"/>
          </w:tcPr>
          <w:p w14:paraId="01DABCF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442" w:type="dxa"/>
            <w:vMerge w:val="continue"/>
            <w:vAlign w:val="center"/>
          </w:tcPr>
          <w:p w14:paraId="674928C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073" w:type="dxa"/>
            <w:vMerge w:val="continue"/>
            <w:vAlign w:val="center"/>
          </w:tcPr>
          <w:p w14:paraId="463D812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107" w:type="dxa"/>
            <w:vAlign w:val="center"/>
          </w:tcPr>
          <w:p w14:paraId="1B7F55F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学历</w:t>
            </w:r>
          </w:p>
        </w:tc>
        <w:tc>
          <w:tcPr>
            <w:tcW w:w="1266" w:type="dxa"/>
            <w:vAlign w:val="center"/>
          </w:tcPr>
          <w:p w14:paraId="601B7EF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专业</w:t>
            </w:r>
          </w:p>
        </w:tc>
        <w:tc>
          <w:tcPr>
            <w:tcW w:w="1307" w:type="dxa"/>
            <w:vAlign w:val="center"/>
          </w:tcPr>
          <w:p w14:paraId="7487C2A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电工证书</w:t>
            </w:r>
          </w:p>
        </w:tc>
        <w:tc>
          <w:tcPr>
            <w:tcW w:w="1764" w:type="dxa"/>
            <w:vAlign w:val="center"/>
          </w:tcPr>
          <w:p w14:paraId="4BB5E4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同类项目经验</w:t>
            </w:r>
          </w:p>
        </w:tc>
      </w:tr>
      <w:tr w14:paraId="19C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7831884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1</w:t>
            </w:r>
          </w:p>
        </w:tc>
        <w:tc>
          <w:tcPr>
            <w:tcW w:w="1442" w:type="dxa"/>
            <w:vAlign w:val="center"/>
          </w:tcPr>
          <w:p w14:paraId="3E6F8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项目负责人</w:t>
            </w:r>
          </w:p>
        </w:tc>
        <w:tc>
          <w:tcPr>
            <w:tcW w:w="1073" w:type="dxa"/>
            <w:vAlign w:val="center"/>
          </w:tcPr>
          <w:p w14:paraId="1EAD58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CD7E09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7A6AB81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647A8B3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23BB51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（请注意：须提供以项目主管或项目经理身份负责管理过的医疗设备维保项目经验）</w:t>
            </w:r>
          </w:p>
        </w:tc>
      </w:tr>
      <w:tr w14:paraId="52B2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0490546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2</w:t>
            </w:r>
          </w:p>
        </w:tc>
        <w:tc>
          <w:tcPr>
            <w:tcW w:w="1442" w:type="dxa"/>
            <w:vAlign w:val="center"/>
          </w:tcPr>
          <w:p w14:paraId="39B38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5604A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4BD67CE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2E972AF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4AAC9D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vAlign w:val="center"/>
          </w:tcPr>
          <w:p w14:paraId="52730EE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r>
              <w:rPr>
                <w:rFonts w:hint="eastAsia" w:ascii="仿宋" w:hAnsi="仿宋" w:eastAsia="仿宋"/>
                <w:sz w:val="22"/>
                <w:szCs w:val="22"/>
                <w:u w:val="none"/>
                <w:vertAlign w:val="baseline"/>
                <w:lang w:val="en-US" w:eastAsia="zh-CN"/>
              </w:rPr>
              <w:t>（请提供拟投入该岗位人员所能达到的最低同类工作经验年限）</w:t>
            </w:r>
          </w:p>
        </w:tc>
      </w:tr>
      <w:tr w14:paraId="729E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597EE3E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3</w:t>
            </w:r>
          </w:p>
        </w:tc>
        <w:tc>
          <w:tcPr>
            <w:tcW w:w="1442" w:type="dxa"/>
            <w:vAlign w:val="center"/>
          </w:tcPr>
          <w:p w14:paraId="08A8DB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技术工程师</w:t>
            </w:r>
          </w:p>
        </w:tc>
        <w:tc>
          <w:tcPr>
            <w:tcW w:w="1073" w:type="dxa"/>
            <w:vAlign w:val="center"/>
          </w:tcPr>
          <w:p w14:paraId="204E04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49E46B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266" w:type="dxa"/>
            <w:vAlign w:val="center"/>
          </w:tcPr>
          <w:p w14:paraId="35B9B68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307" w:type="dxa"/>
            <w:vAlign w:val="center"/>
          </w:tcPr>
          <w:p w14:paraId="50846B0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764" w:type="dxa"/>
            <w:shd w:val="clear" w:color="auto" w:fill="auto"/>
            <w:vAlign w:val="center"/>
          </w:tcPr>
          <w:p w14:paraId="08B866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bl>
    <w:p w14:paraId="40893DB0">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4DE7666E">
      <w:pPr>
        <w:pStyle w:val="8"/>
        <w:rPr>
          <w:rFonts w:hint="eastAsia" w:ascii="仿宋" w:hAnsi="仿宋" w:eastAsia="仿宋"/>
          <w:sz w:val="21"/>
          <w:szCs w:val="21"/>
          <w:lang w:val="en-US" w:eastAsia="zh-CN"/>
        </w:rPr>
      </w:pPr>
    </w:p>
    <w:p w14:paraId="752CFBB8">
      <w:pPr>
        <w:pStyle w:val="8"/>
        <w:rPr>
          <w:rFonts w:hint="default" w:ascii="仿宋" w:hAnsi="仿宋" w:eastAsia="仿宋"/>
          <w:sz w:val="21"/>
          <w:szCs w:val="21"/>
          <w:lang w:val="en-US" w:eastAsia="zh-CN"/>
        </w:rPr>
      </w:pPr>
    </w:p>
    <w:p w14:paraId="260217D7">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四、公司同类项目业绩情况</w:t>
      </w:r>
    </w:p>
    <w:p w14:paraId="52190C60">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（一）请提供贵司自2023年1月至今所完成的运维服务项目：</w:t>
      </w:r>
    </w:p>
    <w:tbl>
      <w:tblPr>
        <w:tblStyle w:val="6"/>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453"/>
        <w:gridCol w:w="1658"/>
        <w:gridCol w:w="1101"/>
      </w:tblGrid>
      <w:tr w14:paraId="2D6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1F484B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5B219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453" w:type="dxa"/>
            <w:vAlign w:val="center"/>
          </w:tcPr>
          <w:p w14:paraId="53DEDC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6E749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101" w:type="dxa"/>
            <w:vAlign w:val="center"/>
          </w:tcPr>
          <w:p w14:paraId="1C0AF1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w:t>
            </w:r>
          </w:p>
        </w:tc>
      </w:tr>
      <w:tr w14:paraId="5245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7" w:type="dxa"/>
            <w:vAlign w:val="center"/>
          </w:tcPr>
          <w:p w14:paraId="1026C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3DBAFC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1F3DFB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4EC8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7640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3F67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4CF9E3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34AC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38729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F3C5B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BDDE7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2D2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5587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701B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533C0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69B24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0E0DC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6F9E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7" w:type="dxa"/>
            <w:vAlign w:val="center"/>
          </w:tcPr>
          <w:p w14:paraId="7A784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FD12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74CB7A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37C50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3F07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760F2EE9">
      <w:pPr>
        <w:pStyle w:val="8"/>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7B5139A4">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6846A2D8">
      <w:pPr>
        <w:rPr>
          <w:rFonts w:hint="eastAsia" w:ascii="方正楷体_GB2312" w:hAnsi="方正楷体_GB2312" w:eastAsia="方正楷体_GB2312" w:cs="方正楷体_GB2312"/>
          <w:sz w:val="28"/>
          <w:szCs w:val="28"/>
          <w:lang w:val="en-US" w:eastAsia="zh-CN"/>
        </w:rPr>
      </w:pPr>
    </w:p>
    <w:p w14:paraId="6C08855D">
      <w:pPr>
        <w:jc w:val="left"/>
        <w:rPr>
          <w:rFonts w:hint="eastAsia" w:ascii="宋体" w:hAnsi="宋体" w:cs="宋体"/>
          <w:b/>
          <w:bCs/>
          <w:color w:val="3F3F3F"/>
          <w:kern w:val="0"/>
          <w:szCs w:val="21"/>
        </w:rPr>
      </w:pPr>
    </w:p>
    <w:p w14:paraId="64949296">
      <w:pPr>
        <w:pStyle w:val="8"/>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五、请根据实际情况填写贵公司对本项目论证参数的响应情况</w:t>
      </w:r>
    </w:p>
    <w:p w14:paraId="778FD414">
      <w:pPr>
        <w:ind w:left="0" w:leftChars="0" w:firstLine="0" w:firstLineChars="0"/>
        <w:jc w:val="center"/>
        <w:rPr>
          <w:rFonts w:hint="eastAsia" w:ascii="仿宋" w:hAnsi="仿宋" w:eastAsia="仿宋" w:cs="仿宋"/>
          <w:b/>
          <w:bCs/>
          <w:color w:val="3F3F3F"/>
          <w:kern w:val="0"/>
          <w:szCs w:val="21"/>
        </w:rPr>
      </w:pPr>
      <w:r>
        <w:rPr>
          <w:rFonts w:hint="eastAsia" w:ascii="仿宋" w:hAnsi="仿宋" w:eastAsia="仿宋" w:cs="仿宋"/>
          <w:b/>
          <w:bCs/>
          <w:color w:val="3F3F3F"/>
          <w:kern w:val="0"/>
          <w:sz w:val="36"/>
          <w:szCs w:val="36"/>
          <w:lang w:val="en-US" w:eastAsia="zh-CN"/>
        </w:rPr>
        <w:t>论证</w:t>
      </w:r>
      <w:r>
        <w:rPr>
          <w:rFonts w:hint="eastAsia" w:ascii="仿宋" w:hAnsi="仿宋" w:eastAsia="仿宋" w:cs="仿宋"/>
          <w:b/>
          <w:bCs/>
          <w:color w:val="3F3F3F"/>
          <w:kern w:val="0"/>
          <w:sz w:val="36"/>
          <w:szCs w:val="36"/>
        </w:rPr>
        <w:t>参数列表</w:t>
      </w:r>
    </w:p>
    <w:tbl>
      <w:tblPr>
        <w:tblStyle w:val="5"/>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971"/>
        <w:gridCol w:w="4435"/>
        <w:gridCol w:w="1699"/>
      </w:tblGrid>
      <w:tr w14:paraId="08C3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blHeader/>
          <w:jc w:val="center"/>
        </w:trPr>
        <w:tc>
          <w:tcPr>
            <w:tcW w:w="1290" w:type="dxa"/>
            <w:tcBorders>
              <w:top w:val="single" w:color="auto" w:sz="4" w:space="0"/>
              <w:left w:val="single" w:color="auto" w:sz="4" w:space="0"/>
              <w:right w:val="single" w:color="auto" w:sz="4" w:space="0"/>
            </w:tcBorders>
            <w:vAlign w:val="center"/>
          </w:tcPr>
          <w:p w14:paraId="6B5B6EFA">
            <w:pPr>
              <w:widowControl/>
              <w:jc w:val="center"/>
              <w:rPr>
                <w:rFonts w:hint="eastAsia" w:ascii="仿宋" w:hAnsi="仿宋" w:eastAsia="仿宋" w:cs="仿宋"/>
                <w:kern w:val="0"/>
                <w:sz w:val="24"/>
                <w:szCs w:val="24"/>
                <w:lang w:eastAsia="zh-CN"/>
              </w:rPr>
            </w:pPr>
            <w:r>
              <w:rPr>
                <w:rFonts w:hint="eastAsia" w:ascii="仿宋" w:hAnsi="仿宋" w:eastAsia="仿宋" w:cs="仿宋"/>
                <w:b/>
                <w:bCs/>
                <w:color w:val="3F3F3F"/>
                <w:kern w:val="0"/>
                <w:sz w:val="22"/>
              </w:rPr>
              <w:t>序号</w:t>
            </w:r>
          </w:p>
        </w:tc>
        <w:tc>
          <w:tcPr>
            <w:tcW w:w="5406" w:type="dxa"/>
            <w:gridSpan w:val="2"/>
            <w:tcBorders>
              <w:top w:val="single" w:color="auto" w:sz="4" w:space="0"/>
              <w:left w:val="single" w:color="auto" w:sz="4" w:space="0"/>
              <w:bottom w:val="single" w:color="auto" w:sz="4" w:space="0"/>
              <w:right w:val="single" w:color="auto" w:sz="4" w:space="0"/>
            </w:tcBorders>
            <w:vAlign w:val="center"/>
          </w:tcPr>
          <w:p w14:paraId="6767B1B9">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rPr>
              <w:t>需求</w:t>
            </w:r>
          </w:p>
        </w:tc>
        <w:tc>
          <w:tcPr>
            <w:tcW w:w="1699" w:type="dxa"/>
            <w:tcBorders>
              <w:top w:val="single" w:color="auto" w:sz="4" w:space="0"/>
              <w:left w:val="single" w:color="auto" w:sz="4" w:space="0"/>
              <w:bottom w:val="single" w:color="auto" w:sz="4" w:space="0"/>
              <w:right w:val="single" w:color="auto" w:sz="4" w:space="0"/>
            </w:tcBorders>
            <w:vAlign w:val="center"/>
          </w:tcPr>
          <w:p w14:paraId="61AA8C74">
            <w:pPr>
              <w:widowControl/>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3F3F3F"/>
                <w:kern w:val="0"/>
                <w:sz w:val="22"/>
                <w:lang w:eastAsia="zh-CN"/>
              </w:rPr>
              <w:t>是否</w:t>
            </w:r>
            <w:r>
              <w:rPr>
                <w:rFonts w:hint="eastAsia" w:ascii="仿宋" w:hAnsi="仿宋" w:eastAsia="仿宋" w:cs="仿宋"/>
                <w:b/>
                <w:bCs/>
                <w:color w:val="3F3F3F"/>
                <w:kern w:val="0"/>
                <w:sz w:val="22"/>
                <w:lang w:val="en-US" w:eastAsia="zh-CN"/>
              </w:rPr>
              <w:t>能完全响应</w:t>
            </w:r>
            <w:r>
              <w:rPr>
                <w:rFonts w:hint="eastAsia" w:ascii="仿宋" w:hAnsi="仿宋" w:eastAsia="仿宋" w:cs="仿宋"/>
                <w:b/>
                <w:bCs/>
                <w:color w:val="3F3F3F"/>
                <w:kern w:val="0"/>
                <w:sz w:val="22"/>
                <w:lang w:eastAsia="zh-CN"/>
              </w:rPr>
              <w:t>（若</w:t>
            </w:r>
            <w:r>
              <w:rPr>
                <w:rFonts w:hint="eastAsia" w:ascii="仿宋" w:hAnsi="仿宋" w:eastAsia="仿宋" w:cs="仿宋"/>
                <w:b/>
                <w:bCs/>
                <w:color w:val="3F3F3F"/>
                <w:kern w:val="0"/>
                <w:sz w:val="22"/>
                <w:lang w:val="en-US" w:eastAsia="zh-CN"/>
              </w:rPr>
              <w:t>有修改意见</w:t>
            </w:r>
            <w:r>
              <w:rPr>
                <w:rFonts w:hint="eastAsia" w:ascii="仿宋" w:hAnsi="仿宋" w:eastAsia="仿宋" w:cs="仿宋"/>
                <w:b/>
                <w:bCs/>
                <w:color w:val="3F3F3F"/>
                <w:kern w:val="0"/>
                <w:sz w:val="22"/>
                <w:lang w:eastAsia="zh-CN"/>
              </w:rPr>
              <w:t>，请在</w:t>
            </w:r>
            <w:r>
              <w:rPr>
                <w:rFonts w:hint="eastAsia" w:ascii="仿宋" w:hAnsi="仿宋" w:eastAsia="仿宋" w:cs="仿宋"/>
                <w:b/>
                <w:bCs/>
                <w:color w:val="3F3F3F"/>
                <w:kern w:val="0"/>
                <w:sz w:val="22"/>
                <w:lang w:val="en-US" w:eastAsia="zh-CN"/>
              </w:rPr>
              <w:t>此列</w:t>
            </w:r>
            <w:r>
              <w:rPr>
                <w:rFonts w:hint="eastAsia" w:ascii="仿宋" w:hAnsi="仿宋" w:eastAsia="仿宋" w:cs="仿宋"/>
                <w:b/>
                <w:bCs/>
                <w:color w:val="3F3F3F"/>
                <w:kern w:val="0"/>
                <w:sz w:val="22"/>
                <w:lang w:eastAsia="zh-CN"/>
              </w:rPr>
              <w:t>填写）</w:t>
            </w:r>
          </w:p>
        </w:tc>
      </w:tr>
      <w:tr w14:paraId="558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3" w:hRule="atLeast"/>
          <w:jc w:val="center"/>
        </w:trPr>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14:paraId="64409DEF">
            <w:pPr>
              <w:spacing w:after="78"/>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14:textFill>
                  <w14:solidFill>
                    <w14:schemeClr w14:val="tx1"/>
                  </w14:solidFill>
                </w14:textFill>
              </w:rPr>
              <w:t>服务内容</w:t>
            </w: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A3418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1、龙华</w:t>
            </w:r>
            <w:r>
              <w:rPr>
                <w:rFonts w:hint="eastAsia" w:ascii="仿宋" w:hAnsi="仿宋" w:eastAsia="仿宋" w:cs="仿宋"/>
                <w:color w:val="000000" w:themeColor="text1"/>
                <w:kern w:val="0"/>
                <w:sz w:val="22"/>
                <w:szCs w:val="22"/>
                <w:lang w:val="en-US" w:eastAsia="zh-CN"/>
                <w14:textFill>
                  <w14:solidFill>
                    <w14:schemeClr w14:val="tx1"/>
                  </w14:solidFill>
                </w14:textFill>
              </w:rPr>
              <w:t>院区</w:t>
            </w:r>
            <w:r>
              <w:rPr>
                <w:rFonts w:hint="eastAsia" w:ascii="仿宋" w:hAnsi="仿宋" w:eastAsia="仿宋" w:cs="仿宋"/>
                <w:color w:val="000000" w:themeColor="text1"/>
                <w:kern w:val="0"/>
                <w:sz w:val="22"/>
                <w:szCs w:val="22"/>
                <w:lang w:val="en-US" w:eastAsia="zh-CN" w:bidi="ar-SA"/>
                <w14:textFill>
                  <w14:solidFill>
                    <w14:schemeClr w14:val="tx1"/>
                  </w14:solidFill>
                </w14:textFill>
              </w:rPr>
              <w:t>气动物流系统维保服务。</w:t>
            </w:r>
          </w:p>
          <w:p w14:paraId="5F5DCA2A">
            <w:pPr>
              <w:pStyle w:val="3"/>
              <w:numPr>
                <w:ilvl w:val="0"/>
                <w:numId w:val="0"/>
              </w:numPr>
              <w:spacing w:line="240" w:lineRule="auto"/>
              <w:ind w:leftChars="0"/>
              <w:rPr>
                <w:rFonts w:hint="eastAsia" w:ascii="宋体" w:hAnsi="宋体" w:cs="宋体"/>
                <w:kern w:val="0"/>
                <w:sz w:val="21"/>
                <w:szCs w:val="21"/>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2、站点数量为68个，维保主要原配件清单如下：</w:t>
            </w:r>
          </w:p>
          <w:tbl>
            <w:tblPr>
              <w:tblStyle w:val="5"/>
              <w:tblW w:w="4999" w:type="pct"/>
              <w:tblInd w:w="0" w:type="dxa"/>
              <w:tblLayout w:type="autofit"/>
              <w:tblCellMar>
                <w:top w:w="0" w:type="dxa"/>
                <w:left w:w="108" w:type="dxa"/>
                <w:bottom w:w="0" w:type="dxa"/>
                <w:right w:w="108" w:type="dxa"/>
              </w:tblCellMar>
            </w:tblPr>
            <w:tblGrid>
              <w:gridCol w:w="1427"/>
              <w:gridCol w:w="3762"/>
            </w:tblGrid>
            <w:tr w14:paraId="78A9DF4A">
              <w:tblPrEx>
                <w:tblCellMar>
                  <w:top w:w="0" w:type="dxa"/>
                  <w:left w:w="108" w:type="dxa"/>
                  <w:bottom w:w="0" w:type="dxa"/>
                  <w:right w:w="108" w:type="dxa"/>
                </w:tblCellMar>
              </w:tblPrEx>
              <w:trPr>
                <w:trHeight w:val="1004" w:hRule="atLeast"/>
              </w:trPr>
              <w:tc>
                <w:tcPr>
                  <w:tcW w:w="1375" w:type="pct"/>
                  <w:tcBorders>
                    <w:top w:val="single" w:color="auto" w:sz="4" w:space="0"/>
                    <w:left w:val="single" w:color="auto" w:sz="4" w:space="0"/>
                    <w:bottom w:val="single" w:color="auto" w:sz="4" w:space="0"/>
                    <w:right w:val="single" w:color="auto" w:sz="4" w:space="0"/>
                    <w:tl2br w:val="nil"/>
                    <w:tr2bl w:val="nil"/>
                  </w:tcBorders>
                  <w:vAlign w:val="center"/>
                </w:tcPr>
                <w:p w14:paraId="0462B644">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配件</w:t>
                  </w:r>
                  <w:bookmarkStart w:id="0" w:name="_GoBack"/>
                  <w:bookmarkEnd w:id="0"/>
                  <w:r>
                    <w:rPr>
                      <w:rFonts w:hint="eastAsia" w:ascii="仿宋" w:hAnsi="仿宋" w:eastAsia="仿宋" w:cs="仿宋"/>
                      <w:b/>
                      <w:color w:val="000000"/>
                      <w:kern w:val="0"/>
                      <w:szCs w:val="21"/>
                    </w:rPr>
                    <w:t>名称</w:t>
                  </w:r>
                </w:p>
              </w:tc>
              <w:tc>
                <w:tcPr>
                  <w:tcW w:w="3624" w:type="pct"/>
                  <w:tcBorders>
                    <w:top w:val="single" w:color="auto" w:sz="4" w:space="0"/>
                    <w:left w:val="nil"/>
                    <w:bottom w:val="single" w:color="auto" w:sz="4" w:space="0"/>
                    <w:right w:val="single" w:color="auto" w:sz="4" w:space="0"/>
                    <w:tl2br w:val="nil"/>
                    <w:tr2bl w:val="nil"/>
                  </w:tcBorders>
                  <w:vAlign w:val="center"/>
                </w:tcPr>
                <w:p w14:paraId="7E020695">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配件说明</w:t>
                  </w:r>
                </w:p>
              </w:tc>
            </w:tr>
            <w:tr w14:paraId="4212B13E">
              <w:tblPrEx>
                <w:tblCellMar>
                  <w:top w:w="0" w:type="dxa"/>
                  <w:left w:w="108" w:type="dxa"/>
                  <w:bottom w:w="0" w:type="dxa"/>
                  <w:right w:w="108" w:type="dxa"/>
                </w:tblCellMar>
              </w:tblPrEx>
              <w:trPr>
                <w:trHeight w:val="507"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27B94F11">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智能工作站</w:t>
                  </w:r>
                </w:p>
              </w:tc>
              <w:tc>
                <w:tcPr>
                  <w:tcW w:w="3624" w:type="pct"/>
                  <w:tcBorders>
                    <w:top w:val="nil"/>
                    <w:left w:val="nil"/>
                    <w:bottom w:val="single" w:color="auto" w:sz="4" w:space="0"/>
                    <w:right w:val="single" w:color="auto" w:sz="4" w:space="0"/>
                    <w:tl2br w:val="nil"/>
                    <w:tr2bl w:val="nil"/>
                  </w:tcBorders>
                  <w:vAlign w:val="center"/>
                </w:tcPr>
                <w:p w14:paraId="287891C8">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智能工作站</w:t>
                  </w:r>
                </w:p>
              </w:tc>
            </w:tr>
            <w:tr w14:paraId="367CDF3B">
              <w:tblPrEx>
                <w:tblCellMar>
                  <w:top w:w="0" w:type="dxa"/>
                  <w:left w:w="108" w:type="dxa"/>
                  <w:bottom w:w="0" w:type="dxa"/>
                  <w:right w:w="108" w:type="dxa"/>
                </w:tblCellMar>
              </w:tblPrEx>
              <w:trPr>
                <w:trHeight w:val="672"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58470B95">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三向转换器</w:t>
                  </w:r>
                </w:p>
              </w:tc>
              <w:tc>
                <w:tcPr>
                  <w:tcW w:w="3624" w:type="pct"/>
                  <w:tcBorders>
                    <w:top w:val="nil"/>
                    <w:left w:val="nil"/>
                    <w:bottom w:val="single" w:color="auto" w:sz="4" w:space="0"/>
                    <w:right w:val="single" w:color="auto" w:sz="4" w:space="0"/>
                    <w:tl2br w:val="nil"/>
                    <w:tr2bl w:val="nil"/>
                  </w:tcBorders>
                  <w:vAlign w:val="center"/>
                </w:tcPr>
                <w:p w14:paraId="38E322B8">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lang w:val="en-US" w:eastAsia="zh-CN"/>
                    </w:rPr>
                    <w:t>管路转换</w:t>
                  </w:r>
                </w:p>
              </w:tc>
            </w:tr>
            <w:tr w14:paraId="630F1121">
              <w:tblPrEx>
                <w:tblCellMar>
                  <w:top w:w="0" w:type="dxa"/>
                  <w:left w:w="108" w:type="dxa"/>
                  <w:bottom w:w="0" w:type="dxa"/>
                  <w:right w:w="108" w:type="dxa"/>
                </w:tblCellMar>
              </w:tblPrEx>
              <w:trPr>
                <w:trHeight w:val="672"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2F6FD3EA">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标准风机</w:t>
                  </w:r>
                </w:p>
              </w:tc>
              <w:tc>
                <w:tcPr>
                  <w:tcW w:w="3624" w:type="pct"/>
                  <w:tcBorders>
                    <w:top w:val="nil"/>
                    <w:left w:val="nil"/>
                    <w:bottom w:val="single" w:color="auto" w:sz="4" w:space="0"/>
                    <w:right w:val="single" w:color="auto" w:sz="4" w:space="0"/>
                    <w:tl2br w:val="nil"/>
                    <w:tr2bl w:val="nil"/>
                  </w:tcBorders>
                  <w:vAlign w:val="center"/>
                </w:tcPr>
                <w:p w14:paraId="76C11DD1">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每个区域的主要动力源（带三相阀吹吸切换功能）</w:t>
                  </w:r>
                </w:p>
              </w:tc>
            </w:tr>
            <w:tr w14:paraId="64E77F0E">
              <w:tblPrEx>
                <w:tblCellMar>
                  <w:top w:w="0" w:type="dxa"/>
                  <w:left w:w="108" w:type="dxa"/>
                  <w:bottom w:w="0" w:type="dxa"/>
                  <w:right w:w="108" w:type="dxa"/>
                </w:tblCellMar>
              </w:tblPrEx>
              <w:trPr>
                <w:trHeight w:val="672"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5E1DBD46">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传输瓶</w:t>
                  </w:r>
                </w:p>
              </w:tc>
              <w:tc>
                <w:tcPr>
                  <w:tcW w:w="3624" w:type="pct"/>
                  <w:tcBorders>
                    <w:top w:val="nil"/>
                    <w:left w:val="nil"/>
                    <w:bottom w:val="single" w:color="auto" w:sz="4" w:space="0"/>
                    <w:right w:val="single" w:color="auto" w:sz="4" w:space="0"/>
                    <w:tl2br w:val="nil"/>
                    <w:tr2bl w:val="nil"/>
                  </w:tcBorders>
                  <w:vAlign w:val="center"/>
                </w:tcPr>
                <w:p w14:paraId="781FAE8F">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lang w:val="en-US" w:eastAsia="zh-CN"/>
                    </w:rPr>
                    <w:t>传输所用载体</w:t>
                  </w:r>
                </w:p>
              </w:tc>
            </w:tr>
            <w:tr w14:paraId="033DCEC3">
              <w:tblPrEx>
                <w:tblCellMar>
                  <w:top w:w="0" w:type="dxa"/>
                  <w:left w:w="108" w:type="dxa"/>
                  <w:bottom w:w="0" w:type="dxa"/>
                  <w:right w:w="108" w:type="dxa"/>
                </w:tblCellMar>
              </w:tblPrEx>
              <w:trPr>
                <w:trHeight w:val="650"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79DEE5F9">
                  <w:pPr>
                    <w:keepNext w:val="0"/>
                    <w:keepLines w:val="0"/>
                    <w:widowControl/>
                    <w:suppressLineNumbers w:val="0"/>
                    <w:jc w:val="center"/>
                    <w:rPr>
                      <w:rFonts w:hint="eastAsia" w:ascii="仿宋" w:hAnsi="仿宋" w:eastAsia="仿宋" w:cs="仿宋"/>
                      <w:color w:val="000000"/>
                      <w:kern w:val="0"/>
                      <w:szCs w:val="21"/>
                    </w:rPr>
                  </w:pPr>
                  <w:r>
                    <w:rPr>
                      <w:rFonts w:hint="eastAsia" w:ascii="仿宋" w:hAnsi="仿宋" w:eastAsia="仿宋" w:cs="仿宋"/>
                      <w:color w:val="000000"/>
                      <w:kern w:val="0"/>
                      <w:sz w:val="21"/>
                      <w:szCs w:val="21"/>
                      <w:lang w:val="en-US" w:eastAsia="zh-CN" w:bidi="ar"/>
                    </w:rPr>
                    <w:t>接瓶筐</w:t>
                  </w:r>
                </w:p>
              </w:tc>
              <w:tc>
                <w:tcPr>
                  <w:tcW w:w="3624" w:type="pct"/>
                  <w:tcBorders>
                    <w:top w:val="nil"/>
                    <w:left w:val="nil"/>
                    <w:bottom w:val="single" w:color="auto" w:sz="4" w:space="0"/>
                    <w:right w:val="single" w:color="auto" w:sz="4" w:space="0"/>
                    <w:tl2br w:val="nil"/>
                    <w:tr2bl w:val="nil"/>
                  </w:tcBorders>
                  <w:vAlign w:val="center"/>
                </w:tcPr>
                <w:p w14:paraId="407AE8C9">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lang w:val="en-US" w:eastAsia="zh-CN"/>
                    </w:rPr>
                    <w:t>传输瓶到站后接收装置</w:t>
                  </w:r>
                </w:p>
              </w:tc>
            </w:tr>
            <w:tr w14:paraId="3BFAC575">
              <w:tblPrEx>
                <w:tblCellMar>
                  <w:top w:w="0" w:type="dxa"/>
                  <w:left w:w="108" w:type="dxa"/>
                  <w:bottom w:w="0" w:type="dxa"/>
                  <w:right w:w="108" w:type="dxa"/>
                </w:tblCellMar>
              </w:tblPrEx>
              <w:trPr>
                <w:trHeight w:val="577"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52BEEE7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直管</w:t>
                  </w:r>
                </w:p>
              </w:tc>
              <w:tc>
                <w:tcPr>
                  <w:tcW w:w="3624" w:type="pct"/>
                  <w:tcBorders>
                    <w:top w:val="nil"/>
                    <w:left w:val="nil"/>
                    <w:bottom w:val="single" w:color="auto" w:sz="4" w:space="0"/>
                    <w:right w:val="single" w:color="auto" w:sz="4" w:space="0"/>
                    <w:tl2br w:val="nil"/>
                    <w:tr2bl w:val="nil"/>
                  </w:tcBorders>
                  <w:vAlign w:val="center"/>
                </w:tcPr>
                <w:p w14:paraId="2C59ED39">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不锈钢直管</w:t>
                  </w:r>
                </w:p>
              </w:tc>
            </w:tr>
            <w:tr w14:paraId="5F70AF84">
              <w:tblPrEx>
                <w:tblCellMar>
                  <w:top w:w="0" w:type="dxa"/>
                  <w:left w:w="108" w:type="dxa"/>
                  <w:bottom w:w="0" w:type="dxa"/>
                  <w:right w:w="108" w:type="dxa"/>
                </w:tblCellMar>
              </w:tblPrEx>
              <w:trPr>
                <w:trHeight w:val="522"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2006EBDF">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弯管</w:t>
                  </w:r>
                </w:p>
              </w:tc>
              <w:tc>
                <w:tcPr>
                  <w:tcW w:w="3624" w:type="pct"/>
                  <w:tcBorders>
                    <w:top w:val="nil"/>
                    <w:left w:val="nil"/>
                    <w:bottom w:val="single" w:color="auto" w:sz="4" w:space="0"/>
                    <w:right w:val="single" w:color="auto" w:sz="4" w:space="0"/>
                    <w:tl2br w:val="nil"/>
                    <w:tr2bl w:val="nil"/>
                  </w:tcBorders>
                  <w:vAlign w:val="center"/>
                </w:tcPr>
                <w:p w14:paraId="54455D7C">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不锈钢</w:t>
                  </w:r>
                  <w:r>
                    <w:rPr>
                      <w:rFonts w:hint="eastAsia" w:ascii="仿宋" w:hAnsi="仿宋" w:eastAsia="仿宋" w:cs="仿宋"/>
                      <w:kern w:val="0"/>
                      <w:szCs w:val="21"/>
                    </w:rPr>
                    <w:t>弯</w:t>
                  </w:r>
                  <w:r>
                    <w:rPr>
                      <w:rFonts w:hint="eastAsia" w:ascii="仿宋" w:hAnsi="仿宋" w:eastAsia="仿宋" w:cs="仿宋"/>
                      <w:color w:val="000000"/>
                      <w:kern w:val="0"/>
                      <w:szCs w:val="21"/>
                    </w:rPr>
                    <w:t>管</w:t>
                  </w:r>
                </w:p>
              </w:tc>
            </w:tr>
            <w:tr w14:paraId="0B65E5CA">
              <w:tblPrEx>
                <w:tblCellMar>
                  <w:top w:w="0" w:type="dxa"/>
                  <w:left w:w="108" w:type="dxa"/>
                  <w:bottom w:w="0" w:type="dxa"/>
                  <w:right w:w="108" w:type="dxa"/>
                </w:tblCellMar>
              </w:tblPrEx>
              <w:trPr>
                <w:trHeight w:val="507"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5C78620D">
                  <w:pPr>
                    <w:keepNext w:val="0"/>
                    <w:keepLines w:val="0"/>
                    <w:widowControl/>
                    <w:suppressLineNumbers w:val="0"/>
                    <w:jc w:val="center"/>
                    <w:rPr>
                      <w:rFonts w:hint="eastAsia" w:ascii="仿宋" w:hAnsi="仿宋" w:eastAsia="仿宋" w:cs="仿宋"/>
                      <w:color w:val="000000"/>
                      <w:kern w:val="0"/>
                      <w:szCs w:val="21"/>
                      <w:lang w:bidi="ar"/>
                    </w:rPr>
                  </w:pPr>
                  <w:r>
                    <w:rPr>
                      <w:rFonts w:hint="eastAsia" w:ascii="仿宋" w:hAnsi="仿宋" w:eastAsia="仿宋" w:cs="仿宋"/>
                      <w:color w:val="000000"/>
                      <w:kern w:val="0"/>
                      <w:sz w:val="21"/>
                      <w:szCs w:val="21"/>
                      <w:lang w:val="en-US" w:eastAsia="zh-CN" w:bidi="ar"/>
                    </w:rPr>
                    <w:t>防雷接地</w:t>
                  </w:r>
                </w:p>
              </w:tc>
              <w:tc>
                <w:tcPr>
                  <w:tcW w:w="3624" w:type="pct"/>
                  <w:tcBorders>
                    <w:top w:val="nil"/>
                    <w:left w:val="nil"/>
                    <w:bottom w:val="single" w:color="auto" w:sz="4" w:space="0"/>
                    <w:right w:val="single" w:color="auto" w:sz="4" w:space="0"/>
                    <w:tl2br w:val="nil"/>
                    <w:tr2bl w:val="nil"/>
                  </w:tcBorders>
                  <w:vAlign w:val="center"/>
                </w:tcPr>
                <w:p w14:paraId="1562BCE5">
                  <w:pPr>
                    <w:widowControl/>
                    <w:jc w:val="center"/>
                    <w:rPr>
                      <w:rFonts w:hint="eastAsia" w:ascii="仿宋" w:hAnsi="仿宋" w:eastAsia="仿宋" w:cs="仿宋"/>
                      <w:color w:val="000000"/>
                      <w:kern w:val="0"/>
                      <w:szCs w:val="21"/>
                      <w:lang w:bidi="ar"/>
                    </w:rPr>
                  </w:pPr>
                  <w:r>
                    <w:rPr>
                      <w:rFonts w:hint="eastAsia" w:ascii="仿宋" w:hAnsi="仿宋" w:eastAsia="仿宋" w:cs="仿宋"/>
                      <w:color w:val="000000"/>
                      <w:kern w:val="0"/>
                      <w:sz w:val="21"/>
                      <w:szCs w:val="21"/>
                      <w:lang w:val="en-US" w:eastAsia="zh-CN" w:bidi="ar"/>
                    </w:rPr>
                    <w:t>防雷接地</w:t>
                  </w:r>
                </w:p>
              </w:tc>
            </w:tr>
            <w:tr w14:paraId="3B2819FD">
              <w:tblPrEx>
                <w:tblCellMar>
                  <w:top w:w="0" w:type="dxa"/>
                  <w:left w:w="108" w:type="dxa"/>
                  <w:bottom w:w="0" w:type="dxa"/>
                  <w:right w:w="108" w:type="dxa"/>
                </w:tblCellMar>
              </w:tblPrEx>
              <w:trPr>
                <w:trHeight w:val="490"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6459C953">
                  <w:pPr>
                    <w:keepNext w:val="0"/>
                    <w:keepLines w:val="0"/>
                    <w:widowControl/>
                    <w:suppressLineNumbers w:val="0"/>
                    <w:jc w:val="center"/>
                    <w:rPr>
                      <w:rFonts w:hint="eastAsia" w:ascii="仿宋" w:hAnsi="仿宋" w:eastAsia="仿宋" w:cs="仿宋"/>
                      <w:color w:val="000000"/>
                      <w:kern w:val="0"/>
                      <w:szCs w:val="21"/>
                      <w:lang w:bidi="ar"/>
                    </w:rPr>
                  </w:pPr>
                  <w:r>
                    <w:rPr>
                      <w:rFonts w:hint="eastAsia" w:ascii="仿宋" w:hAnsi="仿宋" w:eastAsia="仿宋" w:cs="仿宋"/>
                      <w:color w:val="000000"/>
                      <w:kern w:val="0"/>
                      <w:sz w:val="21"/>
                      <w:szCs w:val="21"/>
                      <w:lang w:val="en-US" w:eastAsia="zh-CN" w:bidi="ar"/>
                    </w:rPr>
                    <w:t>配电系统</w:t>
                  </w:r>
                </w:p>
              </w:tc>
              <w:tc>
                <w:tcPr>
                  <w:tcW w:w="3624" w:type="pct"/>
                  <w:tcBorders>
                    <w:top w:val="nil"/>
                    <w:left w:val="nil"/>
                    <w:bottom w:val="single" w:color="auto" w:sz="4" w:space="0"/>
                    <w:right w:val="single" w:color="auto" w:sz="4" w:space="0"/>
                    <w:tl2br w:val="nil"/>
                    <w:tr2bl w:val="nil"/>
                  </w:tcBorders>
                  <w:vAlign w:val="center"/>
                </w:tcPr>
                <w:p w14:paraId="613F155E">
                  <w:pPr>
                    <w:widowControl/>
                    <w:jc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val="en-US" w:eastAsia="zh-CN" w:bidi="ar"/>
                    </w:rPr>
                    <w:t>系统配电</w:t>
                  </w:r>
                </w:p>
              </w:tc>
            </w:tr>
            <w:tr w14:paraId="164617EC">
              <w:tblPrEx>
                <w:tblCellMar>
                  <w:top w:w="0" w:type="dxa"/>
                  <w:left w:w="108" w:type="dxa"/>
                  <w:bottom w:w="0" w:type="dxa"/>
                  <w:right w:w="108" w:type="dxa"/>
                </w:tblCellMar>
              </w:tblPrEx>
              <w:trPr>
                <w:trHeight w:val="490" w:hRule="atLeast"/>
              </w:trPr>
              <w:tc>
                <w:tcPr>
                  <w:tcW w:w="1375" w:type="pct"/>
                  <w:tcBorders>
                    <w:top w:val="nil"/>
                    <w:left w:val="single" w:color="auto" w:sz="4" w:space="0"/>
                    <w:bottom w:val="single" w:color="auto" w:sz="4" w:space="0"/>
                    <w:right w:val="single" w:color="auto" w:sz="4" w:space="0"/>
                    <w:tl2br w:val="nil"/>
                    <w:tr2bl w:val="nil"/>
                  </w:tcBorders>
                  <w:vAlign w:val="center"/>
                </w:tcPr>
                <w:p w14:paraId="7F297B15">
                  <w:pPr>
                    <w:keepNext w:val="0"/>
                    <w:keepLines w:val="0"/>
                    <w:widowControl/>
                    <w:suppressLineNumbers w:val="0"/>
                    <w:jc w:val="center"/>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气动使用系统</w:t>
                  </w:r>
                </w:p>
              </w:tc>
              <w:tc>
                <w:tcPr>
                  <w:tcW w:w="3624" w:type="pct"/>
                  <w:tcBorders>
                    <w:top w:val="nil"/>
                    <w:left w:val="nil"/>
                    <w:bottom w:val="single" w:color="auto" w:sz="4" w:space="0"/>
                    <w:right w:val="single" w:color="auto" w:sz="4" w:space="0"/>
                    <w:tl2br w:val="nil"/>
                    <w:tr2bl w:val="nil"/>
                  </w:tcBorders>
                  <w:vAlign w:val="center"/>
                </w:tcPr>
                <w:p w14:paraId="53358E19">
                  <w:pPr>
                    <w:widowControl/>
                    <w:jc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系统</w:t>
                  </w:r>
                </w:p>
              </w:tc>
            </w:tr>
          </w:tbl>
          <w:p w14:paraId="056EE03E">
            <w:pPr>
              <w:pStyle w:val="2"/>
              <w:rPr>
                <w:rFonts w:hint="default"/>
                <w:lang w:val="en-US" w:eastAsia="zh-CN"/>
              </w:rPr>
            </w:pPr>
          </w:p>
        </w:tc>
        <w:tc>
          <w:tcPr>
            <w:tcW w:w="1699" w:type="dxa"/>
            <w:tcBorders>
              <w:top w:val="single" w:color="auto" w:sz="4" w:space="0"/>
              <w:left w:val="single" w:color="auto" w:sz="4" w:space="0"/>
              <w:bottom w:val="single" w:color="auto" w:sz="4" w:space="0"/>
              <w:right w:val="single" w:color="auto" w:sz="4" w:space="0"/>
            </w:tcBorders>
            <w:vAlign w:val="center"/>
          </w:tcPr>
          <w:p w14:paraId="09C1F0B2">
            <w:pPr>
              <w:ind w:firstLine="440" w:firstLineChars="200"/>
              <w:rPr>
                <w:rFonts w:hint="eastAsia" w:ascii="仿宋" w:hAnsi="仿宋" w:eastAsia="仿宋" w:cs="仿宋"/>
                <w:color w:val="auto"/>
                <w:sz w:val="22"/>
                <w:szCs w:val="22"/>
                <w:lang w:val="en-US" w:eastAsia="zh-CN"/>
              </w:rPr>
            </w:pPr>
          </w:p>
        </w:tc>
      </w:tr>
      <w:tr w14:paraId="755C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1B002238">
            <w:pPr>
              <w:spacing w:after="78"/>
              <w:rPr>
                <w:rFonts w:hint="default"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商务参数</w:t>
            </w: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A833A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1、驻场人员管理要求：</w:t>
            </w:r>
          </w:p>
          <w:p w14:paraId="0B28F91A">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投标单位派驻两名维修工驻点，对系统设备进行日常运行、维护保养和维修服务，每天对设备和机房进行巡检、运行记录、传输桶的查找以及应急抢修。工作时间匹配医院正常运营时段，保障现场问题第一时间处置。</w:t>
            </w:r>
          </w:p>
          <w:p w14:paraId="0C5E4F7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1.2驻场人员负责日常设备巡查、配件领用/登记、配件更换现场配合、备件库管理、台账整理、对接医院各使用科室及后勤管理科，全程协调配件采购、到货、领用及使用全流程。</w:t>
            </w:r>
          </w:p>
          <w:p w14:paraId="5F2A3D6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1.3拟派本项目人员要求具有2年及以上同类项目工作经验，熟悉医院气动物流系统运行标准及院内管理制度。</w:t>
            </w:r>
          </w:p>
        </w:tc>
        <w:tc>
          <w:tcPr>
            <w:tcW w:w="1699" w:type="dxa"/>
            <w:vMerge w:val="restart"/>
            <w:tcBorders>
              <w:top w:val="single" w:color="auto" w:sz="4" w:space="0"/>
              <w:left w:val="single" w:color="auto" w:sz="4" w:space="0"/>
              <w:right w:val="single" w:color="auto" w:sz="4" w:space="0"/>
            </w:tcBorders>
            <w:vAlign w:val="center"/>
          </w:tcPr>
          <w:p w14:paraId="742176C5">
            <w:pPr>
              <w:ind w:firstLine="440" w:firstLineChars="200"/>
              <w:rPr>
                <w:rFonts w:hint="eastAsia" w:ascii="仿宋" w:hAnsi="仿宋" w:eastAsia="仿宋" w:cs="仿宋"/>
                <w:color w:val="auto"/>
                <w:sz w:val="22"/>
                <w:szCs w:val="22"/>
                <w:lang w:val="en-US" w:eastAsia="zh-CN"/>
              </w:rPr>
            </w:pPr>
          </w:p>
        </w:tc>
      </w:tr>
      <w:tr w14:paraId="6D69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528FDA05">
            <w:pPr>
              <w:spacing w:after="78"/>
              <w:ind w:left="0" w:leftChars="0" w:firstLine="0" w:firstLineChars="0"/>
              <w:jc w:val="both"/>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6EBAB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2、档案管理要求：</w:t>
            </w:r>
          </w:p>
          <w:p w14:paraId="1B11AFFD">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2.1维保单位需建立动静态档案管理系统，包括管理制度、交接班制度、操作手册、系统分部图、零配件出入库登记表及使用记录、各项数据检测记录表、设备设施维修记录等。</w:t>
            </w:r>
          </w:p>
          <w:p w14:paraId="74A86694">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2.2定期需对系统的运行情况进行统计分析，提出整改措施，确保物流系统运行良好。</w:t>
            </w:r>
          </w:p>
          <w:p w14:paraId="2A1397E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2.3提供datasheet、站点分解图、站点内部接线图、控制系统说明书等技术资料。</w:t>
            </w:r>
          </w:p>
        </w:tc>
        <w:tc>
          <w:tcPr>
            <w:tcW w:w="1699" w:type="dxa"/>
            <w:vMerge w:val="continue"/>
            <w:tcBorders>
              <w:left w:val="single" w:color="auto" w:sz="4" w:space="0"/>
              <w:right w:val="single" w:color="auto" w:sz="4" w:space="0"/>
            </w:tcBorders>
            <w:vAlign w:val="center"/>
          </w:tcPr>
          <w:p w14:paraId="41762781">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A9B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44107AF">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E5C984">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3、其他要求：</w:t>
            </w:r>
          </w:p>
          <w:p w14:paraId="07F3337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3.1维保期间，如设备因非投标方原因造成损伤、意外破坏、遗失，投标方不承担免费维修或更换的责任，如需维修或更换，经双方书面确认，采购方单独支付维修或更换配件的费用。</w:t>
            </w:r>
          </w:p>
          <w:p w14:paraId="52199A9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3.2投标方需向采购方提交书面季度维护保养报告、应急现场维护工作报告。以上书面报告需双方现场技术负责人签字确认。书面提交5个工作日后，任何一方仍未签字确认，可视为已确认相关内容。</w:t>
            </w:r>
          </w:p>
          <w:p w14:paraId="2B273F2B">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3.3系统进入维保期前，投标方技术人员在采购方协助下为系统提供系统全面检查并对现有系统做出运行状态评估及书面检修报告，经双方签字确认。</w:t>
            </w:r>
          </w:p>
        </w:tc>
        <w:tc>
          <w:tcPr>
            <w:tcW w:w="1699" w:type="dxa"/>
            <w:vMerge w:val="continue"/>
            <w:tcBorders>
              <w:left w:val="single" w:color="auto" w:sz="4" w:space="0"/>
              <w:right w:val="single" w:color="auto" w:sz="4" w:space="0"/>
            </w:tcBorders>
            <w:vAlign w:val="center"/>
          </w:tcPr>
          <w:p w14:paraId="03EBAF93">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624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0ADCBB0">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6EC0C">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4、备件库建设与配件采购和储备要求：</w:t>
            </w:r>
          </w:p>
          <w:p w14:paraId="751E7B1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4.1根据设备损耗规律、历史故障数据，提前储备高频易损配件、核心常用配件，保障故障发生时可快速调取更换，缩短设备停机时间。</w:t>
            </w:r>
          </w:p>
          <w:p w14:paraId="7B25559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4.2建立备件出入库登记制度，做到账物相符，实时跟踪配件库存、使用及补货情况。</w:t>
            </w:r>
          </w:p>
        </w:tc>
        <w:tc>
          <w:tcPr>
            <w:tcW w:w="1699" w:type="dxa"/>
            <w:vMerge w:val="continue"/>
            <w:tcBorders>
              <w:left w:val="single" w:color="auto" w:sz="4" w:space="0"/>
              <w:right w:val="single" w:color="auto" w:sz="4" w:space="0"/>
            </w:tcBorders>
            <w:vAlign w:val="center"/>
          </w:tcPr>
          <w:p w14:paraId="4177F7A8">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E75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6EC8CFD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9C3017">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5、配件质保要求：</w:t>
            </w:r>
          </w:p>
          <w:p w14:paraId="5A0561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5.1本项目所有更换的配件、耗材均提供不少于 1 年免费质保，质保期自配件安装调试合格之日起计算。</w:t>
            </w:r>
          </w:p>
          <w:p w14:paraId="3669202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5.2若项目合同到期，但对应配件仍在质保期内，投标人继续履行质保义务，直至该配件质保期满，质保期内非人为损坏免费维修、更换。</w:t>
            </w:r>
          </w:p>
        </w:tc>
        <w:tc>
          <w:tcPr>
            <w:tcW w:w="1699" w:type="dxa"/>
            <w:vMerge w:val="continue"/>
            <w:tcBorders>
              <w:left w:val="single" w:color="auto" w:sz="4" w:space="0"/>
              <w:right w:val="single" w:color="auto" w:sz="4" w:space="0"/>
            </w:tcBorders>
            <w:vAlign w:val="center"/>
          </w:tcPr>
          <w:p w14:paraId="7E1DDEDF">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C6A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right w:val="single" w:color="auto" w:sz="4" w:space="0"/>
            </w:tcBorders>
            <w:shd w:val="clear" w:color="auto" w:fill="auto"/>
            <w:vAlign w:val="center"/>
          </w:tcPr>
          <w:p w14:paraId="5EB6CBC6">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16878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6、应急处置机制要求：</w:t>
            </w:r>
          </w:p>
          <w:p w14:paraId="628430A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6.1建立7×24 小时突发事故应急处理机制（甲方为维修人员提供办公位，但不提供宿舍），设立专项应急联络电话，确保医院设备故障、系统异常、突发停机等情况可随时联系响应。</w:t>
            </w:r>
          </w:p>
          <w:p w14:paraId="517E9530">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6.2接到应急报修后，维修人员2小时内到场处置；重大故障、复杂故障，服务商须增派专业技术人员赶赴现场抢修，最大限度降低设备停机对临床诊疗、检验工作的影响。</w:t>
            </w:r>
          </w:p>
          <w:p w14:paraId="66AE6D22">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6.3制定应急抢修流程、重大故障处置预案，定期复盘应急事件处置情况。</w:t>
            </w:r>
          </w:p>
        </w:tc>
        <w:tc>
          <w:tcPr>
            <w:tcW w:w="1699" w:type="dxa"/>
            <w:vMerge w:val="continue"/>
            <w:tcBorders>
              <w:left w:val="single" w:color="auto" w:sz="4" w:space="0"/>
              <w:right w:val="single" w:color="auto" w:sz="4" w:space="0"/>
            </w:tcBorders>
            <w:vAlign w:val="center"/>
          </w:tcPr>
          <w:p w14:paraId="3827296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D2E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0B386C9D">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97F22F">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7、维保承诺：</w:t>
            </w:r>
          </w:p>
          <w:p w14:paraId="6FCA5A34">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7.1承诺所范围内所有工作独立按期完成，若因技术等原因无法完成的，中标供应商外聘第三方技术支持，费用由中标供应商承担。</w:t>
            </w:r>
          </w:p>
          <w:p w14:paraId="62C9FD6F">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7.2所有维护、维修行为均建立档案，双方存底。</w:t>
            </w:r>
          </w:p>
          <w:p w14:paraId="69C8F417">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7.3保证易耗零配件及普通配件充足可靠，建立备件库，确保备件使用及时。</w:t>
            </w:r>
          </w:p>
          <w:p w14:paraId="1A012B59">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7.4提供日常巡查计划，月、季、年度维保的详细工作计划。认真做好运行、维修、保养记录、每月对物流系统运行情况评估报告给于采购方。以上资料作为甲方付款的重要参考依据，需设专人管理，以备查询。</w:t>
            </w:r>
          </w:p>
        </w:tc>
        <w:tc>
          <w:tcPr>
            <w:tcW w:w="1699" w:type="dxa"/>
            <w:vMerge w:val="continue"/>
            <w:tcBorders>
              <w:left w:val="single" w:color="auto" w:sz="4" w:space="0"/>
              <w:bottom w:val="single" w:color="auto" w:sz="4" w:space="0"/>
              <w:right w:val="single" w:color="auto" w:sz="4" w:space="0"/>
            </w:tcBorders>
            <w:vAlign w:val="center"/>
          </w:tcPr>
          <w:p w14:paraId="5B5770D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C45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40FC8A6C">
            <w:pPr>
              <w:spacing w:after="78"/>
              <w:ind w:left="0" w:leftChars="0" w:firstLine="0" w:firstLineChars="0"/>
              <w:jc w:val="both"/>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3E8FF8">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 xml:space="preserve">2、投标人应根据其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若评审委员会成员对是否需由投标人作出报价合理性说明，以及书面说明是否采纳等判断不一致的，按照“少数服从多数”的原则确定评审委员会的意见。 </w:t>
            </w:r>
          </w:p>
        </w:tc>
        <w:tc>
          <w:tcPr>
            <w:tcW w:w="1699" w:type="dxa"/>
            <w:vMerge w:val="continue"/>
            <w:tcBorders>
              <w:left w:val="single" w:color="auto" w:sz="4" w:space="0"/>
              <w:right w:val="single" w:color="auto" w:sz="4" w:space="0"/>
            </w:tcBorders>
            <w:vAlign w:val="center"/>
          </w:tcPr>
          <w:p w14:paraId="1B017F89">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A33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28DE5A2E">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4AF063">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3、投标人的投标报价不得超过预算限额，如设投标最高限价的，报价不得超过最高限价。</w:t>
            </w:r>
          </w:p>
        </w:tc>
        <w:tc>
          <w:tcPr>
            <w:tcW w:w="1699" w:type="dxa"/>
            <w:vMerge w:val="continue"/>
            <w:tcBorders>
              <w:left w:val="single" w:color="auto" w:sz="4" w:space="0"/>
              <w:right w:val="single" w:color="auto" w:sz="4" w:space="0"/>
            </w:tcBorders>
            <w:vAlign w:val="center"/>
          </w:tcPr>
          <w:p w14:paraId="15AAFEF9">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80C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444D149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54EDA8">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4、投标人的投标报价，应是本项目招标范围和招标文件及合同条款上所列的各项内容中所述的全部，不得以任何理由予以重复，并以投标人在中提出的综合单价或总价为依据。</w:t>
            </w:r>
          </w:p>
        </w:tc>
        <w:tc>
          <w:tcPr>
            <w:tcW w:w="1699" w:type="dxa"/>
            <w:vMerge w:val="continue"/>
            <w:tcBorders>
              <w:left w:val="single" w:color="auto" w:sz="4" w:space="0"/>
              <w:right w:val="single" w:color="auto" w:sz="4" w:space="0"/>
            </w:tcBorders>
            <w:vAlign w:val="center"/>
          </w:tcPr>
          <w:p w14:paraId="28B27C5B">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738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203403C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9CB36">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除非政府集中采购机构通过修改招标文件予以更正，否则，投标人应毫无例外地按招标文件所列的清单中项目和数量填报综合单价和合价。投标人未填综合单价或合价的项目，视作该项费用已包括在其它有价款的综合单价或合价内。</w:t>
            </w:r>
          </w:p>
        </w:tc>
        <w:tc>
          <w:tcPr>
            <w:tcW w:w="1699" w:type="dxa"/>
            <w:vMerge w:val="continue"/>
            <w:tcBorders>
              <w:left w:val="single" w:color="auto" w:sz="4" w:space="0"/>
              <w:right w:val="single" w:color="auto" w:sz="4" w:space="0"/>
            </w:tcBorders>
            <w:vAlign w:val="center"/>
          </w:tcPr>
          <w:p w14:paraId="5B625B96">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C17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right w:val="single" w:color="auto" w:sz="4" w:space="0"/>
            </w:tcBorders>
            <w:shd w:val="clear" w:color="auto" w:fill="auto"/>
            <w:vAlign w:val="center"/>
          </w:tcPr>
          <w:p w14:paraId="59C9DAE5">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83CBE5">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6、投标人应先到项目地点踏勘以充分了解项目的位置、情况、道路及任何其它足以影响投标报价的情况，任何因忽视或误解项目情况而导致的索赔或服务期限延长申请将不获批准。</w:t>
            </w:r>
          </w:p>
        </w:tc>
        <w:tc>
          <w:tcPr>
            <w:tcW w:w="1699" w:type="dxa"/>
            <w:vMerge w:val="continue"/>
            <w:tcBorders>
              <w:left w:val="single" w:color="auto" w:sz="4" w:space="0"/>
              <w:right w:val="single" w:color="auto" w:sz="4" w:space="0"/>
            </w:tcBorders>
            <w:vAlign w:val="center"/>
          </w:tcPr>
          <w:p w14:paraId="7725E83B">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727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476D7CC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540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2C9111">
            <w:pPr>
              <w:numPr>
                <w:ilvl w:val="255"/>
                <w:numId w:val="0"/>
              </w:num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7、投标人不得期望通过索赔等方式获取补偿，否则，除可能遭到拒绝外，还可能将被作为不良行为记录在案，并可能影响其以后参加政府采购的项目投标。各投标人在投标报价时，应充分考虑投标报价的风险。</w:t>
            </w:r>
          </w:p>
        </w:tc>
        <w:tc>
          <w:tcPr>
            <w:tcW w:w="1699" w:type="dxa"/>
            <w:vMerge w:val="continue"/>
            <w:tcBorders>
              <w:left w:val="single" w:color="auto" w:sz="4" w:space="0"/>
              <w:bottom w:val="single" w:color="auto" w:sz="4" w:space="0"/>
              <w:right w:val="single" w:color="auto" w:sz="4" w:space="0"/>
            </w:tcBorders>
            <w:vAlign w:val="center"/>
          </w:tcPr>
          <w:p w14:paraId="0117DC5A">
            <w:pPr>
              <w:spacing w:after="78"/>
              <w:ind w:left="0" w:leftChars="0" w:firstLine="0" w:firstLineChars="0"/>
              <w:jc w:val="both"/>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3146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6"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20154DAE">
            <w:pPr>
              <w:spacing w:after="78"/>
              <w:rPr>
                <w:rFonts w:hint="eastAsia"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技术参数</w:t>
            </w: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14:paraId="1D1A057A">
            <w:pPr>
              <w:spacing w:line="420" w:lineRule="exact"/>
              <w:jc w:val="center"/>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宋体"/>
                <w:sz w:val="24"/>
                <w:lang w:val="en-US" w:eastAsia="zh-CN"/>
              </w:rPr>
              <w:t>维保服务要求</w:t>
            </w:r>
          </w:p>
        </w:tc>
        <w:tc>
          <w:tcPr>
            <w:tcW w:w="4435" w:type="dxa"/>
            <w:tcBorders>
              <w:top w:val="single" w:color="auto" w:sz="4" w:space="0"/>
              <w:left w:val="single" w:color="auto" w:sz="4" w:space="0"/>
              <w:right w:val="single" w:color="auto" w:sz="4" w:space="0"/>
            </w:tcBorders>
            <w:shd w:val="clear" w:color="auto" w:fill="auto"/>
            <w:vAlign w:val="center"/>
          </w:tcPr>
          <w:p w14:paraId="0ECE3B8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1、定期每季对站点、配套器具的使用及运行进行检查、维护；</w:t>
            </w:r>
          </w:p>
          <w:p w14:paraId="21E4863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2、每季度对风机、转换器等运行情况进行检查、维护；</w:t>
            </w:r>
          </w:p>
          <w:p w14:paraId="7A89BC5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3、对检查发现的问题及缺陷进行维修，对各部件，如感应器、链条、密封圈、轴承、发送筒、接收槽、马达、线路板、传输瓶等进行检查、维护保养；</w:t>
            </w:r>
          </w:p>
          <w:p w14:paraId="2A6B5597">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4、在系统的维护及检查过程中，书面列出定期需要更换的部件；</w:t>
            </w:r>
          </w:p>
          <w:p w14:paraId="701835E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5、通过远程网络技术对系统进行监控，如故障在现场不能及时解决的情况下，快速通过远程实现技术支持，保证及时快速响应及解决设备问题；</w:t>
            </w:r>
          </w:p>
          <w:p w14:paraId="5104163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6、如有新设备启用，对原有软件及设备程序进行系统升级、对接；</w:t>
            </w:r>
          </w:p>
          <w:p w14:paraId="5764066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7、需清理设备内的灰尘、机房灰尘，对设备进行清洁；</w:t>
            </w:r>
          </w:p>
          <w:p w14:paraId="09D18C8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8、系统是否按照最优方案运行，等待时间比例，各部门使用比例等；</w:t>
            </w:r>
          </w:p>
          <w:p w14:paraId="64A2D04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9、工作站的控制面板、按键是否灵敏；</w:t>
            </w:r>
          </w:p>
          <w:p w14:paraId="14C6C44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10、工作站发送筒及接收槽是否稳固，密封圈是否完好、感应器是否灵敏等；</w:t>
            </w:r>
          </w:p>
          <w:p w14:paraId="3ED01368">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11、转换器是否灵敏、有无堵塞、刮碰传输瓶等情况，转换节点是否需润滑；</w:t>
            </w:r>
          </w:p>
          <w:p w14:paraId="1670407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12、空压机降噪、送风是否稳定，各部件是否需润滑，空压机每月巡查每季度维护；</w:t>
            </w:r>
          </w:p>
          <w:p w14:paraId="34A37AA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13、传输瓶海绵衬垫、摩擦带和锁扣是否需更换，瓶体有无破损；</w:t>
            </w:r>
          </w:p>
          <w:p w14:paraId="06EF583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14、控制中心的硬件运行情况，定期数据备份以及电脑清理等；</w:t>
            </w:r>
          </w:p>
          <w:p w14:paraId="05EDC755">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15、控制线有无破损等；</w:t>
            </w:r>
          </w:p>
          <w:p w14:paraId="6BFD907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16、更换部件时进行设备内部清洁和测试，更换完毕后要进行恢复测试，正常方可恢复使用。</w:t>
            </w:r>
          </w:p>
        </w:tc>
        <w:tc>
          <w:tcPr>
            <w:tcW w:w="1699" w:type="dxa"/>
            <w:tcBorders>
              <w:top w:val="single" w:color="auto" w:sz="4" w:space="0"/>
              <w:left w:val="single" w:color="auto" w:sz="4" w:space="0"/>
              <w:right w:val="single" w:color="auto" w:sz="4" w:space="0"/>
            </w:tcBorders>
            <w:vAlign w:val="center"/>
          </w:tcPr>
          <w:p w14:paraId="0B4DAF28">
            <w:pPr>
              <w:ind w:firstLine="440" w:firstLineChars="200"/>
              <w:rPr>
                <w:rFonts w:hint="eastAsia" w:ascii="仿宋" w:hAnsi="仿宋" w:eastAsia="仿宋" w:cs="仿宋"/>
                <w:color w:val="auto"/>
                <w:sz w:val="22"/>
                <w:szCs w:val="22"/>
                <w:lang w:val="en-US" w:eastAsia="zh-CN"/>
              </w:rPr>
            </w:pPr>
          </w:p>
        </w:tc>
      </w:tr>
      <w:tr w14:paraId="3A39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1290" w:type="dxa"/>
            <w:vMerge w:val="continue"/>
            <w:tcBorders>
              <w:left w:val="single" w:color="auto" w:sz="4" w:space="0"/>
              <w:right w:val="single" w:color="auto" w:sz="4" w:space="0"/>
            </w:tcBorders>
            <w:shd w:val="clear" w:color="auto" w:fill="auto"/>
            <w:vAlign w:val="center"/>
          </w:tcPr>
          <w:p w14:paraId="61F2DBAF">
            <w:pPr>
              <w:spacing w:after="78"/>
              <w:ind w:left="0" w:leftChars="0" w:firstLine="0" w:firstLineChars="0"/>
            </w:pPr>
          </w:p>
        </w:tc>
        <w:tc>
          <w:tcPr>
            <w:tcW w:w="971" w:type="dxa"/>
            <w:vMerge w:val="restart"/>
            <w:tcBorders>
              <w:top w:val="single" w:color="auto" w:sz="4" w:space="0"/>
              <w:left w:val="single" w:color="auto" w:sz="4" w:space="0"/>
              <w:right w:val="single" w:color="auto" w:sz="4" w:space="0"/>
            </w:tcBorders>
            <w:shd w:val="clear" w:color="auto" w:fill="auto"/>
            <w:vAlign w:val="center"/>
          </w:tcPr>
          <w:p w14:paraId="5F4DB6D8">
            <w:pPr>
              <w:spacing w:line="420" w:lineRule="exact"/>
              <w:jc w:val="center"/>
              <w:rPr>
                <w:rFonts w:hint="default"/>
                <w:lang w:val="en-US"/>
              </w:rPr>
            </w:pPr>
            <w:r>
              <w:rPr>
                <w:rFonts w:hint="eastAsia" w:ascii="仿宋" w:hAnsi="仿宋" w:eastAsia="仿宋" w:cs="宋体"/>
                <w:sz w:val="24"/>
              </w:rPr>
              <w:t>点检项目</w:t>
            </w:r>
            <w:r>
              <w:rPr>
                <w:rFonts w:hint="eastAsia" w:ascii="仿宋" w:hAnsi="仿宋" w:eastAsia="仿宋" w:cs="宋体"/>
                <w:sz w:val="24"/>
                <w:lang w:val="en-US" w:eastAsia="zh-CN"/>
              </w:rPr>
              <w:t>（</w:t>
            </w:r>
            <w:r>
              <w:rPr>
                <w:rFonts w:hint="eastAsia" w:ascii="仿宋" w:hAnsi="仿宋" w:eastAsia="仿宋" w:cs="宋体"/>
                <w:sz w:val="24"/>
              </w:rPr>
              <w:t>周点检表</w:t>
            </w:r>
            <w:r>
              <w:rPr>
                <w:rFonts w:hint="eastAsia" w:ascii="仿宋" w:hAnsi="仿宋" w:eastAsia="仿宋" w:cs="宋体"/>
                <w:sz w:val="24"/>
                <w:lang w:val="en-US" w:eastAsia="zh-CN"/>
              </w:rPr>
              <w:t>）</w:t>
            </w:r>
          </w:p>
        </w:tc>
        <w:tc>
          <w:tcPr>
            <w:tcW w:w="4435" w:type="dxa"/>
            <w:tcBorders>
              <w:top w:val="single" w:color="auto" w:sz="4" w:space="0"/>
              <w:left w:val="single" w:color="auto" w:sz="4" w:space="0"/>
              <w:right w:val="single" w:color="auto" w:sz="4" w:space="0"/>
            </w:tcBorders>
            <w:shd w:val="clear" w:color="auto" w:fill="auto"/>
            <w:vAlign w:val="center"/>
          </w:tcPr>
          <w:p w14:paraId="42530862">
            <w:pPr>
              <w:pStyle w:val="3"/>
              <w:keepNext w:val="0"/>
              <w:keepLines w:val="0"/>
              <w:pageBreakBefore w:val="0"/>
              <w:widowControl w:val="0"/>
              <w:kinsoku/>
              <w:wordWrap/>
              <w:overflowPunct/>
              <w:topLinePunct w:val="0"/>
              <w:autoSpaceDE/>
              <w:autoSpaceDN/>
              <w:bidi w:val="0"/>
              <w:adjustRightInd/>
              <w:snapToGrid/>
              <w:spacing w:line="0" w:lineRule="atLeast"/>
              <w:ind w:left="0" w:firstLine="0" w:firstLineChars="0"/>
              <w:rPr>
                <w:rFonts w:hint="eastAsia" w:eastAsiaTheme="minorEastAsia"/>
                <w:sz w:val="21"/>
                <w:szCs w:val="21"/>
                <w:lang w:eastAsia="zh-CN"/>
              </w:rPr>
            </w:pPr>
          </w:p>
          <w:p w14:paraId="19B9237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1、气动站点</w:t>
            </w:r>
          </w:p>
          <w:p w14:paraId="676AA7C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1.1站点外观整洁无污物 ，无积灰。</w:t>
            </w:r>
          </w:p>
          <w:p w14:paraId="3FE7487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1.2站点触摸屏显示清楚 ，操作流畅 ，无模糊。</w:t>
            </w:r>
          </w:p>
          <w:p w14:paraId="2118A9E1">
            <w:pPr>
              <w:pStyle w:val="2"/>
              <w:keepNext w:val="0"/>
              <w:keepLines w:val="0"/>
              <w:pageBreakBefore w:val="0"/>
              <w:widowControl w:val="0"/>
              <w:kinsoku/>
              <w:wordWrap/>
              <w:overflowPunct/>
              <w:topLinePunct w:val="0"/>
              <w:autoSpaceDE/>
              <w:autoSpaceDN/>
              <w:bidi w:val="0"/>
              <w:adjustRightInd/>
              <w:snapToGrid/>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1.3站点管道连接处对位正常 ，抱箍紧固无松动。</w:t>
            </w:r>
          </w:p>
          <w:p w14:paraId="104D24E8">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1.4站点内部各类电源线、信号线整齐无破损 ，无挤压 ，接线处/接线头正常无松动 ，无毛刺 ，无裸露。</w:t>
            </w:r>
          </w:p>
          <w:p w14:paraId="1FAFE998">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1.5站点内部接收器表面干净无积灰 ，行动顺畅 ，灵活 ，到位精准。无漏气 ，缝隙在允许范围内，运行时无尖啸声。</w:t>
            </w:r>
          </w:p>
          <w:p w14:paraId="6EEE81E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1.6站点内部光电传感器整体牢固无松动 ，工作正常 ，感应灵敏 ，指示灯正常显示。</w:t>
            </w:r>
          </w:p>
          <w:p w14:paraId="5CC986E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1.7多发站点多个送瓶口管桶无松动 ，抱箍紧固无松动 ，光电传感器整体牢固无松动 ，工作正常 ，感应灵敏 ，指示灯正常显示。</w:t>
            </w:r>
          </w:p>
          <w:p w14:paraId="32AB9E9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1.8多发站点界面显示正常 ，清晰。</w:t>
            </w:r>
          </w:p>
          <w:p w14:paraId="0A57D004">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1.9多发站点按键正常 ，标注清晰 ，指示灯指示正常。</w:t>
            </w:r>
          </w:p>
        </w:tc>
        <w:tc>
          <w:tcPr>
            <w:tcW w:w="1699" w:type="dxa"/>
            <w:tcBorders>
              <w:left w:val="single" w:color="auto" w:sz="4" w:space="0"/>
              <w:right w:val="single" w:color="auto" w:sz="4" w:space="0"/>
            </w:tcBorders>
            <w:vAlign w:val="center"/>
          </w:tcPr>
          <w:p w14:paraId="2205DD75">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F35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290" w:type="dxa"/>
            <w:vMerge w:val="continue"/>
            <w:tcBorders>
              <w:left w:val="single" w:color="auto" w:sz="4" w:space="0"/>
              <w:right w:val="single" w:color="auto" w:sz="4" w:space="0"/>
            </w:tcBorders>
            <w:shd w:val="clear" w:color="auto" w:fill="auto"/>
            <w:vAlign w:val="center"/>
          </w:tcPr>
          <w:p w14:paraId="00FCEA63">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bottom w:val="single" w:color="auto" w:sz="4" w:space="0"/>
              <w:right w:val="single" w:color="auto" w:sz="4" w:space="0"/>
            </w:tcBorders>
            <w:shd w:val="clear" w:color="auto" w:fill="auto"/>
            <w:vAlign w:val="center"/>
          </w:tcPr>
          <w:p w14:paraId="79B09332">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411936D7">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2、气动瓶</w:t>
            </w:r>
          </w:p>
          <w:p w14:paraId="0857F768">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2.1</w:t>
            </w:r>
            <w:r>
              <w:rPr>
                <w:rFonts w:hint="default" w:ascii="仿宋" w:hAnsi="仿宋" w:eastAsia="仿宋" w:cs="仿宋"/>
                <w:color w:val="000000" w:themeColor="text1"/>
                <w:kern w:val="0"/>
                <w:sz w:val="22"/>
                <w:szCs w:val="22"/>
                <w:lang w:val="en-US" w:eastAsia="zh-CN" w:bidi="ar-SA"/>
                <w14:textFill>
                  <w14:solidFill>
                    <w14:schemeClr w14:val="tx1"/>
                  </w14:solidFill>
                </w14:textFill>
              </w:rPr>
              <w:t>外观整洁 ，无破损</w:t>
            </w:r>
          </w:p>
          <w:p w14:paraId="2B369738">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2.2</w:t>
            </w:r>
            <w:r>
              <w:rPr>
                <w:rFonts w:hint="default" w:ascii="仿宋" w:hAnsi="仿宋" w:eastAsia="仿宋" w:cs="仿宋"/>
                <w:color w:val="000000" w:themeColor="text1"/>
                <w:kern w:val="0"/>
                <w:sz w:val="22"/>
                <w:szCs w:val="22"/>
                <w:lang w:val="en-US" w:eastAsia="zh-CN" w:bidi="ar-SA"/>
                <w14:textFill>
                  <w14:solidFill>
                    <w14:schemeClr w14:val="tx1"/>
                  </w14:solidFill>
                </w14:textFill>
              </w:rPr>
              <w:t>瓶锁正常</w:t>
            </w:r>
          </w:p>
          <w:p w14:paraId="7356C7FF">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2.3</w:t>
            </w:r>
            <w:r>
              <w:rPr>
                <w:rFonts w:hint="default" w:ascii="仿宋" w:hAnsi="仿宋" w:eastAsia="仿宋" w:cs="仿宋"/>
                <w:color w:val="000000" w:themeColor="text1"/>
                <w:kern w:val="0"/>
                <w:sz w:val="22"/>
                <w:szCs w:val="22"/>
                <w:lang w:val="en-US" w:eastAsia="zh-CN" w:bidi="ar-SA"/>
                <w14:textFill>
                  <w14:solidFill>
                    <w14:schemeClr w14:val="tx1"/>
                  </w14:solidFill>
                </w14:textFill>
              </w:rPr>
              <w:t>摩擦带正常</w:t>
            </w:r>
          </w:p>
        </w:tc>
        <w:tc>
          <w:tcPr>
            <w:tcW w:w="1699" w:type="dxa"/>
            <w:tcBorders>
              <w:left w:val="single" w:color="auto" w:sz="4" w:space="0"/>
              <w:bottom w:val="single" w:color="auto" w:sz="4" w:space="0"/>
              <w:right w:val="single" w:color="auto" w:sz="4" w:space="0"/>
            </w:tcBorders>
            <w:vAlign w:val="center"/>
          </w:tcPr>
          <w:p w14:paraId="06A0EE53">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7DC6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290" w:type="dxa"/>
            <w:vMerge w:val="continue"/>
            <w:tcBorders>
              <w:left w:val="single" w:color="auto" w:sz="4" w:space="0"/>
              <w:right w:val="single" w:color="auto" w:sz="4" w:space="0"/>
            </w:tcBorders>
            <w:shd w:val="clear" w:color="auto" w:fill="auto"/>
            <w:vAlign w:val="center"/>
          </w:tcPr>
          <w:p w14:paraId="65AC57ED">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bottom w:val="single" w:color="auto" w:sz="4" w:space="0"/>
              <w:right w:val="single" w:color="auto" w:sz="4" w:space="0"/>
            </w:tcBorders>
            <w:shd w:val="clear" w:color="auto" w:fill="auto"/>
            <w:vAlign w:val="center"/>
          </w:tcPr>
          <w:p w14:paraId="562FED1A">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65F00578">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3、转换器</w:t>
            </w:r>
          </w:p>
          <w:p w14:paraId="61110F9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3.1外观无破损，整洁无油渍 ，表面无积灰</w:t>
            </w:r>
          </w:p>
          <w:p w14:paraId="02EA357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封盖面板螺丝无缺少。</w:t>
            </w:r>
          </w:p>
          <w:p w14:paraId="75F5054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3.2内部各类电源线、信号线整齐无破损。无挤压 ，接线处/接线头正常无松动，无毛刺，无裸露。</w:t>
            </w:r>
          </w:p>
          <w:p w14:paraId="668EBEE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3.3内部光电传感器整体牢固无松动 ，工作正常 ，感应灵敏 ，指示灯正常显示。</w:t>
            </w:r>
          </w:p>
          <w:p w14:paraId="333541A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3.4转换器表面干净无积灰 ，行动顺畅 ，灵活 ，到位精准。缝隙在允许范围内 ，运行时无尖啸声.润滑油满足润滑效果。</w:t>
            </w:r>
          </w:p>
          <w:p w14:paraId="7CB1A5D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3.5转换器固定螺丝松紧度正常。</w:t>
            </w:r>
          </w:p>
        </w:tc>
        <w:tc>
          <w:tcPr>
            <w:tcW w:w="1699" w:type="dxa"/>
            <w:tcBorders>
              <w:left w:val="single" w:color="auto" w:sz="4" w:space="0"/>
              <w:bottom w:val="single" w:color="auto" w:sz="4" w:space="0"/>
              <w:right w:val="single" w:color="auto" w:sz="4" w:space="0"/>
            </w:tcBorders>
            <w:vAlign w:val="center"/>
          </w:tcPr>
          <w:p w14:paraId="5E328BE2">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1D3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290" w:type="dxa"/>
            <w:vMerge w:val="continue"/>
            <w:tcBorders>
              <w:left w:val="single" w:color="auto" w:sz="4" w:space="0"/>
              <w:right w:val="single" w:color="auto" w:sz="4" w:space="0"/>
            </w:tcBorders>
            <w:shd w:val="clear" w:color="auto" w:fill="auto"/>
            <w:vAlign w:val="center"/>
          </w:tcPr>
          <w:p w14:paraId="36B51BCE">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bottom w:val="single" w:color="auto" w:sz="4" w:space="0"/>
              <w:right w:val="single" w:color="auto" w:sz="4" w:space="0"/>
            </w:tcBorders>
            <w:shd w:val="clear" w:color="auto" w:fill="auto"/>
            <w:vAlign w:val="center"/>
          </w:tcPr>
          <w:p w14:paraId="0877A5B1">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6BADA360">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4、压缩风机</w:t>
            </w:r>
          </w:p>
          <w:p w14:paraId="5BAFB44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4.1外观整洁无积灰 ，无破损。</w:t>
            </w:r>
          </w:p>
          <w:p w14:paraId="218CDBD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4.2各固定螺丝或固定件正常无松动。</w:t>
            </w:r>
          </w:p>
          <w:p w14:paraId="5083B6B5">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4.3风机运行正常 ，无异响 ，无抖动 ，无过热。</w:t>
            </w:r>
          </w:p>
          <w:p w14:paraId="354C5C06">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4.4密封进出气孔无破损 ，无泄漏。</w:t>
            </w:r>
          </w:p>
        </w:tc>
        <w:tc>
          <w:tcPr>
            <w:tcW w:w="1699" w:type="dxa"/>
            <w:tcBorders>
              <w:left w:val="single" w:color="auto" w:sz="4" w:space="0"/>
              <w:bottom w:val="single" w:color="auto" w:sz="4" w:space="0"/>
              <w:right w:val="single" w:color="auto" w:sz="4" w:space="0"/>
            </w:tcBorders>
            <w:vAlign w:val="center"/>
          </w:tcPr>
          <w:p w14:paraId="2089FFD8">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36FD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290" w:type="dxa"/>
            <w:vMerge w:val="continue"/>
            <w:tcBorders>
              <w:left w:val="single" w:color="auto" w:sz="4" w:space="0"/>
              <w:right w:val="single" w:color="auto" w:sz="4" w:space="0"/>
            </w:tcBorders>
            <w:shd w:val="clear" w:color="auto" w:fill="auto"/>
            <w:vAlign w:val="center"/>
          </w:tcPr>
          <w:p w14:paraId="3F24E772">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bottom w:val="single" w:color="auto" w:sz="4" w:space="0"/>
              <w:right w:val="single" w:color="auto" w:sz="4" w:space="0"/>
            </w:tcBorders>
            <w:shd w:val="clear" w:color="auto" w:fill="auto"/>
            <w:vAlign w:val="center"/>
          </w:tcPr>
          <w:p w14:paraId="643635B9">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33B7F941">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5、控制中心</w:t>
            </w:r>
          </w:p>
          <w:p w14:paraId="262619F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5.1硬件（电脑，鼠标）整洁，无破损，反应灵敏。</w:t>
            </w:r>
          </w:p>
          <w:p w14:paraId="5DCDA2D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5.2系统显示正常，无卡顿。</w:t>
            </w:r>
          </w:p>
          <w:p w14:paraId="11179B68">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5.3信号显示正常，标注清晰，相互对应.</w:t>
            </w:r>
          </w:p>
        </w:tc>
        <w:tc>
          <w:tcPr>
            <w:tcW w:w="1699" w:type="dxa"/>
            <w:tcBorders>
              <w:left w:val="single" w:color="auto" w:sz="4" w:space="0"/>
              <w:bottom w:val="single" w:color="auto" w:sz="4" w:space="0"/>
              <w:right w:val="single" w:color="auto" w:sz="4" w:space="0"/>
            </w:tcBorders>
            <w:vAlign w:val="center"/>
          </w:tcPr>
          <w:p w14:paraId="0C1DBAA6">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227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06E61862">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0F1EA8A3">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2E7C9E67">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6、管道</w:t>
            </w:r>
          </w:p>
          <w:p w14:paraId="201BF5E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6.1各管径走向稳定 ，明确，无抖动。</w:t>
            </w:r>
          </w:p>
          <w:p w14:paraId="172A8A5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6.2连接处牢固 ，无松动。</w:t>
            </w:r>
          </w:p>
          <w:p w14:paraId="071CAB6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6.3支撑架稳定牢固 ，无松动。</w:t>
            </w:r>
          </w:p>
          <w:p w14:paraId="067378C7">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6.4除排气孔外 ，无漏气 ，无呼啸等异常情况。</w:t>
            </w:r>
          </w:p>
        </w:tc>
        <w:tc>
          <w:tcPr>
            <w:tcW w:w="1699" w:type="dxa"/>
            <w:tcBorders>
              <w:left w:val="single" w:color="auto" w:sz="4" w:space="0"/>
              <w:right w:val="single" w:color="auto" w:sz="4" w:space="0"/>
            </w:tcBorders>
            <w:vAlign w:val="center"/>
          </w:tcPr>
          <w:p w14:paraId="676C3391">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77F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4C3CF7E9">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restart"/>
            <w:tcBorders>
              <w:left w:val="single" w:color="auto" w:sz="4" w:space="0"/>
              <w:right w:val="single" w:color="auto" w:sz="4" w:space="0"/>
            </w:tcBorders>
            <w:shd w:val="clear" w:color="auto" w:fill="auto"/>
            <w:vAlign w:val="center"/>
          </w:tcPr>
          <w:p w14:paraId="3F2DD89F">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点检项目（月点检表）</w:t>
            </w: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615EC5B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1、气动站点</w:t>
            </w:r>
          </w:p>
          <w:p w14:paraId="5C129ED4">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站点外观整洁无污物，无积灰</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02353A1E">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站点标识整洁清晰，内容正确 ，指导性强</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5AF883A2">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站点触摸屏显示清楚无大面积划痕 ，操作流畅，无模糊，反应不灵敏</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4B2A5B25">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站点管道连接处对位正常，抱箍紧固无松动</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76E28E7E">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站点阻挡器工作正常无松动，无卡顿， 固定螺丝牢固</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2373062E">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1.6</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站点内部各类电源线、信号线整齐无破损，无挤压，接线处/接线头正常无松动 ，无毛刺，无裸露</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1579F74A">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1.7</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站点内部 PCB 电路板整体固定无松动，无积灰，各类插件牢固无松动 ，指示灯显示正常。电路板表面无烧灼 ，无鼓包</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1DDDF6BD">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1.8</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站点内部接收器表面干净无积灰 ，行动顺畅 ，灵活 ，到位精准。无漏气 ，缝隙在允许范围内，运行时无尖啸声</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4432358A">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1.9</w:t>
            </w:r>
            <w:r>
              <w:rPr>
                <w:rFonts w:hint="default" w:ascii="仿宋" w:hAnsi="仿宋" w:eastAsia="仿宋" w:cs="仿宋"/>
                <w:color w:val="000000" w:themeColor="text1"/>
                <w:kern w:val="0"/>
                <w:sz w:val="22"/>
                <w:szCs w:val="22"/>
                <w:lang w:val="en-US" w:eastAsia="zh-CN" w:bidi="ar-SA"/>
                <w14:textFill>
                  <w14:solidFill>
                    <w14:schemeClr w14:val="tx1"/>
                  </w14:solidFill>
                </w14:textFill>
              </w:rPr>
              <w:t>站点内部光电传感器整体牢固无松动，工作正常，感应灵敏，指示灯正常显示</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5872954B">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1.10</w:t>
            </w:r>
            <w:r>
              <w:rPr>
                <w:rFonts w:hint="default" w:ascii="仿宋" w:hAnsi="仿宋" w:eastAsia="仿宋" w:cs="仿宋"/>
                <w:color w:val="000000" w:themeColor="text1"/>
                <w:kern w:val="0"/>
                <w:sz w:val="22"/>
                <w:szCs w:val="22"/>
                <w:lang w:val="en-US" w:eastAsia="zh-CN" w:bidi="ar-SA"/>
                <w14:textFill>
                  <w14:solidFill>
                    <w14:schemeClr w14:val="tx1"/>
                  </w14:solidFill>
                </w14:textFill>
              </w:rPr>
              <w:t>多发站点多个送瓶口管桶无松动 ，抱箍紧固无松动 ，光电传感器整体牢固无松动 ，工作正常 ，感应灵敏 ，指示灯正常显示</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755A42AA">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1.11</w:t>
            </w:r>
            <w:r>
              <w:rPr>
                <w:rFonts w:hint="default" w:ascii="仿宋" w:hAnsi="仿宋" w:eastAsia="仿宋" w:cs="仿宋"/>
                <w:color w:val="000000" w:themeColor="text1"/>
                <w:kern w:val="0"/>
                <w:sz w:val="22"/>
                <w:szCs w:val="22"/>
                <w:lang w:val="en-US" w:eastAsia="zh-CN" w:bidi="ar-SA"/>
                <w14:textFill>
                  <w14:solidFill>
                    <w14:schemeClr w14:val="tx1"/>
                  </w14:solidFill>
                </w14:textFill>
              </w:rPr>
              <w:t>多发站点界面显示正常 ，清晰 ，无大面积划痕</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60F7973D">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1.12</w:t>
            </w:r>
            <w:r>
              <w:rPr>
                <w:rFonts w:hint="default" w:ascii="仿宋" w:hAnsi="仿宋" w:eastAsia="仿宋" w:cs="仿宋"/>
                <w:color w:val="000000" w:themeColor="text1"/>
                <w:kern w:val="0"/>
                <w:sz w:val="22"/>
                <w:szCs w:val="22"/>
                <w:lang w:val="en-US" w:eastAsia="zh-CN" w:bidi="ar-SA"/>
                <w14:textFill>
                  <w14:solidFill>
                    <w14:schemeClr w14:val="tx1"/>
                  </w14:solidFill>
                </w14:textFill>
              </w:rPr>
              <w:t>多发站点按键正常 ，标注清晰 ，指示灯指示正常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27A0E275">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p>
        </w:tc>
        <w:tc>
          <w:tcPr>
            <w:tcW w:w="1699" w:type="dxa"/>
            <w:tcBorders>
              <w:left w:val="single" w:color="auto" w:sz="4" w:space="0"/>
              <w:right w:val="single" w:color="auto" w:sz="4" w:space="0"/>
            </w:tcBorders>
            <w:vAlign w:val="center"/>
          </w:tcPr>
          <w:p w14:paraId="3C5D9A0E">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EAE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0F57D077">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3E058259">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2C78B83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2、气动瓶</w:t>
            </w:r>
          </w:p>
          <w:p w14:paraId="3626A745">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2.1</w:t>
            </w:r>
            <w:r>
              <w:rPr>
                <w:rFonts w:hint="default" w:ascii="仿宋" w:hAnsi="仿宋" w:eastAsia="仿宋" w:cs="仿宋"/>
                <w:color w:val="000000" w:themeColor="text1"/>
                <w:kern w:val="0"/>
                <w:sz w:val="22"/>
                <w:szCs w:val="22"/>
                <w:lang w:val="en-US" w:eastAsia="zh-CN" w:bidi="ar-SA"/>
                <w14:textFill>
                  <w14:solidFill>
                    <w14:schemeClr w14:val="tx1"/>
                  </w14:solidFill>
                </w14:textFill>
              </w:rPr>
              <w:t>外观整洁，无破损</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0C944950">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2.2</w:t>
            </w:r>
            <w:r>
              <w:rPr>
                <w:rFonts w:hint="default" w:ascii="仿宋" w:hAnsi="仿宋" w:eastAsia="仿宋" w:cs="仿宋"/>
                <w:color w:val="000000" w:themeColor="text1"/>
                <w:kern w:val="0"/>
                <w:sz w:val="22"/>
                <w:szCs w:val="22"/>
                <w:lang w:val="en-US" w:eastAsia="zh-CN" w:bidi="ar-SA"/>
                <w14:textFill>
                  <w14:solidFill>
                    <w14:schemeClr w14:val="tx1"/>
                  </w14:solidFill>
                </w14:textFill>
              </w:rPr>
              <w:t>瓶锁正常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6E440958">
            <w:pPr>
              <w:spacing w:line="0" w:lineRule="atLeast"/>
              <w:rPr>
                <w:rFonts w:hint="default"/>
                <w:lang w:val="en-US" w:eastAsia="zh-CN"/>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2.3</w:t>
            </w:r>
            <w:r>
              <w:rPr>
                <w:rFonts w:hint="default" w:ascii="仿宋" w:hAnsi="仿宋" w:eastAsia="仿宋" w:cs="仿宋"/>
                <w:color w:val="000000" w:themeColor="text1"/>
                <w:kern w:val="0"/>
                <w:sz w:val="22"/>
                <w:szCs w:val="22"/>
                <w:lang w:val="en-US" w:eastAsia="zh-CN" w:bidi="ar-SA"/>
                <w14:textFill>
                  <w14:solidFill>
                    <w14:schemeClr w14:val="tx1"/>
                  </w14:solidFill>
                </w14:textFill>
              </w:rPr>
              <w:t>摩擦带正常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tc>
        <w:tc>
          <w:tcPr>
            <w:tcW w:w="1699" w:type="dxa"/>
            <w:tcBorders>
              <w:left w:val="single" w:color="auto" w:sz="4" w:space="0"/>
              <w:right w:val="single" w:color="auto" w:sz="4" w:space="0"/>
            </w:tcBorders>
            <w:vAlign w:val="center"/>
          </w:tcPr>
          <w:p w14:paraId="00D32B8E">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AE1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5C6BA42E">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42072615">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24455F47">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3、转换器</w:t>
            </w:r>
          </w:p>
          <w:p w14:paraId="11C9B0F0">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3.1外观无破损，整洁无油渍 ，表面无积灰。</w:t>
            </w:r>
          </w:p>
          <w:p w14:paraId="6DB5D16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3.2内部 PCB 电路板整体固定无松动，无积灰，各类插件牢固无松动 ，指示灯显示正常。电路板表面无烧灼，无鼓包。</w:t>
            </w:r>
          </w:p>
          <w:p w14:paraId="12E7EAB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3.3内部各类电源线、信号线整齐无破损，无挤压，接线处/接线头正常无松动 ，无毛刺，无裸露。</w:t>
            </w:r>
          </w:p>
          <w:p w14:paraId="0548785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3.4内部光电传感器整体牢固无松动，工作正常，感应灵敏，指示灯正常显示。</w:t>
            </w:r>
          </w:p>
          <w:p w14:paraId="61A3AC6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3.5转换器表面干净无积灰，行动顺畅 ，灵活 ，到位精准。缝隙在允许范围内 ，运行时无尖啸声。</w:t>
            </w:r>
          </w:p>
          <w:p w14:paraId="15B6FDA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3.6转换器固定螺丝松紧度正常。</w:t>
            </w:r>
          </w:p>
          <w:p w14:paraId="7940EDA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3.7内部电机运转正常无异响。</w:t>
            </w:r>
          </w:p>
        </w:tc>
        <w:tc>
          <w:tcPr>
            <w:tcW w:w="1699" w:type="dxa"/>
            <w:tcBorders>
              <w:left w:val="single" w:color="auto" w:sz="4" w:space="0"/>
              <w:right w:val="single" w:color="auto" w:sz="4" w:space="0"/>
            </w:tcBorders>
            <w:vAlign w:val="center"/>
          </w:tcPr>
          <w:p w14:paraId="18AE511B">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ABA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73E658A7">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78150669">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638AF18E">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4、压缩风机</w:t>
            </w:r>
          </w:p>
          <w:p w14:paraId="6DC1DD74">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4.1</w:t>
            </w:r>
            <w:r>
              <w:rPr>
                <w:rFonts w:hint="default" w:ascii="仿宋" w:hAnsi="仿宋" w:eastAsia="仿宋" w:cs="仿宋"/>
                <w:color w:val="000000" w:themeColor="text1"/>
                <w:kern w:val="0"/>
                <w:sz w:val="22"/>
                <w:szCs w:val="22"/>
                <w:lang w:val="en-US" w:eastAsia="zh-CN" w:bidi="ar-SA"/>
                <w14:textFill>
                  <w14:solidFill>
                    <w14:schemeClr w14:val="tx1"/>
                  </w14:solidFill>
                </w14:textFill>
              </w:rPr>
              <w:t>外观整洁无积灰 ，无破损</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3BE6BAFA">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4.2</w:t>
            </w:r>
            <w:r>
              <w:rPr>
                <w:rFonts w:hint="default" w:ascii="仿宋" w:hAnsi="仿宋" w:eastAsia="仿宋" w:cs="仿宋"/>
                <w:color w:val="000000" w:themeColor="text1"/>
                <w:kern w:val="0"/>
                <w:sz w:val="22"/>
                <w:szCs w:val="22"/>
                <w:lang w:val="en-US" w:eastAsia="zh-CN" w:bidi="ar-SA"/>
                <w14:textFill>
                  <w14:solidFill>
                    <w14:schemeClr w14:val="tx1"/>
                  </w14:solidFill>
                </w14:textFill>
              </w:rPr>
              <w:t>无漏气 ，无呼啸等异常情况</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4AEAFADB">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4.3</w:t>
            </w:r>
            <w:r>
              <w:rPr>
                <w:rFonts w:hint="default" w:ascii="仿宋" w:hAnsi="仿宋" w:eastAsia="仿宋" w:cs="仿宋"/>
                <w:color w:val="000000" w:themeColor="text1"/>
                <w:kern w:val="0"/>
                <w:sz w:val="22"/>
                <w:szCs w:val="22"/>
                <w:lang w:val="en-US" w:eastAsia="zh-CN" w:bidi="ar-SA"/>
                <w14:textFill>
                  <w14:solidFill>
                    <w14:schemeClr w14:val="tx1"/>
                  </w14:solidFill>
                </w14:textFill>
              </w:rPr>
              <w:t>各固定螺丝或固定件正常无松动</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42F58C51">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4.4</w:t>
            </w:r>
            <w:r>
              <w:rPr>
                <w:rFonts w:hint="default" w:ascii="仿宋" w:hAnsi="仿宋" w:eastAsia="仿宋" w:cs="仿宋"/>
                <w:color w:val="000000" w:themeColor="text1"/>
                <w:kern w:val="0"/>
                <w:sz w:val="22"/>
                <w:szCs w:val="22"/>
                <w:lang w:val="en-US" w:eastAsia="zh-CN" w:bidi="ar-SA"/>
                <w14:textFill>
                  <w14:solidFill>
                    <w14:schemeClr w14:val="tx1"/>
                  </w14:solidFill>
                </w14:textFill>
              </w:rPr>
              <w:t>风机运行正常，无异响，无抖动，无过热。工作效率与电机铭牌标注功率大致相同</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53B2BADB">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4.5</w:t>
            </w:r>
            <w:r>
              <w:rPr>
                <w:rFonts w:hint="default" w:ascii="仿宋" w:hAnsi="仿宋" w:eastAsia="仿宋" w:cs="仿宋"/>
                <w:color w:val="000000" w:themeColor="text1"/>
                <w:kern w:val="0"/>
                <w:sz w:val="22"/>
                <w:szCs w:val="22"/>
                <w:lang w:val="en-US" w:eastAsia="zh-CN" w:bidi="ar-SA"/>
                <w14:textFill>
                  <w14:solidFill>
                    <w14:schemeClr w14:val="tx1"/>
                  </w14:solidFill>
                </w14:textFill>
              </w:rPr>
              <w:t>风机工作电压稳定 ，为 380V，允许上下浮动2-3V，无缺相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50C56747">
            <w:pPr>
              <w:spacing w:line="0" w:lineRule="atLeast"/>
              <w:rPr>
                <w:rFonts w:hint="default"/>
                <w:lang w:val="en-US" w:eastAsia="zh-CN"/>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4.6</w:t>
            </w:r>
            <w:r>
              <w:rPr>
                <w:rFonts w:hint="default" w:ascii="仿宋" w:hAnsi="仿宋" w:eastAsia="仿宋" w:cs="仿宋"/>
                <w:color w:val="000000" w:themeColor="text1"/>
                <w:kern w:val="0"/>
                <w:sz w:val="22"/>
                <w:szCs w:val="22"/>
                <w:lang w:val="en-US" w:eastAsia="zh-CN" w:bidi="ar-SA"/>
                <w14:textFill>
                  <w14:solidFill>
                    <w14:schemeClr w14:val="tx1"/>
                  </w14:solidFill>
                </w14:textFill>
              </w:rPr>
              <w:t>密封进出气孔无破损 ，无泄漏</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tc>
        <w:tc>
          <w:tcPr>
            <w:tcW w:w="1699" w:type="dxa"/>
            <w:tcBorders>
              <w:left w:val="single" w:color="auto" w:sz="4" w:space="0"/>
              <w:right w:val="single" w:color="auto" w:sz="4" w:space="0"/>
            </w:tcBorders>
            <w:vAlign w:val="center"/>
          </w:tcPr>
          <w:p w14:paraId="0FD3398B">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BD4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1CC7E5C0">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1F5D1622">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79D8C38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5、控制中心</w:t>
            </w:r>
          </w:p>
          <w:p w14:paraId="26583AD9">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5.1</w:t>
            </w:r>
            <w:r>
              <w:rPr>
                <w:rFonts w:hint="default" w:ascii="仿宋" w:hAnsi="仿宋" w:eastAsia="仿宋" w:cs="仿宋"/>
                <w:color w:val="000000" w:themeColor="text1"/>
                <w:kern w:val="0"/>
                <w:sz w:val="22"/>
                <w:szCs w:val="22"/>
                <w:lang w:val="en-US" w:eastAsia="zh-CN" w:bidi="ar-SA"/>
                <w14:textFill>
                  <w14:solidFill>
                    <w14:schemeClr w14:val="tx1"/>
                  </w14:solidFill>
                </w14:textFill>
              </w:rPr>
              <w:t>硬件（电脑，鼠标）整洁，无破损，反应灵敏</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1E4C4B43">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5.2</w:t>
            </w:r>
            <w:r>
              <w:rPr>
                <w:rFonts w:hint="default" w:ascii="仿宋" w:hAnsi="仿宋" w:eastAsia="仿宋" w:cs="仿宋"/>
                <w:color w:val="000000" w:themeColor="text1"/>
                <w:kern w:val="0"/>
                <w:sz w:val="22"/>
                <w:szCs w:val="22"/>
                <w:lang w:val="en-US" w:eastAsia="zh-CN" w:bidi="ar-SA"/>
                <w14:textFill>
                  <w14:solidFill>
                    <w14:schemeClr w14:val="tx1"/>
                  </w14:solidFill>
                </w14:textFill>
              </w:rPr>
              <w:t>系统显示正常，无卡顿</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0961F30D">
            <w:pPr>
              <w:spacing w:line="0" w:lineRule="atLeast"/>
              <w:rPr>
                <w:rFonts w:hint="default"/>
                <w:lang w:val="en-US" w:eastAsia="zh-CN"/>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5.3</w:t>
            </w:r>
            <w:r>
              <w:rPr>
                <w:rFonts w:hint="default" w:ascii="仿宋" w:hAnsi="仿宋" w:eastAsia="仿宋" w:cs="仿宋"/>
                <w:color w:val="000000" w:themeColor="text1"/>
                <w:kern w:val="0"/>
                <w:sz w:val="22"/>
                <w:szCs w:val="22"/>
                <w:lang w:val="en-US" w:eastAsia="zh-CN" w:bidi="ar-SA"/>
                <w14:textFill>
                  <w14:solidFill>
                    <w14:schemeClr w14:val="tx1"/>
                  </w14:solidFill>
                </w14:textFill>
              </w:rPr>
              <w:t>信号显示正常，标注清晰，相互对应</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tc>
        <w:tc>
          <w:tcPr>
            <w:tcW w:w="1699" w:type="dxa"/>
            <w:tcBorders>
              <w:left w:val="single" w:color="auto" w:sz="4" w:space="0"/>
              <w:right w:val="single" w:color="auto" w:sz="4" w:space="0"/>
            </w:tcBorders>
            <w:vAlign w:val="center"/>
          </w:tcPr>
          <w:p w14:paraId="691BEAF7">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013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486F7D47">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04B388A1">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45F1743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6、管道</w:t>
            </w:r>
          </w:p>
          <w:p w14:paraId="20C011AE">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default" w:ascii="仿宋" w:hAnsi="仿宋" w:eastAsia="仿宋" w:cs="仿宋"/>
                <w:color w:val="000000" w:themeColor="text1"/>
                <w:kern w:val="0"/>
                <w:sz w:val="22"/>
                <w:szCs w:val="22"/>
                <w:lang w:val="en-US" w:eastAsia="zh-CN" w:bidi="ar-SA"/>
                <w14:textFill>
                  <w14:solidFill>
                    <w14:schemeClr w14:val="tx1"/>
                  </w14:solidFill>
                </w14:textFill>
              </w:rPr>
              <w:t>6.1各管径走向稳定 ，明确，无抖动。</w:t>
            </w:r>
          </w:p>
          <w:p w14:paraId="2033B316">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default" w:ascii="仿宋" w:hAnsi="仿宋" w:eastAsia="仿宋" w:cs="仿宋"/>
                <w:color w:val="000000" w:themeColor="text1"/>
                <w:kern w:val="0"/>
                <w:sz w:val="22"/>
                <w:szCs w:val="22"/>
                <w:lang w:val="en-US" w:eastAsia="zh-CN" w:bidi="ar-SA"/>
                <w14:textFill>
                  <w14:solidFill>
                    <w14:schemeClr w14:val="tx1"/>
                  </w14:solidFill>
                </w14:textFill>
              </w:rPr>
              <w:t>6.2连接处牢固 ，无松动。</w:t>
            </w:r>
          </w:p>
          <w:p w14:paraId="0A030FB8">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default" w:ascii="仿宋" w:hAnsi="仿宋" w:eastAsia="仿宋" w:cs="仿宋"/>
                <w:color w:val="000000" w:themeColor="text1"/>
                <w:kern w:val="0"/>
                <w:sz w:val="22"/>
                <w:szCs w:val="22"/>
                <w:lang w:val="en-US" w:eastAsia="zh-CN" w:bidi="ar-SA"/>
                <w14:textFill>
                  <w14:solidFill>
                    <w14:schemeClr w14:val="tx1"/>
                  </w14:solidFill>
                </w14:textFill>
              </w:rPr>
              <w:t>6.3支撑架稳定牢固 ，无松动。</w:t>
            </w:r>
          </w:p>
          <w:p w14:paraId="32EB4CC5">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default" w:ascii="仿宋" w:hAnsi="仿宋" w:eastAsia="仿宋" w:cs="仿宋"/>
                <w:color w:val="000000" w:themeColor="text1"/>
                <w:kern w:val="0"/>
                <w:sz w:val="22"/>
                <w:szCs w:val="22"/>
                <w:lang w:val="en-US" w:eastAsia="zh-CN" w:bidi="ar-SA"/>
                <w14:textFill>
                  <w14:solidFill>
                    <w14:schemeClr w14:val="tx1"/>
                  </w14:solidFill>
                </w14:textFill>
              </w:rPr>
              <w:t>6.4U 型管径处光电传感器整体牢固无松动，工作正常，感应灵敏，指示灯正常显示。</w:t>
            </w:r>
          </w:p>
          <w:p w14:paraId="141888E0">
            <w:pPr>
              <w:spacing w:line="0" w:lineRule="atLeast"/>
              <w:rPr>
                <w:rFonts w:hint="default"/>
                <w:lang w:val="en-US" w:eastAsia="zh-CN"/>
              </w:rPr>
            </w:pPr>
            <w:r>
              <w:rPr>
                <w:rFonts w:hint="default" w:ascii="仿宋" w:hAnsi="仿宋" w:eastAsia="仿宋" w:cs="仿宋"/>
                <w:color w:val="000000" w:themeColor="text1"/>
                <w:kern w:val="0"/>
                <w:sz w:val="22"/>
                <w:szCs w:val="22"/>
                <w:lang w:val="en-US" w:eastAsia="zh-CN" w:bidi="ar-SA"/>
                <w14:textFill>
                  <w14:solidFill>
                    <w14:schemeClr w14:val="tx1"/>
                  </w14:solidFill>
                </w14:textFill>
              </w:rPr>
              <w:t>6.5除排气孔外，无漏气，无呼啸等异常情况。</w:t>
            </w:r>
          </w:p>
        </w:tc>
        <w:tc>
          <w:tcPr>
            <w:tcW w:w="1699" w:type="dxa"/>
            <w:tcBorders>
              <w:left w:val="single" w:color="auto" w:sz="4" w:space="0"/>
              <w:right w:val="single" w:color="auto" w:sz="4" w:space="0"/>
            </w:tcBorders>
            <w:vAlign w:val="center"/>
          </w:tcPr>
          <w:p w14:paraId="71007821">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7A6A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25CBADCC">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052DDDF5">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0F39D8FD">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7、控制箱</w:t>
            </w:r>
          </w:p>
          <w:p w14:paraId="30DEA89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7.1控制配电柜内部整洁，无积灰。</w:t>
            </w:r>
          </w:p>
          <w:p w14:paraId="1F7F891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7.2内部各类电源线、信号线整齐无破损，无挤压，接线处/接线头正常无松动，无毛刺，无裸露。</w:t>
            </w:r>
          </w:p>
          <w:p w14:paraId="79D32DF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7.3各电气元器件工作显示正常，无破损。</w:t>
            </w:r>
          </w:p>
          <w:p w14:paraId="0843EAD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7.4各电气元器件接线处牢固，无松动。</w:t>
            </w:r>
          </w:p>
          <w:p w14:paraId="0ED909C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7.5各接线端子处接线牢固，无松动。</w:t>
            </w:r>
          </w:p>
          <w:p w14:paraId="4F3B8ED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7.6主电源，380V，空开上下端电压相同，无缺相，与型号标注信息一致。</w:t>
            </w:r>
          </w:p>
          <w:p w14:paraId="234F4BB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7.7控制电源，220V，空开上下端电压相同，无缺相，与型号标注信息一致。</w:t>
            </w:r>
          </w:p>
          <w:p w14:paraId="3189AF1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7.8中间继电器，220V，24V(根据现场实际使用)，与型号标注信息一致。</w:t>
            </w:r>
          </w:p>
          <w:p w14:paraId="175FAD1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7.9电源模块，24V，进线端220V，出现端 24V。</w:t>
            </w:r>
          </w:p>
        </w:tc>
        <w:tc>
          <w:tcPr>
            <w:tcW w:w="1699" w:type="dxa"/>
            <w:tcBorders>
              <w:left w:val="single" w:color="auto" w:sz="4" w:space="0"/>
              <w:right w:val="single" w:color="auto" w:sz="4" w:space="0"/>
            </w:tcBorders>
            <w:vAlign w:val="center"/>
          </w:tcPr>
          <w:p w14:paraId="35ACD4E1">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0AE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290" w:type="dxa"/>
            <w:vMerge w:val="continue"/>
            <w:tcBorders>
              <w:left w:val="single" w:color="auto" w:sz="4" w:space="0"/>
              <w:right w:val="single" w:color="auto" w:sz="4" w:space="0"/>
            </w:tcBorders>
            <w:shd w:val="clear" w:color="auto" w:fill="auto"/>
            <w:vAlign w:val="center"/>
          </w:tcPr>
          <w:p w14:paraId="0EA905D7">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restart"/>
            <w:tcBorders>
              <w:left w:val="single" w:color="auto" w:sz="4" w:space="0"/>
              <w:right w:val="single" w:color="auto" w:sz="4" w:space="0"/>
            </w:tcBorders>
            <w:shd w:val="clear" w:color="auto" w:fill="auto"/>
            <w:vAlign w:val="center"/>
          </w:tcPr>
          <w:p w14:paraId="37EBCC5E">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点检项目（半年度点检表）</w:t>
            </w: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5BD256D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1、气动站点</w:t>
            </w:r>
          </w:p>
          <w:p w14:paraId="11A0C16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1.1站点外观稳定牢固 ，无松动 ，无异响 ，无破损。</w:t>
            </w:r>
          </w:p>
          <w:p w14:paraId="044B80A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1.2站点外观整洁无污物 ，无积灰。</w:t>
            </w:r>
          </w:p>
          <w:p w14:paraId="4E75386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1.3站点标识整洁清晰， 内容正确 ，指导性强。</w:t>
            </w:r>
          </w:p>
          <w:p w14:paraId="7563CDD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1.4站点触摸屏显示清楚无大面积划痕，操作流畅，无模糊，反应不灵敏。</w:t>
            </w:r>
          </w:p>
          <w:p w14:paraId="7EA1A245">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1.5站点管道连接处对位正常 ，抱箍紧固无松动。</w:t>
            </w:r>
          </w:p>
          <w:p w14:paraId="711414F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1.6站点阻挡器工作正常无松动 ，无卡顿， 固定螺丝牢固。</w:t>
            </w:r>
          </w:p>
          <w:p w14:paraId="56B573D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1.7站点内部干净 ，无积灰。</w:t>
            </w:r>
          </w:p>
          <w:p w14:paraId="24349F4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1.8站点内部各类电源线、信号线整齐无破损 ，无挤压 ，接线处/接线头正常无松动 ，无毛刺 ，无裸露。</w:t>
            </w:r>
          </w:p>
          <w:p w14:paraId="1A21792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1.9站点内部 PCB 电路板整体固定无松动，无积灰，各类插件牢固无松动 ，指示灯显示正常。电路板表面无烧灼 ，无鼓包。</w:t>
            </w:r>
          </w:p>
          <w:p w14:paraId="64CBBF5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1.10站点内部接收器表面干净无积灰，行动顺畅，灵活，到位精准。无漏气 ，缝隙在允许范围内 ，运行时无尖啸声。</w:t>
            </w:r>
          </w:p>
          <w:p w14:paraId="6E7B7F68">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1.11站点内部光电传感器整体牢固无松动 ，工作正常 ，感应灵敏，指示灯正常显示。</w:t>
            </w:r>
          </w:p>
          <w:p w14:paraId="0F16A9B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1.12站点内部左右移动导轨磨损。</w:t>
            </w:r>
          </w:p>
          <w:p w14:paraId="2C0ED7B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1.13多发站点多个送瓶口管桶无松动，抱箍紧固无松动，光电传感器整体牢固无松动 ，工作正常 ，感应灵敏 ，指示灯正常显示。</w:t>
            </w:r>
          </w:p>
          <w:p w14:paraId="149909C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1.14多发站点界面显示正常 ，清晰 ，无大面积划痕。</w:t>
            </w:r>
          </w:p>
          <w:p w14:paraId="41E3154E">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1.15多发站点按键正常 ，标注清晰 ，指示灯指示正常。</w:t>
            </w:r>
          </w:p>
        </w:tc>
        <w:tc>
          <w:tcPr>
            <w:tcW w:w="1699" w:type="dxa"/>
            <w:tcBorders>
              <w:left w:val="single" w:color="auto" w:sz="4" w:space="0"/>
              <w:right w:val="single" w:color="auto" w:sz="4" w:space="0"/>
            </w:tcBorders>
            <w:vAlign w:val="center"/>
          </w:tcPr>
          <w:p w14:paraId="48D7CE2A">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56FD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1290" w:type="dxa"/>
            <w:vMerge w:val="continue"/>
            <w:tcBorders>
              <w:left w:val="single" w:color="auto" w:sz="4" w:space="0"/>
              <w:right w:val="single" w:color="auto" w:sz="4" w:space="0"/>
            </w:tcBorders>
            <w:shd w:val="clear" w:color="auto" w:fill="auto"/>
            <w:vAlign w:val="center"/>
          </w:tcPr>
          <w:p w14:paraId="17D9B98B">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79236610">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295A7D8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2、气动瓶</w:t>
            </w:r>
          </w:p>
          <w:p w14:paraId="50DA98DC">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2.1</w:t>
            </w:r>
            <w:r>
              <w:rPr>
                <w:rFonts w:hint="default" w:ascii="仿宋" w:hAnsi="仿宋" w:eastAsia="仿宋" w:cs="仿宋"/>
                <w:color w:val="000000" w:themeColor="text1"/>
                <w:kern w:val="0"/>
                <w:sz w:val="22"/>
                <w:szCs w:val="22"/>
                <w:lang w:val="en-US" w:eastAsia="zh-CN" w:bidi="ar-SA"/>
                <w14:textFill>
                  <w14:solidFill>
                    <w14:schemeClr w14:val="tx1"/>
                  </w14:solidFill>
                </w14:textFill>
              </w:rPr>
              <w:t>外观整洁，无破损</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22FB5DDC">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2.2</w:t>
            </w:r>
            <w:r>
              <w:rPr>
                <w:rFonts w:hint="default" w:ascii="仿宋" w:hAnsi="仿宋" w:eastAsia="仿宋" w:cs="仿宋"/>
                <w:color w:val="000000" w:themeColor="text1"/>
                <w:kern w:val="0"/>
                <w:sz w:val="22"/>
                <w:szCs w:val="22"/>
                <w:lang w:val="en-US" w:eastAsia="zh-CN" w:bidi="ar-SA"/>
                <w14:textFill>
                  <w14:solidFill>
                    <w14:schemeClr w14:val="tx1"/>
                  </w14:solidFill>
                </w14:textFill>
              </w:rPr>
              <w:t>瓶锁正常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p w14:paraId="1C67084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2.3</w:t>
            </w:r>
            <w:r>
              <w:rPr>
                <w:rFonts w:hint="default" w:ascii="仿宋" w:hAnsi="仿宋" w:eastAsia="仿宋" w:cs="仿宋"/>
                <w:color w:val="000000" w:themeColor="text1"/>
                <w:kern w:val="0"/>
                <w:sz w:val="22"/>
                <w:szCs w:val="22"/>
                <w:lang w:val="en-US" w:eastAsia="zh-CN" w:bidi="ar-SA"/>
                <w14:textFill>
                  <w14:solidFill>
                    <w14:schemeClr w14:val="tx1"/>
                  </w14:solidFill>
                </w14:textFill>
              </w:rPr>
              <w:t>摩擦带正常</w:t>
            </w:r>
            <w:r>
              <w:rPr>
                <w:rFonts w:hint="eastAsia" w:ascii="仿宋" w:hAnsi="仿宋" w:eastAsia="仿宋" w:cs="仿宋"/>
                <w:color w:val="000000" w:themeColor="text1"/>
                <w:kern w:val="0"/>
                <w:sz w:val="22"/>
                <w:szCs w:val="22"/>
                <w:lang w:val="en-US" w:eastAsia="zh-CN" w:bidi="ar-SA"/>
                <w14:textFill>
                  <w14:solidFill>
                    <w14:schemeClr w14:val="tx1"/>
                  </w14:solidFill>
                </w14:textFill>
              </w:rPr>
              <w:t>。</w:t>
            </w:r>
          </w:p>
        </w:tc>
        <w:tc>
          <w:tcPr>
            <w:tcW w:w="1699" w:type="dxa"/>
            <w:tcBorders>
              <w:left w:val="single" w:color="auto" w:sz="4" w:space="0"/>
              <w:right w:val="single" w:color="auto" w:sz="4" w:space="0"/>
            </w:tcBorders>
            <w:vAlign w:val="center"/>
          </w:tcPr>
          <w:p w14:paraId="35296084">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081F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144BBE58">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513C1E32">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736A311D">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3、转换器</w:t>
            </w:r>
          </w:p>
          <w:p w14:paraId="046D2B4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3.1外观无破损，整洁无油渍 ，表面无积灰。</w:t>
            </w:r>
          </w:p>
          <w:p w14:paraId="080608B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3.2无漏气 ，无呼啸等异常情况。</w:t>
            </w:r>
          </w:p>
          <w:p w14:paraId="6A5D263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3.3封盖面板螺丝无缺少。</w:t>
            </w:r>
          </w:p>
          <w:p w14:paraId="33128EC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3.4内部 PCB 电路板整体固定无松动，无积灰，各类插件牢固无松动 ，指示灯显示正常。电路板表面无烧灼 ，无鼓包。</w:t>
            </w:r>
          </w:p>
          <w:p w14:paraId="3C27607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3.5内部各类电源线、信号线整齐无破损 ，无挤压 ，接线处/接线头正常无松动 ，无毛刺 ，无裸露。</w:t>
            </w:r>
          </w:p>
          <w:p w14:paraId="652DACE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3.6内部光电传感器整体牢固无松动，工作正常 ，感应灵敏，指示灯正常显示。</w:t>
            </w:r>
          </w:p>
          <w:p w14:paraId="5FA160E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3.7转换器表面干净无积灰，行动顺畅，灵活，到位精准。缝隙在允许范围内 ，运行时无尖啸声。</w:t>
            </w:r>
          </w:p>
          <w:p w14:paraId="328317EA">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3.8路径转换处转换润滑正常 ，无滴油。</w:t>
            </w:r>
          </w:p>
          <w:p w14:paraId="50BCE80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3.9转换器固定螺丝松紧度正常。</w:t>
            </w:r>
          </w:p>
          <w:p w14:paraId="0E716F0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3.10内部电机运转正常无异响。</w:t>
            </w:r>
          </w:p>
          <w:p w14:paraId="3887298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3.11转换路径对接口对接正常 ，无偏差或缝隙。</w:t>
            </w:r>
          </w:p>
        </w:tc>
        <w:tc>
          <w:tcPr>
            <w:tcW w:w="1699" w:type="dxa"/>
            <w:tcBorders>
              <w:left w:val="single" w:color="auto" w:sz="4" w:space="0"/>
              <w:right w:val="single" w:color="auto" w:sz="4" w:space="0"/>
            </w:tcBorders>
            <w:vAlign w:val="center"/>
          </w:tcPr>
          <w:p w14:paraId="3EE25F55">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216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right w:val="single" w:color="auto" w:sz="4" w:space="0"/>
            </w:tcBorders>
            <w:shd w:val="clear" w:color="auto" w:fill="auto"/>
            <w:vAlign w:val="center"/>
          </w:tcPr>
          <w:p w14:paraId="326AADDA">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419FA568">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2E06F473">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4、压缩风机</w:t>
            </w:r>
          </w:p>
          <w:p w14:paraId="00E20EF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4.1外观整洁无积灰 ，无破损。</w:t>
            </w:r>
          </w:p>
          <w:p w14:paraId="4A45BE0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4.2无漏气 ，无呼啸等异常情况。</w:t>
            </w:r>
          </w:p>
          <w:p w14:paraId="7ACF1C5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4.3各固定螺丝或固定件正常无松动。</w:t>
            </w:r>
          </w:p>
          <w:p w14:paraId="302F1A8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4.4风机运行正常，无异响，无抖动，无过热。工作效率与电机铭牌标注功率大致相同。</w:t>
            </w:r>
          </w:p>
          <w:p w14:paraId="1F90290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4.5风机工作电压稳定 ，为 380V，允许上下浮动2-3V，无缺相。</w:t>
            </w:r>
          </w:p>
          <w:p w14:paraId="6AE3096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4.6密封进出气孔无破损 ，无泄漏。</w:t>
            </w:r>
          </w:p>
        </w:tc>
        <w:tc>
          <w:tcPr>
            <w:tcW w:w="1699" w:type="dxa"/>
            <w:tcBorders>
              <w:left w:val="single" w:color="auto" w:sz="4" w:space="0"/>
              <w:right w:val="single" w:color="auto" w:sz="4" w:space="0"/>
            </w:tcBorders>
            <w:vAlign w:val="center"/>
          </w:tcPr>
          <w:p w14:paraId="341A8134">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1887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jc w:val="center"/>
        </w:trPr>
        <w:tc>
          <w:tcPr>
            <w:tcW w:w="1290" w:type="dxa"/>
            <w:vMerge w:val="continue"/>
            <w:tcBorders>
              <w:left w:val="single" w:color="auto" w:sz="4" w:space="0"/>
              <w:right w:val="single" w:color="auto" w:sz="4" w:space="0"/>
            </w:tcBorders>
            <w:shd w:val="clear" w:color="auto" w:fill="auto"/>
            <w:vAlign w:val="center"/>
          </w:tcPr>
          <w:p w14:paraId="6B603469">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3F509766">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562690E4">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5、控制中心</w:t>
            </w:r>
          </w:p>
          <w:p w14:paraId="77C4909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5.1硬件（电脑，鼠标）整洁，无破损，反应灵敏。</w:t>
            </w:r>
          </w:p>
          <w:p w14:paraId="5EC8A58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5.2系统显示正常 ，无卡顿。</w:t>
            </w:r>
          </w:p>
          <w:p w14:paraId="4EB2E890">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5.3信号显示正常 ，标注清晰 ，相互对应。</w:t>
            </w:r>
          </w:p>
        </w:tc>
        <w:tc>
          <w:tcPr>
            <w:tcW w:w="1699" w:type="dxa"/>
            <w:tcBorders>
              <w:left w:val="single" w:color="auto" w:sz="4" w:space="0"/>
              <w:right w:val="single" w:color="auto" w:sz="4" w:space="0"/>
            </w:tcBorders>
            <w:vAlign w:val="center"/>
          </w:tcPr>
          <w:p w14:paraId="3E4A3DC2">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2C01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1290" w:type="dxa"/>
            <w:vMerge w:val="continue"/>
            <w:tcBorders>
              <w:left w:val="single" w:color="auto" w:sz="4" w:space="0"/>
              <w:right w:val="single" w:color="auto" w:sz="4" w:space="0"/>
            </w:tcBorders>
            <w:shd w:val="clear" w:color="auto" w:fill="auto"/>
            <w:vAlign w:val="center"/>
          </w:tcPr>
          <w:p w14:paraId="7F7F226C">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right w:val="single" w:color="auto" w:sz="4" w:space="0"/>
            </w:tcBorders>
            <w:shd w:val="clear" w:color="auto" w:fill="auto"/>
            <w:vAlign w:val="center"/>
          </w:tcPr>
          <w:p w14:paraId="2977F53E">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bottom w:val="single" w:color="auto" w:sz="4" w:space="0"/>
              <w:right w:val="single" w:color="auto" w:sz="4" w:space="0"/>
            </w:tcBorders>
            <w:shd w:val="clear" w:color="auto" w:fill="auto"/>
            <w:vAlign w:val="center"/>
          </w:tcPr>
          <w:p w14:paraId="54A007A2">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6、管道</w:t>
            </w:r>
          </w:p>
          <w:p w14:paraId="487D2DD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6.1各管径走向稳定 ，明确，无抖动。</w:t>
            </w:r>
          </w:p>
          <w:p w14:paraId="1B6CEC0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6.2连接处牢固 ，无松动。</w:t>
            </w:r>
          </w:p>
          <w:p w14:paraId="75812B4D">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6.3支撑架稳定牢固 ，无松动。</w:t>
            </w:r>
          </w:p>
          <w:p w14:paraId="12A8DED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6.4 U 型管径处光电传感器整体牢固无松动，工作正常，感应灵敏，指示灯正常显示。</w:t>
            </w:r>
          </w:p>
          <w:p w14:paraId="185D342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6.5除排气孔外 ，无漏气 ，无呼啸等异常情况。</w:t>
            </w:r>
          </w:p>
        </w:tc>
        <w:tc>
          <w:tcPr>
            <w:tcW w:w="1699" w:type="dxa"/>
            <w:tcBorders>
              <w:left w:val="single" w:color="auto" w:sz="4" w:space="0"/>
              <w:right w:val="single" w:color="auto" w:sz="4" w:space="0"/>
            </w:tcBorders>
            <w:vAlign w:val="center"/>
          </w:tcPr>
          <w:p w14:paraId="03724192">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r w14:paraId="6C42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1C91656A">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971" w:type="dxa"/>
            <w:vMerge w:val="continue"/>
            <w:tcBorders>
              <w:left w:val="single" w:color="auto" w:sz="4" w:space="0"/>
              <w:bottom w:val="single" w:color="auto" w:sz="4" w:space="0"/>
              <w:right w:val="single" w:color="auto" w:sz="4" w:space="0"/>
            </w:tcBorders>
            <w:shd w:val="clear" w:color="auto" w:fill="auto"/>
            <w:vAlign w:val="center"/>
          </w:tcPr>
          <w:p w14:paraId="575F991C">
            <w:pPr>
              <w:spacing w:line="420" w:lineRule="exact"/>
              <w:jc w:val="center"/>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c>
          <w:tcPr>
            <w:tcW w:w="4435" w:type="dxa"/>
            <w:tcBorders>
              <w:top w:val="single" w:color="auto" w:sz="4" w:space="0"/>
              <w:left w:val="single" w:color="auto" w:sz="4" w:space="0"/>
              <w:right w:val="single" w:color="auto" w:sz="4" w:space="0"/>
            </w:tcBorders>
            <w:shd w:val="clear" w:color="auto" w:fill="auto"/>
            <w:vAlign w:val="center"/>
          </w:tcPr>
          <w:p w14:paraId="1C540B24">
            <w:pPr>
              <w:spacing w:line="0" w:lineRule="atLeast"/>
              <w:rPr>
                <w:rFonts w:hint="default"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7、控制箱</w:t>
            </w:r>
          </w:p>
          <w:p w14:paraId="288DF6B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7.1控制配电柜内部整洁 ，无积灰。</w:t>
            </w:r>
          </w:p>
          <w:p w14:paraId="58AA4E4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7.2内部各类电源线、信号线整齐无破损 ，无挤压 ，接线处/接线头正常无松动 ，无毛刺 ，无裸露。</w:t>
            </w:r>
          </w:p>
          <w:p w14:paraId="334BDDA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7.3各电气元器件工作显示正常 ，无破损。</w:t>
            </w:r>
          </w:p>
          <w:p w14:paraId="7306FABB">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7.4各电气元器件接线处牢固 ，无松动。</w:t>
            </w:r>
          </w:p>
          <w:p w14:paraId="56CBAD0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7.5各接线端子处接线牢固 ，无松动。</w:t>
            </w:r>
          </w:p>
          <w:p w14:paraId="3322494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7.6主电源，380V，空开上下端电压相同，无缺相，与型号标注信息一致。</w:t>
            </w:r>
          </w:p>
          <w:p w14:paraId="1BEC1F7F">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7.7控制电源，220V，空开上下端电压相同，无缺相，与型号标注信息一致。</w:t>
            </w:r>
          </w:p>
          <w:p w14:paraId="60C371C6">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7.8中间继电器 ，220V ，24V(根据现场实际使用) ，与型号标注信息一致。</w:t>
            </w:r>
          </w:p>
          <w:p w14:paraId="6EADE2A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7.9接触器，380V，上下端电压相同（根据现场实际使用），与型号标注信息一致。</w:t>
            </w:r>
          </w:p>
          <w:p w14:paraId="28A88F41">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7.10电源模块 ，24V，进线端 220V， 出现端 24V。</w:t>
            </w:r>
          </w:p>
          <w:p w14:paraId="7BE195DC">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7.11各类电气元器件根据现场实际使用情况检查，与型号标注信息一致 ，或与图纸标注型号一致。</w:t>
            </w:r>
          </w:p>
          <w:p w14:paraId="76685199">
            <w:pPr>
              <w:spacing w:line="0" w:lineRule="atLeast"/>
              <w:rPr>
                <w:rFonts w:hint="eastAsia" w:ascii="仿宋" w:hAnsi="仿宋" w:eastAsia="仿宋" w:cs="仿宋"/>
                <w:color w:val="000000" w:themeColor="text1"/>
                <w:kern w:val="0"/>
                <w:sz w:val="22"/>
                <w:szCs w:val="22"/>
                <w:lang w:val="en-US" w:eastAsia="zh-CN" w:bidi="ar-SA"/>
                <w14:textFill>
                  <w14:solidFill>
                    <w14:schemeClr w14:val="tx1"/>
                  </w14:solidFill>
                </w14:textFill>
              </w:rPr>
            </w:pPr>
            <w:r>
              <w:rPr>
                <w:rFonts w:hint="eastAsia" w:ascii="仿宋" w:hAnsi="仿宋" w:eastAsia="仿宋" w:cs="仿宋"/>
                <w:color w:val="000000" w:themeColor="text1"/>
                <w:kern w:val="0"/>
                <w:sz w:val="22"/>
                <w:szCs w:val="22"/>
                <w:lang w:val="en-US" w:eastAsia="zh-CN" w:bidi="ar-SA"/>
                <w14:textFill>
                  <w14:solidFill>
                    <w14:schemeClr w14:val="tx1"/>
                  </w14:solidFill>
                </w14:textFill>
              </w:rPr>
              <w:t>7.12通讯 PCB 电路板工作正常，整体固定无松动，无积灰，各类插件牢固无松动，指示灯显示正常。电路板表面无烧灼，无鼓包。</w:t>
            </w:r>
          </w:p>
        </w:tc>
        <w:tc>
          <w:tcPr>
            <w:tcW w:w="1699" w:type="dxa"/>
            <w:tcBorders>
              <w:left w:val="single" w:color="auto" w:sz="4" w:space="0"/>
              <w:bottom w:val="single" w:color="auto" w:sz="4" w:space="0"/>
              <w:right w:val="single" w:color="auto" w:sz="4" w:space="0"/>
            </w:tcBorders>
            <w:vAlign w:val="center"/>
          </w:tcPr>
          <w:p w14:paraId="252F30E3">
            <w:pPr>
              <w:spacing w:after="78"/>
              <w:ind w:left="0" w:leftChars="0" w:firstLine="0" w:firstLineChars="0"/>
              <w:rPr>
                <w:rFonts w:hint="eastAsia" w:ascii="仿宋" w:hAnsi="仿宋" w:eastAsia="仿宋" w:cs="仿宋"/>
                <w:color w:val="000000" w:themeColor="text1"/>
                <w:kern w:val="0"/>
                <w:sz w:val="22"/>
                <w:szCs w:val="22"/>
                <w:lang w:val="en-US" w:eastAsia="zh-CN" w:bidi="ar-SA"/>
                <w14:textFill>
                  <w14:solidFill>
                    <w14:schemeClr w14:val="tx1"/>
                  </w14:solidFill>
                </w14:textFill>
              </w:rPr>
            </w:pPr>
          </w:p>
        </w:tc>
      </w:tr>
    </w:tbl>
    <w:p w14:paraId="2CF01C7A">
      <w:pPr>
        <w:rPr>
          <w:rFonts w:hint="default" w:ascii="仿宋" w:hAnsi="仿宋" w:eastAsia="仿宋" w:cs="仿宋"/>
          <w:color w:val="000000" w:themeColor="text1"/>
          <w:kern w:val="0"/>
          <w:sz w:val="22"/>
          <w:szCs w:val="22"/>
          <w:lang w:val="en-US" w:eastAsia="zh-CN" w:bidi="ar-SA"/>
          <w14:textFill>
            <w14:solidFill>
              <w14:schemeClr w14:val="tx1"/>
            </w14:solidFill>
          </w14:textFill>
        </w:rPr>
      </w:pPr>
    </w:p>
    <w:p w14:paraId="1EA1DCF9">
      <w:pPr>
        <w:rPr>
          <w:rFonts w:hint="default" w:ascii="方正楷体_GB2312" w:hAnsi="方正楷体_GB2312" w:eastAsia="方正楷体_GB2312" w:cs="方正楷体_GB2312"/>
          <w:sz w:val="28"/>
          <w:szCs w:val="28"/>
          <w:lang w:val="en-US" w:eastAsia="zh-CN"/>
        </w:rPr>
      </w:pPr>
    </w:p>
    <w:p w14:paraId="5E51A9E8"/>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楷体_GB2312">
    <w:altName w:val="宋体"/>
    <w:panose1 w:val="02000000000000000000"/>
    <w:charset w:val="86"/>
    <w:family w:val="auto"/>
    <w:pitch w:val="default"/>
    <w:sig w:usb0="00000000" w:usb1="00000000"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43316"/>
    <w:multiLevelType w:val="singleLevel"/>
    <w:tmpl w:val="8CE4331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A38B0"/>
    <w:rsid w:val="0C313B32"/>
    <w:rsid w:val="11E579A3"/>
    <w:rsid w:val="133833D9"/>
    <w:rsid w:val="23730FC9"/>
    <w:rsid w:val="2E947342"/>
    <w:rsid w:val="34C651D8"/>
    <w:rsid w:val="3A2E6000"/>
    <w:rsid w:val="406F14EB"/>
    <w:rsid w:val="5EDC2437"/>
    <w:rsid w:val="6C523F43"/>
    <w:rsid w:val="6CE717E2"/>
    <w:rsid w:val="6E631CA1"/>
    <w:rsid w:val="79CA3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rPr>
  </w:style>
  <w:style w:type="paragraph" w:styleId="3">
    <w:name w:val="Body Text Indent"/>
    <w:basedOn w:val="1"/>
    <w:qFormat/>
    <w:uiPriority w:val="0"/>
    <w:pPr>
      <w:spacing w:line="360" w:lineRule="auto"/>
      <w:ind w:left="720" w:hanging="720" w:hangingChars="300"/>
    </w:pPr>
    <w:rPr>
      <w:sz w:val="24"/>
    </w:rPr>
  </w:style>
  <w:style w:type="paragraph" w:styleId="4">
    <w:name w:val="Plain Text"/>
    <w:basedOn w:val="1"/>
    <w:qFormat/>
    <w:uiPriority w:val="0"/>
    <w:rPr>
      <w:rFonts w:ascii="宋体" w:hAnsi="Courier New" w:eastAsia="宋体" w:cs="Courier New"/>
      <w:szCs w:val="21"/>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纯文本1"/>
    <w:basedOn w:val="1"/>
    <w:qFormat/>
    <w:uiPriority w:val="0"/>
    <w:rPr>
      <w:rFonts w:ascii="宋体" w:hAnsi="Courier New" w:eastAsia="宋体" w:cs="Courier New"/>
    </w:rPr>
  </w:style>
  <w:style w:type="paragraph" w:customStyle="1" w:styleId="9">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6309</Words>
  <Characters>6734</Characters>
  <Lines>0</Lines>
  <Paragraphs>0</Paragraphs>
  <TotalTime>2</TotalTime>
  <ScaleCrop>false</ScaleCrop>
  <LinksUpToDate>false</LinksUpToDate>
  <CharactersWithSpaces>6896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2025-12-24T07:03:00Z</dcterms:created>
  <dc:creator>Archer</dc:creator>
  <cp:lastModifiedBy>WPS_1645158875</cp:lastModifiedBy>
  <dcterms:modified xsi:type="dcterms:W3CDTF">2026-09-15T06:22:34Z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D2A235377D054F718A626455E9579A70_13</vt:lpwstr>
  </property>
  <property fmtid="{D5CDD505-2E9C-101B-9397-08002B2CF9AE}" pid="4" name="KSOTemplateDocerSaveRecord">
    <vt:lpwstr>eyJoZGlkIjoiZDZlNGUxZWZlMDg0MTM4ZmQ3YzhmYTI0MDdmY2QzYWUiLCJ1c2VySWQiOiIxMzMwOTAyNDc5In0=</vt:lpwstr>
  </property>
</Properties>
</file>