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9704">
      <w:pPr>
        <w:rPr>
          <w:rFonts w:ascii="宋体" w:hAnsi="宋体"/>
          <w:b/>
          <w:sz w:val="24"/>
          <w:szCs w:val="24"/>
        </w:rPr>
      </w:pPr>
    </w:p>
    <w:p w14:paraId="13B98A7A">
      <w:pPr>
        <w:ind w:firstLine="0" w:firstLineChars="0"/>
        <w:jc w:val="center"/>
        <w:rPr>
          <w:rFonts w:hint="eastAsia"/>
          <w:b/>
          <w:sz w:val="120"/>
          <w:szCs w:val="120"/>
        </w:rPr>
      </w:pPr>
      <w:r>
        <w:rPr>
          <w:rFonts w:hint="eastAsia"/>
          <w:b/>
          <w:sz w:val="120"/>
          <w:szCs w:val="120"/>
        </w:rPr>
        <w:t>采购文件</w:t>
      </w:r>
    </w:p>
    <w:p w14:paraId="062B1566">
      <w:pPr>
        <w:jc w:val="center"/>
        <w:rPr>
          <w:b/>
          <w:sz w:val="52"/>
          <w:szCs w:val="52"/>
        </w:rPr>
      </w:pPr>
      <w:r>
        <w:rPr>
          <w:rFonts w:hint="eastAsia"/>
          <w:b/>
          <w:sz w:val="52"/>
          <w:szCs w:val="52"/>
        </w:rPr>
        <w:t>（</w:t>
      </w:r>
      <w:r>
        <w:rPr>
          <w:rFonts w:hint="eastAsia"/>
          <w:b/>
          <w:sz w:val="52"/>
          <w:szCs w:val="52"/>
          <w:lang w:val="en-US" w:eastAsia="zh-CN"/>
        </w:rPr>
        <w:t>工程</w:t>
      </w:r>
      <w:r>
        <w:rPr>
          <w:rFonts w:hint="eastAsia"/>
          <w:b/>
          <w:sz w:val="52"/>
          <w:szCs w:val="52"/>
        </w:rPr>
        <w:t>类）</w:t>
      </w:r>
    </w:p>
    <w:p w14:paraId="5C4DA508">
      <w:pPr>
        <w:rPr>
          <w:szCs w:val="22"/>
        </w:rPr>
      </w:pPr>
    </w:p>
    <w:p w14:paraId="2579CCE9"/>
    <w:p w14:paraId="6FB616BE"/>
    <w:p w14:paraId="20982B48"/>
    <w:p w14:paraId="1C63F39E"/>
    <w:p w14:paraId="494FA8CB"/>
    <w:p w14:paraId="55EE8581"/>
    <w:p w14:paraId="7854FBD2"/>
    <w:p w14:paraId="3F1D81ED"/>
    <w:p w14:paraId="2CB05A5E"/>
    <w:p w14:paraId="6B5CF595">
      <w:pPr>
        <w:jc w:val="center"/>
        <w:rPr>
          <w:b/>
          <w:sz w:val="44"/>
          <w:szCs w:val="44"/>
        </w:rPr>
      </w:pPr>
    </w:p>
    <w:p w14:paraId="5614572E">
      <w:pPr>
        <w:jc w:val="center"/>
        <w:rPr>
          <w:b/>
          <w:sz w:val="44"/>
          <w:szCs w:val="44"/>
        </w:rPr>
      </w:pPr>
    </w:p>
    <w:p w14:paraId="291FD96A">
      <w:pPr>
        <w:jc w:val="center"/>
        <w:rPr>
          <w:b/>
          <w:sz w:val="44"/>
          <w:szCs w:val="44"/>
        </w:rPr>
      </w:pPr>
    </w:p>
    <w:p w14:paraId="5F31AAB6">
      <w:pPr>
        <w:jc w:val="center"/>
        <w:rPr>
          <w:b/>
          <w:sz w:val="44"/>
          <w:szCs w:val="44"/>
        </w:rPr>
      </w:pPr>
    </w:p>
    <w:p w14:paraId="760F560B">
      <w:pPr>
        <w:jc w:val="center"/>
        <w:rPr>
          <w:b/>
          <w:sz w:val="44"/>
          <w:szCs w:val="44"/>
        </w:rPr>
      </w:pPr>
    </w:p>
    <w:p w14:paraId="27E35A9D">
      <w:pPr>
        <w:jc w:val="center"/>
        <w:rPr>
          <w:b/>
          <w:sz w:val="44"/>
          <w:szCs w:val="44"/>
        </w:rPr>
      </w:pPr>
    </w:p>
    <w:p w14:paraId="53D25763">
      <w:pPr>
        <w:jc w:val="center"/>
        <w:rPr>
          <w:b/>
          <w:sz w:val="44"/>
          <w:szCs w:val="44"/>
        </w:rPr>
      </w:pPr>
    </w:p>
    <w:p w14:paraId="0531E275">
      <w:pPr>
        <w:jc w:val="center"/>
        <w:rPr>
          <w:b/>
          <w:sz w:val="44"/>
          <w:szCs w:val="44"/>
        </w:rPr>
      </w:pPr>
    </w:p>
    <w:p w14:paraId="4607CD1C">
      <w:pPr>
        <w:jc w:val="center"/>
        <w:rPr>
          <w:b/>
          <w:sz w:val="44"/>
          <w:szCs w:val="44"/>
        </w:rPr>
      </w:pPr>
    </w:p>
    <w:p w14:paraId="587529A6">
      <w:pPr>
        <w:jc w:val="center"/>
        <w:rPr>
          <w:b/>
          <w:sz w:val="44"/>
          <w:szCs w:val="44"/>
        </w:rPr>
      </w:pPr>
    </w:p>
    <w:p w14:paraId="35D0C443">
      <w:pPr>
        <w:jc w:val="center"/>
        <w:rPr>
          <w:sz w:val="80"/>
          <w:szCs w:val="80"/>
        </w:rPr>
      </w:pPr>
      <w:r>
        <w:rPr>
          <w:rFonts w:hint="eastAsia"/>
          <w:b/>
          <w:sz w:val="44"/>
          <w:szCs w:val="44"/>
        </w:rPr>
        <w:t>深圳市儿童医院</w:t>
      </w:r>
    </w:p>
    <w:p w14:paraId="5DABC5AD">
      <w:pPr>
        <w:rPr>
          <w:rFonts w:ascii="宋体" w:hAnsi="宋体"/>
          <w:b/>
          <w:sz w:val="24"/>
          <w:szCs w:val="24"/>
        </w:rPr>
      </w:pPr>
    </w:p>
    <w:p w14:paraId="5F1F4AC5">
      <w:pPr>
        <w:rPr>
          <w:rFonts w:ascii="宋体" w:hAnsi="宋体"/>
          <w:b/>
          <w:sz w:val="24"/>
          <w:szCs w:val="24"/>
        </w:rPr>
      </w:pPr>
    </w:p>
    <w:p w14:paraId="781B06EA">
      <w:pPr>
        <w:snapToGrid w:val="0"/>
        <w:ind w:right="-315" w:rightChars="-150" w:firstLine="420" w:firstLineChars="200"/>
        <w:rPr>
          <w:rFonts w:hint="eastAsia" w:ascii="宋体" w:hAnsi="宋体"/>
          <w:color w:val="000000"/>
          <w:szCs w:val="21"/>
        </w:rPr>
      </w:pPr>
    </w:p>
    <w:p w14:paraId="647F624B">
      <w:pPr>
        <w:snapToGrid w:val="0"/>
        <w:ind w:right="-315" w:rightChars="-150" w:firstLine="420" w:firstLineChars="200"/>
        <w:rPr>
          <w:rFonts w:hint="eastAsia" w:ascii="宋体" w:hAnsi="宋体"/>
          <w:color w:val="000000"/>
          <w:szCs w:val="21"/>
        </w:rPr>
      </w:pPr>
    </w:p>
    <w:p w14:paraId="669F4A7E">
      <w:pPr>
        <w:snapToGrid w:val="0"/>
        <w:ind w:right="-315" w:rightChars="-150" w:firstLine="420" w:firstLineChars="200"/>
        <w:rPr>
          <w:rFonts w:hint="eastAsia" w:ascii="宋体" w:hAnsi="宋体"/>
          <w:color w:val="000000"/>
          <w:szCs w:val="21"/>
        </w:rPr>
      </w:pPr>
    </w:p>
    <w:p w14:paraId="2AFBD3A3">
      <w:pPr>
        <w:snapToGrid w:val="0"/>
        <w:ind w:right="-315" w:rightChars="-150" w:firstLine="420" w:firstLineChars="200"/>
        <w:rPr>
          <w:rFonts w:hint="eastAsia" w:ascii="宋体" w:hAnsi="宋体"/>
          <w:color w:val="000000"/>
          <w:szCs w:val="21"/>
        </w:rPr>
      </w:pPr>
    </w:p>
    <w:p w14:paraId="3BA85EAB">
      <w:pPr>
        <w:snapToGrid w:val="0"/>
        <w:ind w:right="-315" w:rightChars="-150" w:firstLine="420" w:firstLineChars="200"/>
        <w:rPr>
          <w:rFonts w:hint="eastAsia" w:ascii="宋体" w:hAnsi="宋体"/>
          <w:color w:val="000000"/>
          <w:szCs w:val="21"/>
        </w:rPr>
      </w:pPr>
    </w:p>
    <w:p w14:paraId="4010D11D">
      <w:pPr>
        <w:snapToGrid w:val="0"/>
        <w:ind w:right="-315" w:rightChars="-150" w:firstLine="420" w:firstLineChars="200"/>
        <w:rPr>
          <w:rFonts w:hint="eastAsia" w:ascii="宋体" w:hAnsi="宋体"/>
          <w:color w:val="000000"/>
          <w:szCs w:val="21"/>
        </w:rPr>
      </w:pPr>
    </w:p>
    <w:p w14:paraId="1C8F0BAF">
      <w:pPr>
        <w:snapToGrid w:val="0"/>
        <w:ind w:right="-315" w:rightChars="-150" w:firstLine="420" w:firstLineChars="200"/>
        <w:rPr>
          <w:rFonts w:hint="eastAsia" w:ascii="宋体" w:hAnsi="宋体"/>
          <w:color w:val="000000"/>
          <w:szCs w:val="21"/>
        </w:rPr>
      </w:pPr>
    </w:p>
    <w:p w14:paraId="5E45537D">
      <w:pPr>
        <w:snapToGrid w:val="0"/>
        <w:ind w:right="-315" w:rightChars="-150" w:firstLine="420" w:firstLineChars="200"/>
        <w:rPr>
          <w:rFonts w:hint="eastAsia" w:ascii="宋体" w:hAnsi="宋体"/>
          <w:color w:val="000000"/>
          <w:szCs w:val="21"/>
        </w:rPr>
      </w:pPr>
    </w:p>
    <w:p w14:paraId="5CFBC64E">
      <w:pPr>
        <w:snapToGrid w:val="0"/>
        <w:ind w:right="-315" w:rightChars="-150" w:firstLine="420" w:firstLineChars="200"/>
        <w:rPr>
          <w:rFonts w:hint="eastAsia" w:ascii="宋体" w:hAnsi="宋体"/>
          <w:color w:val="000000"/>
          <w:szCs w:val="21"/>
        </w:rPr>
      </w:pPr>
    </w:p>
    <w:p w14:paraId="038ECFF9">
      <w:pP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评标信息</w:t>
      </w:r>
    </w:p>
    <w:p w14:paraId="0CA6E29C">
      <w:pPr>
        <w:ind w:left="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价格分计算：价格分应当采用低价优先法计算，即满足文件要求且投标价格最低的投标报价为评标基准价，其价格分为满分。其他投标人的价格分统一按照下列公式计算：</w:t>
      </w:r>
    </w:p>
    <w:p w14:paraId="20DF7B8B">
      <w:pPr>
        <w:ind w:left="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投标报价得分=(评标基准价／投标报价)×权重分</w:t>
      </w:r>
    </w:p>
    <w:p w14:paraId="1943FC52">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备注：投标报价得分四舍五入后，小数点后保留两位有效数；</w:t>
      </w:r>
    </w:p>
    <w:p w14:paraId="63E28AD2">
      <w:pPr>
        <w:widowControl/>
        <w:spacing w:line="450" w:lineRule="atLeast"/>
        <w:ind w:firstLine="420" w:firstLineChars="200"/>
        <w:jc w:val="left"/>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评标基准价是指所有有效报价中最低的投标报价(</w:t>
      </w:r>
      <w:r>
        <w:rPr>
          <w:rFonts w:hint="eastAsia" w:asciiTheme="minorEastAsia" w:hAnsiTheme="minorEastAsia" w:eastAsiaTheme="minorEastAsia" w:cstheme="minorEastAsia"/>
          <w:b/>
          <w:bCs/>
          <w:color w:val="FF0000"/>
          <w:sz w:val="21"/>
          <w:szCs w:val="21"/>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cstheme="minorEastAsia"/>
          <w:sz w:val="21"/>
          <w:szCs w:val="21"/>
        </w:rPr>
        <w:t>）。</w:t>
      </w:r>
    </w:p>
    <w:p w14:paraId="2EF56763">
      <w:pPr>
        <w:snapToGrid w:val="0"/>
        <w:ind w:right="-315" w:rightChars="-150" w:firstLine="420" w:firstLineChars="200"/>
        <w:rPr>
          <w:rFonts w:hint="eastAsia" w:ascii="宋体" w:hAnsi="宋体"/>
          <w:color w:val="000000"/>
          <w:szCs w:val="21"/>
        </w:rPr>
      </w:pPr>
    </w:p>
    <w:tbl>
      <w:tblPr>
        <w:tblStyle w:val="16"/>
        <w:tblW w:w="8367"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355"/>
        <w:gridCol w:w="5635"/>
        <w:gridCol w:w="697"/>
      </w:tblGrid>
      <w:tr w14:paraId="589A71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vAlign w:val="center"/>
          </w:tcPr>
          <w:p w14:paraId="18BAF7D8">
            <w:pPr>
              <w:ind w:left="-78" w:leftChars="-37" w:right="-73" w:rightChars="-35"/>
              <w:jc w:val="center"/>
              <w:rPr>
                <w:rFonts w:ascii="宋体" w:hAnsi="宋体" w:cs="宋体"/>
                <w:b/>
                <w:szCs w:val="21"/>
              </w:rPr>
            </w:pPr>
            <w:r>
              <w:rPr>
                <w:rFonts w:hint="eastAsia" w:ascii="宋体" w:hAnsi="宋体" w:cs="宋体"/>
                <w:b/>
                <w:szCs w:val="21"/>
              </w:rPr>
              <w:t>评审部分</w:t>
            </w:r>
          </w:p>
        </w:tc>
        <w:tc>
          <w:tcPr>
            <w:tcW w:w="1355" w:type="dxa"/>
            <w:vAlign w:val="center"/>
          </w:tcPr>
          <w:p w14:paraId="1B67A700">
            <w:pPr>
              <w:ind w:left="-78" w:leftChars="-37" w:right="-73" w:rightChars="-35"/>
              <w:jc w:val="center"/>
              <w:rPr>
                <w:rFonts w:ascii="宋体" w:hAnsi="宋体" w:cs="宋体"/>
                <w:b/>
                <w:szCs w:val="21"/>
              </w:rPr>
            </w:pPr>
            <w:r>
              <w:rPr>
                <w:rFonts w:hint="eastAsia" w:ascii="宋体" w:hAnsi="宋体" w:cs="宋体"/>
                <w:b/>
                <w:szCs w:val="21"/>
              </w:rPr>
              <w:t>评审因素</w:t>
            </w:r>
          </w:p>
        </w:tc>
        <w:tc>
          <w:tcPr>
            <w:tcW w:w="5635" w:type="dxa"/>
            <w:vAlign w:val="center"/>
          </w:tcPr>
          <w:p w14:paraId="3A45A129">
            <w:pPr>
              <w:ind w:left="-78" w:leftChars="-37" w:right="-73" w:rightChars="-35"/>
              <w:jc w:val="center"/>
              <w:rPr>
                <w:rFonts w:ascii="宋体" w:hAnsi="宋体" w:cs="宋体"/>
                <w:b/>
                <w:szCs w:val="21"/>
              </w:rPr>
            </w:pPr>
            <w:r>
              <w:rPr>
                <w:rFonts w:hint="eastAsia" w:ascii="宋体" w:hAnsi="宋体" w:cs="宋体"/>
                <w:b/>
                <w:szCs w:val="21"/>
              </w:rPr>
              <w:t>评分细则</w:t>
            </w:r>
          </w:p>
        </w:tc>
        <w:tc>
          <w:tcPr>
            <w:tcW w:w="697" w:type="dxa"/>
            <w:tcBorders>
              <w:left w:val="single" w:color="auto" w:sz="4" w:space="0"/>
            </w:tcBorders>
            <w:vAlign w:val="center"/>
          </w:tcPr>
          <w:p w14:paraId="1BB1459B">
            <w:pPr>
              <w:ind w:left="-78" w:leftChars="-37" w:right="-73" w:rightChars="-35"/>
              <w:jc w:val="center"/>
              <w:rPr>
                <w:rFonts w:ascii="宋体" w:hAnsi="宋体" w:cs="宋体"/>
                <w:b/>
                <w:szCs w:val="21"/>
              </w:rPr>
            </w:pPr>
            <w:r>
              <w:rPr>
                <w:rFonts w:hint="eastAsia" w:ascii="宋体" w:hAnsi="宋体" w:cs="宋体"/>
                <w:b/>
                <w:szCs w:val="21"/>
              </w:rPr>
              <w:t>分值</w:t>
            </w:r>
          </w:p>
        </w:tc>
      </w:tr>
      <w:tr w14:paraId="1C2754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vAlign w:val="center"/>
          </w:tcPr>
          <w:p w14:paraId="40042374">
            <w:pPr>
              <w:ind w:left="-78" w:leftChars="-37" w:right="-73" w:rightChars="-35"/>
              <w:jc w:val="center"/>
              <w:rPr>
                <w:rFonts w:ascii="宋体" w:hAnsi="宋体" w:cs="宋体"/>
                <w:b/>
                <w:szCs w:val="21"/>
              </w:rPr>
            </w:pPr>
            <w:r>
              <w:rPr>
                <w:rFonts w:hint="eastAsia" w:ascii="宋体" w:hAnsi="宋体" w:cs="宋体"/>
                <w:b/>
                <w:szCs w:val="21"/>
              </w:rPr>
              <w:t>一</w:t>
            </w:r>
          </w:p>
        </w:tc>
        <w:tc>
          <w:tcPr>
            <w:tcW w:w="7687" w:type="dxa"/>
            <w:gridSpan w:val="3"/>
            <w:vAlign w:val="center"/>
          </w:tcPr>
          <w:p w14:paraId="0D4EA7E2">
            <w:pPr>
              <w:ind w:left="-78" w:leftChars="-37" w:right="-73" w:rightChars="-35"/>
              <w:jc w:val="center"/>
              <w:rPr>
                <w:rFonts w:hint="default" w:ascii="宋体" w:hAnsi="宋体" w:eastAsia="宋体" w:cs="宋体"/>
                <w:b/>
                <w:szCs w:val="21"/>
                <w:lang w:val="en-US" w:eastAsia="zh-CN"/>
              </w:rPr>
            </w:pPr>
            <w:r>
              <w:rPr>
                <w:rFonts w:hint="eastAsia" w:ascii="宋体" w:hAnsi="宋体" w:cs="宋体"/>
                <w:b/>
                <w:szCs w:val="21"/>
                <w:lang w:val="en-US" w:eastAsia="zh-CN"/>
              </w:rPr>
              <w:t>49分</w:t>
            </w:r>
          </w:p>
        </w:tc>
      </w:tr>
      <w:tr w14:paraId="5EB7B2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473CCE98">
            <w:pPr>
              <w:pStyle w:val="37"/>
              <w:numPr>
                <w:ilvl w:val="0"/>
                <w:numId w:val="1"/>
              </w:numPr>
              <w:ind w:firstLineChars="0"/>
              <w:jc w:val="right"/>
              <w:rPr>
                <w:rFonts w:ascii="宋体" w:hAnsi="宋体"/>
                <w:szCs w:val="21"/>
              </w:rPr>
            </w:pPr>
          </w:p>
        </w:tc>
        <w:tc>
          <w:tcPr>
            <w:tcW w:w="1355" w:type="dxa"/>
            <w:vAlign w:val="center"/>
          </w:tcPr>
          <w:p w14:paraId="2F023B11">
            <w:pPr>
              <w:keepNext w:val="0"/>
              <w:keepLines w:val="0"/>
              <w:pageBreakBefore w:val="0"/>
              <w:kinsoku/>
              <w:wordWrap/>
              <w:overflowPunct/>
              <w:topLinePunct w:val="0"/>
              <w:bidi w:val="0"/>
              <w:spacing w:line="240" w:lineRule="auto"/>
              <w:jc w:val="center"/>
              <w:textAlignment w:val="auto"/>
              <w:rPr>
                <w:rFonts w:ascii="宋体" w:hAnsi="宋体" w:cs="宋体"/>
                <w:color w:val="FF0000"/>
                <w:szCs w:val="21"/>
              </w:rPr>
            </w:pPr>
            <w:r>
              <w:rPr>
                <w:rFonts w:hint="eastAsia" w:ascii="宋体" w:hAnsi="宋体" w:eastAsia="宋体" w:cs="宋体"/>
                <w:color w:val="auto"/>
                <w:sz w:val="21"/>
                <w:szCs w:val="21"/>
              </w:rPr>
              <w:t>施工质量（安全、环保、工期）保障措施、售后服务及违约承诺</w:t>
            </w:r>
          </w:p>
        </w:tc>
        <w:tc>
          <w:tcPr>
            <w:tcW w:w="5635" w:type="dxa"/>
            <w:shd w:val="clear" w:color="auto" w:fill="auto"/>
            <w:vAlign w:val="center"/>
          </w:tcPr>
          <w:p w14:paraId="00E624A1">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snapToGrid w:val="0"/>
                <w:color w:val="auto"/>
                <w:kern w:val="0"/>
                <w:sz w:val="21"/>
                <w:szCs w:val="21"/>
                <w:lang w:val="en-US" w:eastAsia="zh-CN"/>
              </w:rPr>
              <w:t>1、</w:t>
            </w:r>
            <w:r>
              <w:rPr>
                <w:rFonts w:hint="eastAsia" w:ascii="宋体" w:hAnsi="宋体" w:eastAsia="宋体" w:cs="宋体"/>
                <w:snapToGrid w:val="0"/>
                <w:color w:val="auto"/>
                <w:kern w:val="0"/>
                <w:sz w:val="21"/>
                <w:szCs w:val="21"/>
              </w:rPr>
              <w:t>评审内容：考察投标人提供的</w:t>
            </w:r>
            <w:r>
              <w:rPr>
                <w:rFonts w:hint="eastAsia" w:ascii="宋体" w:hAnsi="宋体" w:eastAsia="宋体" w:cs="宋体"/>
                <w:color w:val="auto"/>
                <w:sz w:val="21"/>
                <w:szCs w:val="21"/>
              </w:rPr>
              <w:t>施工质量（安全、环保、工期）保障措施、售后服务及违约承诺</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承诺内容由投标人自主拟定</w:t>
            </w:r>
            <w:r>
              <w:rPr>
                <w:rFonts w:hint="eastAsia" w:ascii="宋体" w:hAnsi="宋体" w:cs="宋体"/>
                <w:color w:val="auto"/>
                <w:sz w:val="21"/>
                <w:szCs w:val="21"/>
                <w:lang w:eastAsia="zh-CN"/>
              </w:rPr>
              <w:t>）</w:t>
            </w:r>
            <w:r>
              <w:rPr>
                <w:rFonts w:hint="eastAsia" w:ascii="宋体" w:hAnsi="宋体" w:eastAsia="宋体" w:cs="宋体"/>
                <w:color w:val="auto"/>
                <w:kern w:val="0"/>
                <w:sz w:val="21"/>
                <w:szCs w:val="21"/>
              </w:rPr>
              <w:t>，包含以下内容：</w:t>
            </w:r>
          </w:p>
          <w:p w14:paraId="61D49EF5">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（1）施工质量（安全、环保、工期）保障措施</w:t>
            </w:r>
            <w:r>
              <w:rPr>
                <w:rFonts w:hint="eastAsia" w:ascii="宋体" w:hAnsi="宋体" w:eastAsia="宋体" w:cs="宋体"/>
                <w:color w:val="auto"/>
                <w:kern w:val="0"/>
                <w:sz w:val="21"/>
                <w:szCs w:val="21"/>
              </w:rPr>
              <w:t>；</w:t>
            </w:r>
          </w:p>
          <w:p w14:paraId="08E40658">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（2）售后服务承诺；</w:t>
            </w:r>
          </w:p>
          <w:p w14:paraId="240CF31E">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（3）违约承诺</w:t>
            </w:r>
            <w:r>
              <w:rPr>
                <w:rFonts w:hint="eastAsia" w:ascii="宋体" w:hAnsi="宋体" w:eastAsia="宋体" w:cs="宋体"/>
                <w:color w:val="auto"/>
                <w:kern w:val="0"/>
                <w:sz w:val="21"/>
                <w:szCs w:val="21"/>
              </w:rPr>
              <w:t>。</w:t>
            </w:r>
          </w:p>
          <w:p w14:paraId="099A9518">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lang w:val="en-US" w:eastAsia="zh-CN"/>
              </w:rPr>
              <w:t>2、</w:t>
            </w:r>
            <w:r>
              <w:rPr>
                <w:rFonts w:hint="eastAsia" w:ascii="宋体" w:hAnsi="宋体" w:eastAsia="宋体" w:cs="宋体"/>
                <w:snapToGrid w:val="0"/>
                <w:color w:val="auto"/>
                <w:kern w:val="0"/>
                <w:sz w:val="21"/>
                <w:szCs w:val="21"/>
              </w:rPr>
              <w:t>评分标准：</w:t>
            </w:r>
          </w:p>
          <w:p w14:paraId="02712625">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方案包含以上三项内容得</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分；包含以上二项内容得</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分；包含以上一项内容得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分；其他情况不得分。</w:t>
            </w:r>
          </w:p>
          <w:p w14:paraId="3F1EB8E1">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在此基础上，根据方案响应情况进一步评审：</w:t>
            </w:r>
          </w:p>
          <w:p w14:paraId="7F97E37C">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（1）施工质量（安全、环保、工期）</w:t>
            </w:r>
            <w:r>
              <w:rPr>
                <w:rFonts w:hint="eastAsia" w:ascii="宋体" w:hAnsi="宋体" w:eastAsia="宋体" w:cs="宋体"/>
                <w:color w:val="auto"/>
                <w:sz w:val="21"/>
                <w:szCs w:val="21"/>
                <w:lang w:val="en-US" w:eastAsia="zh-CN"/>
              </w:rPr>
              <w:t>保障措施</w:t>
            </w:r>
            <w:r>
              <w:rPr>
                <w:rFonts w:hint="eastAsia" w:ascii="宋体" w:hAnsi="宋体" w:eastAsia="宋体" w:cs="宋体"/>
                <w:color w:val="auto"/>
                <w:sz w:val="21"/>
                <w:szCs w:val="21"/>
              </w:rPr>
              <w:t>内容全面、具体，可行性高，</w:t>
            </w:r>
            <w:r>
              <w:rPr>
                <w:rFonts w:hint="eastAsia" w:ascii="宋体" w:hAnsi="宋体" w:eastAsia="宋体" w:cs="宋体"/>
                <w:color w:val="auto"/>
                <w:sz w:val="21"/>
                <w:szCs w:val="21"/>
                <w:lang w:val="en-US" w:eastAsia="zh-CN"/>
              </w:rPr>
              <w:t>售后服务承诺及违约承诺内容包含有详细具体售后服务方案和列举全面的违约情况，</w:t>
            </w:r>
            <w:r>
              <w:rPr>
                <w:rFonts w:hint="eastAsia" w:ascii="宋体" w:hAnsi="宋体" w:eastAsia="宋体" w:cs="宋体"/>
                <w:color w:val="auto"/>
                <w:sz w:val="21"/>
                <w:szCs w:val="21"/>
              </w:rPr>
              <w:t>加</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分；</w:t>
            </w:r>
          </w:p>
          <w:p w14:paraId="34F50CB6">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（2）施工质量（安全、环保、工期）</w:t>
            </w:r>
            <w:r>
              <w:rPr>
                <w:rFonts w:hint="eastAsia" w:ascii="宋体" w:hAnsi="宋体" w:eastAsia="宋体" w:cs="宋体"/>
                <w:color w:val="auto"/>
                <w:sz w:val="21"/>
                <w:szCs w:val="21"/>
                <w:lang w:val="en-US" w:eastAsia="zh-CN"/>
              </w:rPr>
              <w:t>保障措施</w:t>
            </w:r>
            <w:r>
              <w:rPr>
                <w:rFonts w:hint="eastAsia" w:ascii="宋体" w:hAnsi="宋体" w:eastAsia="宋体" w:cs="宋体"/>
                <w:color w:val="auto"/>
                <w:sz w:val="21"/>
                <w:szCs w:val="21"/>
              </w:rPr>
              <w:t>方案内容较全面，可行性较高，</w:t>
            </w:r>
            <w:r>
              <w:rPr>
                <w:rFonts w:hint="eastAsia" w:ascii="宋体" w:hAnsi="宋体" w:eastAsia="宋体" w:cs="宋体"/>
                <w:color w:val="auto"/>
                <w:sz w:val="21"/>
                <w:szCs w:val="21"/>
                <w:lang w:val="en-US" w:eastAsia="zh-CN"/>
              </w:rPr>
              <w:t>售后服务承诺及违约承诺内容包含有较详细具体的售后服务方案和列举较全面的违约情况，</w:t>
            </w:r>
            <w:r>
              <w:rPr>
                <w:rFonts w:hint="eastAsia" w:ascii="宋体" w:hAnsi="宋体" w:eastAsia="宋体" w:cs="宋体"/>
                <w:color w:val="auto"/>
                <w:sz w:val="21"/>
                <w:szCs w:val="21"/>
              </w:rPr>
              <w:t>加</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w:t>
            </w:r>
          </w:p>
          <w:p w14:paraId="4453D3F6">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（3）施工质量（安全、环保、工期）</w:t>
            </w:r>
            <w:r>
              <w:rPr>
                <w:rFonts w:hint="eastAsia" w:ascii="宋体" w:hAnsi="宋体" w:eastAsia="宋体" w:cs="宋体"/>
                <w:color w:val="auto"/>
                <w:sz w:val="21"/>
                <w:szCs w:val="21"/>
                <w:lang w:val="en-US" w:eastAsia="zh-CN"/>
              </w:rPr>
              <w:t>保障措施</w:t>
            </w:r>
            <w:r>
              <w:rPr>
                <w:rFonts w:hint="eastAsia" w:ascii="宋体" w:hAnsi="宋体" w:eastAsia="宋体" w:cs="宋体"/>
                <w:color w:val="auto"/>
                <w:sz w:val="21"/>
                <w:szCs w:val="21"/>
              </w:rPr>
              <w:t>方案全面性、可行性一般，</w:t>
            </w:r>
            <w:r>
              <w:rPr>
                <w:rFonts w:hint="eastAsia" w:ascii="宋体" w:hAnsi="宋体" w:eastAsia="宋体" w:cs="宋体"/>
                <w:color w:val="auto"/>
                <w:sz w:val="21"/>
                <w:szCs w:val="21"/>
                <w:lang w:val="en-US" w:eastAsia="zh-CN"/>
              </w:rPr>
              <w:t>售后服务承诺及违约承诺内容包含有一般详细的售后服务方案和列举不太全面的违约情况，</w:t>
            </w:r>
            <w:r>
              <w:rPr>
                <w:rFonts w:hint="eastAsia" w:ascii="宋体" w:hAnsi="宋体" w:eastAsia="宋体" w:cs="宋体"/>
                <w:color w:val="auto"/>
                <w:sz w:val="21"/>
                <w:szCs w:val="21"/>
              </w:rPr>
              <w:t>加</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w:t>
            </w:r>
          </w:p>
          <w:p w14:paraId="750AD9CF">
            <w:pPr>
              <w:rPr>
                <w:rFonts w:hint="default" w:ascii="Times New Roman" w:hAnsi="Times New Roman" w:cs="Times New Roman"/>
                <w:color w:val="FF0000"/>
                <w:kern w:val="0"/>
                <w:sz w:val="21"/>
                <w:szCs w:val="21"/>
                <w:highlight w:val="none"/>
                <w:lang w:val="en-US" w:eastAsia="zh-CN"/>
              </w:rPr>
            </w:pPr>
            <w:r>
              <w:rPr>
                <w:rFonts w:hint="eastAsia" w:ascii="宋体" w:hAnsi="宋体" w:eastAsia="宋体" w:cs="宋体"/>
                <w:color w:val="auto"/>
                <w:sz w:val="21"/>
                <w:szCs w:val="21"/>
              </w:rPr>
              <w:t>（4）施工质量（安全、环保、工期）</w:t>
            </w:r>
            <w:r>
              <w:rPr>
                <w:rFonts w:hint="eastAsia" w:ascii="宋体" w:hAnsi="宋体" w:eastAsia="宋体" w:cs="宋体"/>
                <w:color w:val="auto"/>
                <w:sz w:val="21"/>
                <w:szCs w:val="21"/>
                <w:lang w:val="en-US" w:eastAsia="zh-CN"/>
              </w:rPr>
              <w:t>保障措施</w:t>
            </w:r>
            <w:r>
              <w:rPr>
                <w:rFonts w:hint="eastAsia" w:ascii="宋体" w:hAnsi="宋体" w:eastAsia="宋体" w:cs="宋体"/>
                <w:color w:val="auto"/>
                <w:sz w:val="21"/>
                <w:szCs w:val="21"/>
              </w:rPr>
              <w:t>方案不全，可行性低，</w:t>
            </w:r>
            <w:r>
              <w:rPr>
                <w:rFonts w:hint="eastAsia" w:ascii="宋体" w:hAnsi="宋体" w:eastAsia="宋体" w:cs="宋体"/>
                <w:color w:val="auto"/>
                <w:sz w:val="21"/>
                <w:szCs w:val="21"/>
                <w:lang w:val="en-US" w:eastAsia="zh-CN"/>
              </w:rPr>
              <w:t>售后服务承诺及违约承诺内容粗略，或未提供</w:t>
            </w:r>
            <w:r>
              <w:rPr>
                <w:rFonts w:hint="eastAsia" w:ascii="宋体" w:hAnsi="宋体" w:eastAsia="宋体" w:cs="宋体"/>
                <w:color w:val="auto"/>
                <w:sz w:val="21"/>
                <w:szCs w:val="21"/>
              </w:rPr>
              <w:t>不加分。</w:t>
            </w:r>
          </w:p>
        </w:tc>
        <w:tc>
          <w:tcPr>
            <w:tcW w:w="697" w:type="dxa"/>
            <w:tcBorders>
              <w:left w:val="single" w:color="auto" w:sz="4" w:space="0"/>
            </w:tcBorders>
            <w:vAlign w:val="center"/>
          </w:tcPr>
          <w:p w14:paraId="46A786A6">
            <w:pPr>
              <w:spacing w:line="240" w:lineRule="auto"/>
              <w:ind w:left="-78" w:leftChars="-37" w:right="-73" w:rightChars="-35"/>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w:t>
            </w:r>
          </w:p>
        </w:tc>
      </w:tr>
      <w:tr w14:paraId="183FC9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152A0782">
            <w:pPr>
              <w:pStyle w:val="37"/>
              <w:numPr>
                <w:ilvl w:val="0"/>
                <w:numId w:val="1"/>
              </w:numPr>
              <w:ind w:firstLineChars="0"/>
              <w:jc w:val="right"/>
              <w:rPr>
                <w:rFonts w:ascii="宋体" w:hAnsi="宋体"/>
                <w:szCs w:val="21"/>
              </w:rPr>
            </w:pPr>
          </w:p>
        </w:tc>
        <w:tc>
          <w:tcPr>
            <w:tcW w:w="1355" w:type="dxa"/>
            <w:vAlign w:val="center"/>
          </w:tcPr>
          <w:p w14:paraId="257AFB96">
            <w:pPr>
              <w:jc w:val="center"/>
              <w:rPr>
                <w:rFonts w:ascii="宋体" w:hAnsi="宋体"/>
                <w:color w:val="auto"/>
                <w:szCs w:val="21"/>
              </w:rPr>
            </w:pPr>
            <w:r>
              <w:rPr>
                <w:rFonts w:hint="eastAsia" w:ascii="宋体" w:hAnsi="宋体"/>
                <w:color w:val="auto"/>
                <w:szCs w:val="21"/>
              </w:rPr>
              <w:t>技术</w:t>
            </w:r>
          </w:p>
          <w:p w14:paraId="06BEF95C">
            <w:pPr>
              <w:jc w:val="center"/>
              <w:rPr>
                <w:rFonts w:ascii="宋体" w:hAnsi="宋体"/>
                <w:color w:val="auto"/>
                <w:szCs w:val="21"/>
              </w:rPr>
            </w:pPr>
            <w:r>
              <w:rPr>
                <w:rFonts w:hint="eastAsia" w:ascii="宋体" w:hAnsi="宋体"/>
                <w:color w:val="auto"/>
                <w:szCs w:val="21"/>
              </w:rPr>
              <w:t>保障措施</w:t>
            </w:r>
          </w:p>
        </w:tc>
        <w:tc>
          <w:tcPr>
            <w:tcW w:w="5635" w:type="dxa"/>
            <w:shd w:val="clear" w:color="auto" w:fill="auto"/>
            <w:vAlign w:val="center"/>
          </w:tcPr>
          <w:p w14:paraId="4A76F13F">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eastAsia"/>
                <w:color w:val="auto"/>
                <w:kern w:val="0"/>
                <w:szCs w:val="21"/>
                <w:highlight w:val="none"/>
                <w:lang w:val="en-US" w:eastAsia="zh-CN"/>
              </w:rPr>
              <w:t>1、</w:t>
            </w:r>
            <w:r>
              <w:rPr>
                <w:rFonts w:hint="default"/>
                <w:color w:val="auto"/>
                <w:kern w:val="0"/>
                <w:szCs w:val="21"/>
                <w:highlight w:val="none"/>
              </w:rPr>
              <w:t>评审内容：考察投标人提供的技术保障措施需包含技术方案编制、交底、复核及创新，方案依据、交底频次等细节与可行性；包含以下内容：</w:t>
            </w:r>
          </w:p>
          <w:p w14:paraId="197F2EA9">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（1）技术方案编制；</w:t>
            </w:r>
          </w:p>
          <w:p w14:paraId="302A3D48">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（2）技术交底；</w:t>
            </w:r>
          </w:p>
          <w:p w14:paraId="5DCCD34E">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（3）技术复核；</w:t>
            </w:r>
          </w:p>
          <w:p w14:paraId="2A107BF7">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（4）技术创新或优化。</w:t>
            </w:r>
          </w:p>
          <w:p w14:paraId="400F767E">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eastAsia"/>
                <w:color w:val="auto"/>
                <w:kern w:val="0"/>
                <w:szCs w:val="21"/>
                <w:highlight w:val="none"/>
                <w:lang w:val="en-US" w:eastAsia="zh-CN"/>
              </w:rPr>
              <w:t>2、</w:t>
            </w:r>
            <w:r>
              <w:rPr>
                <w:rFonts w:hint="default"/>
                <w:color w:val="auto"/>
                <w:kern w:val="0"/>
                <w:szCs w:val="21"/>
                <w:highlight w:val="none"/>
              </w:rPr>
              <w:t>评分标准：</w:t>
            </w:r>
          </w:p>
          <w:p w14:paraId="56379B52">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完整包含四项内容，得</w:t>
            </w:r>
            <w:r>
              <w:rPr>
                <w:rFonts w:hint="eastAsia"/>
                <w:color w:val="auto"/>
                <w:kern w:val="0"/>
                <w:szCs w:val="21"/>
                <w:highlight w:val="none"/>
                <w:lang w:val="en-US" w:eastAsia="zh-CN"/>
              </w:rPr>
              <w:t>4</w:t>
            </w:r>
            <w:r>
              <w:rPr>
                <w:rFonts w:hint="default"/>
                <w:color w:val="auto"/>
                <w:kern w:val="0"/>
                <w:szCs w:val="21"/>
                <w:highlight w:val="none"/>
              </w:rPr>
              <w:t>分；包含任意三项内容，得</w:t>
            </w:r>
            <w:r>
              <w:rPr>
                <w:rFonts w:hint="eastAsia"/>
                <w:color w:val="auto"/>
                <w:kern w:val="0"/>
                <w:szCs w:val="21"/>
                <w:highlight w:val="none"/>
                <w:lang w:val="en-US" w:eastAsia="zh-CN"/>
              </w:rPr>
              <w:t>3</w:t>
            </w:r>
            <w:r>
              <w:rPr>
                <w:rFonts w:hint="default"/>
                <w:color w:val="auto"/>
                <w:kern w:val="0"/>
                <w:szCs w:val="21"/>
                <w:highlight w:val="none"/>
              </w:rPr>
              <w:t>分；包含任意两项内容，得</w:t>
            </w:r>
            <w:r>
              <w:rPr>
                <w:rFonts w:hint="eastAsia"/>
                <w:color w:val="auto"/>
                <w:kern w:val="0"/>
                <w:szCs w:val="21"/>
                <w:highlight w:val="none"/>
                <w:lang w:val="en-US" w:eastAsia="zh-CN"/>
              </w:rPr>
              <w:t>2</w:t>
            </w:r>
            <w:r>
              <w:rPr>
                <w:rFonts w:hint="default"/>
                <w:color w:val="auto"/>
                <w:kern w:val="0"/>
                <w:szCs w:val="21"/>
                <w:highlight w:val="none"/>
              </w:rPr>
              <w:t>分；</w:t>
            </w:r>
            <w:r>
              <w:rPr>
                <w:rFonts w:hint="eastAsia"/>
                <w:color w:val="auto"/>
                <w:kern w:val="0"/>
                <w:szCs w:val="21"/>
                <w:highlight w:val="none"/>
                <w:lang w:val="en-US" w:eastAsia="zh-CN"/>
              </w:rPr>
              <w:t>除此之外</w:t>
            </w:r>
            <w:r>
              <w:rPr>
                <w:rFonts w:hint="default"/>
                <w:color w:val="auto"/>
                <w:kern w:val="0"/>
                <w:szCs w:val="21"/>
                <w:highlight w:val="none"/>
              </w:rPr>
              <w:t>，不得分。</w:t>
            </w:r>
          </w:p>
          <w:p w14:paraId="013A99ED">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在此基础上，根据方案响应情况进一步评审：</w:t>
            </w:r>
          </w:p>
          <w:p w14:paraId="65602E90">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（1）技术保障措施内容全面、具体，可行性高，加</w:t>
            </w:r>
            <w:r>
              <w:rPr>
                <w:rFonts w:hint="eastAsia"/>
                <w:color w:val="auto"/>
                <w:kern w:val="0"/>
                <w:szCs w:val="21"/>
                <w:highlight w:val="none"/>
                <w:lang w:val="en-US" w:eastAsia="zh-CN"/>
              </w:rPr>
              <w:t>6</w:t>
            </w:r>
            <w:r>
              <w:rPr>
                <w:rFonts w:hint="default"/>
                <w:color w:val="auto"/>
                <w:kern w:val="0"/>
                <w:szCs w:val="21"/>
                <w:highlight w:val="none"/>
              </w:rPr>
              <w:t>分；</w:t>
            </w:r>
          </w:p>
          <w:p w14:paraId="1047EA2B">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（2）技术保障措施内容较全面，可行性较高，加</w:t>
            </w:r>
            <w:r>
              <w:rPr>
                <w:rFonts w:hint="eastAsia"/>
                <w:color w:val="auto"/>
                <w:kern w:val="0"/>
                <w:szCs w:val="21"/>
                <w:highlight w:val="none"/>
                <w:lang w:val="en-US" w:eastAsia="zh-CN"/>
              </w:rPr>
              <w:t>4</w:t>
            </w:r>
            <w:r>
              <w:rPr>
                <w:rFonts w:hint="default"/>
                <w:color w:val="auto"/>
                <w:kern w:val="0"/>
                <w:szCs w:val="21"/>
                <w:highlight w:val="none"/>
              </w:rPr>
              <w:t>分；</w:t>
            </w:r>
          </w:p>
          <w:p w14:paraId="3A696E77">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default"/>
                <w:color w:val="auto"/>
                <w:kern w:val="0"/>
                <w:szCs w:val="21"/>
                <w:highlight w:val="none"/>
              </w:rPr>
            </w:pPr>
            <w:r>
              <w:rPr>
                <w:rFonts w:hint="default"/>
                <w:color w:val="auto"/>
                <w:kern w:val="0"/>
                <w:szCs w:val="21"/>
                <w:highlight w:val="none"/>
              </w:rPr>
              <w:t>（3）技术保障措施内容全面性、可行性一般，加</w:t>
            </w:r>
            <w:r>
              <w:rPr>
                <w:rFonts w:hint="eastAsia"/>
                <w:color w:val="auto"/>
                <w:kern w:val="0"/>
                <w:szCs w:val="21"/>
                <w:highlight w:val="none"/>
                <w:lang w:val="en-US" w:eastAsia="zh-CN"/>
              </w:rPr>
              <w:t>2</w:t>
            </w:r>
            <w:r>
              <w:rPr>
                <w:rFonts w:hint="default"/>
                <w:color w:val="auto"/>
                <w:kern w:val="0"/>
                <w:szCs w:val="21"/>
                <w:highlight w:val="none"/>
              </w:rPr>
              <w:t>分；</w:t>
            </w:r>
          </w:p>
          <w:p w14:paraId="6901E753">
            <w:pPr>
              <w:keepNext w:val="0"/>
              <w:keepLines w:val="0"/>
              <w:pageBreakBefore w:val="0"/>
              <w:widowControl w:val="0"/>
              <w:kinsoku/>
              <w:wordWrap/>
              <w:overflowPunct/>
              <w:topLinePunct w:val="0"/>
              <w:autoSpaceDE/>
              <w:autoSpaceDN/>
              <w:bidi w:val="0"/>
              <w:adjustRightInd/>
              <w:snapToGrid/>
              <w:spacing w:line="240" w:lineRule="auto"/>
              <w:ind w:left="-78" w:leftChars="-37" w:right="-73" w:rightChars="-35"/>
              <w:jc w:val="left"/>
              <w:textAlignment w:val="auto"/>
              <w:rPr>
                <w:rFonts w:hint="eastAsia"/>
                <w:color w:val="auto"/>
                <w:lang w:val="en-US" w:eastAsia="zh-CN"/>
              </w:rPr>
            </w:pPr>
            <w:r>
              <w:rPr>
                <w:rFonts w:hint="default"/>
                <w:color w:val="auto"/>
                <w:kern w:val="0"/>
                <w:szCs w:val="21"/>
                <w:highlight w:val="none"/>
              </w:rPr>
              <w:t>（4）技术保障措施内容不全，可行性低，不加分。</w:t>
            </w:r>
          </w:p>
        </w:tc>
        <w:tc>
          <w:tcPr>
            <w:tcW w:w="697" w:type="dxa"/>
            <w:tcBorders>
              <w:left w:val="single" w:color="auto" w:sz="4" w:space="0"/>
            </w:tcBorders>
            <w:vAlign w:val="center"/>
          </w:tcPr>
          <w:p w14:paraId="36A91BFE">
            <w:pPr>
              <w:spacing w:line="240" w:lineRule="auto"/>
              <w:ind w:left="-78" w:leftChars="-37" w:right="-73" w:rightChars="-35"/>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10</w:t>
            </w:r>
          </w:p>
        </w:tc>
      </w:tr>
      <w:tr w14:paraId="515AA7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5577B308">
            <w:pPr>
              <w:pStyle w:val="37"/>
              <w:numPr>
                <w:ilvl w:val="0"/>
                <w:numId w:val="1"/>
              </w:numPr>
              <w:ind w:firstLineChars="0"/>
              <w:jc w:val="right"/>
              <w:rPr>
                <w:rFonts w:ascii="宋体" w:hAnsi="宋体"/>
                <w:szCs w:val="21"/>
              </w:rPr>
            </w:pPr>
          </w:p>
        </w:tc>
        <w:tc>
          <w:tcPr>
            <w:tcW w:w="1355" w:type="dxa"/>
            <w:vAlign w:val="center"/>
          </w:tcPr>
          <w:p w14:paraId="0CE63485">
            <w:pPr>
              <w:jc w:val="center"/>
              <w:rPr>
                <w:rFonts w:ascii="宋体" w:hAnsi="宋体"/>
                <w:color w:val="auto"/>
                <w:szCs w:val="21"/>
              </w:rPr>
            </w:pPr>
            <w:r>
              <w:rPr>
                <w:rFonts w:hint="eastAsia" w:ascii="宋体" w:hAnsi="宋体"/>
                <w:color w:val="auto"/>
                <w:szCs w:val="21"/>
              </w:rPr>
              <w:t>安全</w:t>
            </w:r>
          </w:p>
          <w:p w14:paraId="1A27B3AB">
            <w:pPr>
              <w:jc w:val="center"/>
              <w:rPr>
                <w:rFonts w:ascii="宋体" w:hAnsi="宋体"/>
                <w:color w:val="auto"/>
                <w:szCs w:val="21"/>
              </w:rPr>
            </w:pPr>
            <w:r>
              <w:rPr>
                <w:rFonts w:hint="eastAsia" w:ascii="宋体" w:hAnsi="宋体"/>
                <w:color w:val="auto"/>
                <w:szCs w:val="21"/>
              </w:rPr>
              <w:t>保障措施</w:t>
            </w:r>
          </w:p>
        </w:tc>
        <w:tc>
          <w:tcPr>
            <w:tcW w:w="5635" w:type="dxa"/>
            <w:shd w:val="clear" w:color="auto" w:fill="auto"/>
            <w:vAlign w:val="center"/>
          </w:tcPr>
          <w:p w14:paraId="2A0B7B57">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评审内容：考察投标人提供</w:t>
            </w:r>
            <w:r>
              <w:rPr>
                <w:rFonts w:hint="eastAsia" w:ascii="宋体" w:hAnsi="宋体" w:eastAsia="宋体" w:cs="宋体"/>
                <w:color w:val="auto"/>
                <w:sz w:val="21"/>
                <w:szCs w:val="21"/>
                <w:lang w:val="en-US" w:eastAsia="zh-CN"/>
              </w:rPr>
              <w:t>的</w:t>
            </w:r>
            <w:r>
              <w:rPr>
                <w:rFonts w:hint="eastAsia" w:ascii="宋体" w:hAnsi="宋体" w:eastAsia="宋体" w:cs="宋体"/>
                <w:color w:val="auto"/>
                <w:sz w:val="21"/>
                <w:szCs w:val="21"/>
              </w:rPr>
              <w:t>安全保障措施</w:t>
            </w:r>
            <w:r>
              <w:rPr>
                <w:rFonts w:hint="eastAsia" w:ascii="宋体" w:hAnsi="宋体" w:eastAsia="宋体" w:cs="宋体"/>
                <w:color w:val="auto"/>
                <w:sz w:val="21"/>
                <w:szCs w:val="21"/>
                <w:lang w:val="en-US" w:eastAsia="zh-CN"/>
              </w:rPr>
              <w:t>需包</w:t>
            </w:r>
            <w:r>
              <w:rPr>
                <w:rFonts w:hint="eastAsia" w:ascii="宋体" w:hAnsi="宋体" w:eastAsia="宋体" w:cs="宋体"/>
                <w:color w:val="auto"/>
                <w:sz w:val="21"/>
                <w:szCs w:val="21"/>
              </w:rPr>
              <w:t>含安全制度、培训、防护及应急管理，制度条款、培训内容等细节与可行性，包含以下内容：</w:t>
            </w:r>
          </w:p>
          <w:p w14:paraId="7CA3FE8A">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（1）安全制度建立</w:t>
            </w:r>
            <w:r>
              <w:rPr>
                <w:rFonts w:hint="eastAsia" w:ascii="宋体" w:hAnsi="宋体" w:eastAsia="宋体" w:cs="宋体"/>
                <w:color w:val="auto"/>
                <w:sz w:val="21"/>
                <w:szCs w:val="21"/>
                <w:lang w:eastAsia="zh-CN"/>
              </w:rPr>
              <w:t>；</w:t>
            </w:r>
          </w:p>
          <w:p w14:paraId="2A3248FF">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（2）安全培训</w:t>
            </w:r>
            <w:r>
              <w:rPr>
                <w:rFonts w:hint="eastAsia" w:ascii="宋体" w:hAnsi="宋体" w:eastAsia="宋体" w:cs="宋体"/>
                <w:color w:val="auto"/>
                <w:sz w:val="21"/>
                <w:szCs w:val="21"/>
                <w:lang w:eastAsia="zh-CN"/>
              </w:rPr>
              <w:t>；</w:t>
            </w:r>
          </w:p>
          <w:p w14:paraId="73D2E6BB">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（3）现场安全防护</w:t>
            </w:r>
            <w:r>
              <w:rPr>
                <w:rFonts w:hint="eastAsia" w:ascii="宋体" w:hAnsi="宋体" w:eastAsia="宋体" w:cs="宋体"/>
                <w:color w:val="auto"/>
                <w:sz w:val="21"/>
                <w:szCs w:val="21"/>
                <w:lang w:eastAsia="zh-CN"/>
              </w:rPr>
              <w:t>；</w:t>
            </w:r>
          </w:p>
          <w:p w14:paraId="7A01CBF0">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（4）应急管理</w:t>
            </w:r>
            <w:r>
              <w:rPr>
                <w:rFonts w:hint="eastAsia" w:ascii="宋体" w:hAnsi="宋体" w:eastAsia="宋体" w:cs="宋体"/>
                <w:color w:val="auto"/>
                <w:sz w:val="21"/>
                <w:szCs w:val="21"/>
                <w:lang w:eastAsia="zh-CN"/>
              </w:rPr>
              <w:t>。</w:t>
            </w:r>
          </w:p>
          <w:p w14:paraId="41C68E4B">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评分标准：</w:t>
            </w:r>
          </w:p>
          <w:p w14:paraId="59A4F3C9">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完整包含四项内容，得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分；包含任意三项内容，得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分；包含任意两项内容，得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分；仅包含任意一项内容，得</w:t>
            </w:r>
            <w:r>
              <w:rPr>
                <w:rFonts w:hint="eastAsia" w:ascii="宋体" w:hAnsi="宋体" w:cs="宋体"/>
                <w:color w:val="auto"/>
                <w:sz w:val="21"/>
                <w:szCs w:val="21"/>
                <w:lang w:val="en-US" w:eastAsia="zh-CN"/>
              </w:rPr>
              <w:t>0.5</w:t>
            </w:r>
            <w:r>
              <w:rPr>
                <w:rFonts w:hint="eastAsia" w:ascii="宋体" w:hAnsi="宋体" w:eastAsia="宋体" w:cs="宋体"/>
                <w:color w:val="auto"/>
                <w:sz w:val="21"/>
                <w:szCs w:val="21"/>
              </w:rPr>
              <w:t>分；未提及任何核心内容，不得分。</w:t>
            </w:r>
          </w:p>
          <w:p w14:paraId="7EAC6A3E">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在此基础上，根据方案响应情况进一步评审：</w:t>
            </w:r>
          </w:p>
          <w:p w14:paraId="54B125FF">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（1）安全保障措施方案内容全面、具体，可实施性</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可操作性高，加</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w:t>
            </w:r>
          </w:p>
          <w:p w14:paraId="71D03BCC">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（2）安全保障措施方案内容较全面，可实施性</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可操作性较高，加</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w:t>
            </w:r>
          </w:p>
          <w:p w14:paraId="3382C7A3">
            <w:pPr>
              <w:keepNext w:val="0"/>
              <w:keepLines w:val="0"/>
              <w:pageBreakBefore w:val="0"/>
              <w:kinsoku/>
              <w:wordWrap/>
              <w:overflowPunct/>
              <w:topLinePunct w:val="0"/>
              <w:bidi w:val="0"/>
              <w:spacing w:line="240" w:lineRule="auto"/>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（3）安全保障措施方案全面性、可实施性</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可操作性性一般，加</w:t>
            </w:r>
            <w:r>
              <w:rPr>
                <w:rFonts w:hint="eastAsia" w:ascii="宋体" w:hAnsi="宋体" w:cs="宋体"/>
                <w:color w:val="auto"/>
                <w:sz w:val="21"/>
                <w:szCs w:val="21"/>
                <w:lang w:val="en-US" w:eastAsia="zh-CN"/>
              </w:rPr>
              <w:t>0.5</w:t>
            </w:r>
            <w:r>
              <w:rPr>
                <w:rFonts w:hint="eastAsia" w:ascii="宋体" w:hAnsi="宋体" w:eastAsia="宋体" w:cs="宋体"/>
                <w:color w:val="auto"/>
                <w:sz w:val="21"/>
                <w:szCs w:val="21"/>
              </w:rPr>
              <w:t>分；</w:t>
            </w:r>
          </w:p>
          <w:p w14:paraId="6CC38A42">
            <w:pPr>
              <w:rPr>
                <w:rFonts w:hint="eastAsia"/>
                <w:color w:val="auto"/>
                <w:lang w:val="en-US" w:eastAsia="zh-CN"/>
              </w:rPr>
            </w:pPr>
            <w:r>
              <w:rPr>
                <w:rFonts w:hint="eastAsia" w:ascii="宋体" w:hAnsi="宋体" w:eastAsia="宋体" w:cs="宋体"/>
                <w:color w:val="auto"/>
                <w:sz w:val="21"/>
                <w:szCs w:val="21"/>
              </w:rPr>
              <w:t>（4）安全保障措施方案不全，可实施性</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可操作性低，不加分。</w:t>
            </w:r>
          </w:p>
        </w:tc>
        <w:tc>
          <w:tcPr>
            <w:tcW w:w="697" w:type="dxa"/>
            <w:tcBorders>
              <w:left w:val="single" w:color="auto" w:sz="4" w:space="0"/>
            </w:tcBorders>
            <w:vAlign w:val="center"/>
          </w:tcPr>
          <w:p w14:paraId="4BDAA552">
            <w:pPr>
              <w:ind w:left="-78" w:leftChars="-37" w:right="-73" w:rightChars="-35"/>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p>
        </w:tc>
      </w:tr>
      <w:tr w14:paraId="3519A2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41884A2A">
            <w:pPr>
              <w:pStyle w:val="37"/>
              <w:numPr>
                <w:ilvl w:val="0"/>
                <w:numId w:val="1"/>
              </w:numPr>
              <w:ind w:firstLineChars="0"/>
              <w:jc w:val="right"/>
              <w:rPr>
                <w:rFonts w:ascii="宋体" w:hAnsi="宋体"/>
                <w:szCs w:val="21"/>
              </w:rPr>
            </w:pPr>
          </w:p>
        </w:tc>
        <w:tc>
          <w:tcPr>
            <w:tcW w:w="1355" w:type="dxa"/>
            <w:vAlign w:val="center"/>
          </w:tcPr>
          <w:p w14:paraId="75454605">
            <w:pPr>
              <w:jc w:val="left"/>
              <w:rPr>
                <w:rFonts w:ascii="宋体" w:hAnsi="宋体"/>
                <w:color w:val="auto"/>
                <w:szCs w:val="21"/>
              </w:rPr>
            </w:pPr>
            <w:r>
              <w:rPr>
                <w:rFonts w:hint="eastAsia" w:ascii="宋体" w:hAnsi="宋体"/>
                <w:color w:val="auto"/>
                <w:szCs w:val="21"/>
              </w:rPr>
              <w:t>劳动力、机械设备（或者场地）、材料投入计划及其保证措施</w:t>
            </w:r>
          </w:p>
        </w:tc>
        <w:tc>
          <w:tcPr>
            <w:tcW w:w="5635" w:type="dxa"/>
            <w:shd w:val="clear" w:color="auto" w:fill="auto"/>
            <w:vAlign w:val="center"/>
          </w:tcPr>
          <w:p w14:paraId="43407DD0">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评审内容：考察</w:t>
            </w:r>
            <w:r>
              <w:rPr>
                <w:rFonts w:hint="eastAsia" w:ascii="宋体" w:hAnsi="宋体" w:eastAsia="宋体" w:cs="宋体"/>
                <w:color w:val="auto"/>
                <w:sz w:val="21"/>
                <w:szCs w:val="21"/>
                <w:lang w:val="en-US" w:eastAsia="zh-CN"/>
              </w:rPr>
              <w:t>投标人</w:t>
            </w:r>
            <w:r>
              <w:rPr>
                <w:rFonts w:hint="eastAsia" w:ascii="宋体" w:hAnsi="宋体" w:eastAsia="宋体" w:cs="宋体"/>
                <w:color w:val="auto"/>
                <w:sz w:val="21"/>
                <w:szCs w:val="21"/>
              </w:rPr>
              <w:t>劳动力、机械设备（或者场地）、材料投入计划及其保证措施</w:t>
            </w:r>
            <w:r>
              <w:rPr>
                <w:rFonts w:hint="eastAsia" w:ascii="宋体" w:hAnsi="宋体" w:eastAsia="宋体" w:cs="宋体"/>
                <w:color w:val="auto"/>
                <w:sz w:val="21"/>
                <w:szCs w:val="21"/>
                <w:lang w:val="en-US" w:eastAsia="zh-CN"/>
              </w:rPr>
              <w:t>需包</w:t>
            </w:r>
            <w:r>
              <w:rPr>
                <w:rFonts w:hint="eastAsia" w:ascii="宋体" w:hAnsi="宋体" w:eastAsia="宋体" w:cs="宋体"/>
                <w:color w:val="auto"/>
                <w:sz w:val="21"/>
                <w:szCs w:val="21"/>
              </w:rPr>
              <w:t>含劳动力、机械设备（场地）、材料的配置与保障，三类资源的配置、时间、要求及保障措施细节、数据匹配度与可行性；包含以下内容：</w:t>
            </w:r>
          </w:p>
          <w:p w14:paraId="297A13FD">
            <w:pPr>
              <w:keepNext w:val="0"/>
              <w:keepLines w:val="0"/>
              <w:pageBreakBefore w:val="0"/>
              <w:kinsoku/>
              <w:wordWrap/>
              <w:overflowPunct/>
              <w:topLinePunct w:val="0"/>
              <w:bidi w:val="0"/>
              <w:spacing w:line="240" w:lineRule="auto"/>
              <w:ind w:left="-78" w:leftChars="-37" w:right="-73" w:rightChars="-35"/>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（1）劳动力配置与保障（工种、时间、技能）、</w:t>
            </w:r>
          </w:p>
          <w:p w14:paraId="220A0065">
            <w:pPr>
              <w:keepNext w:val="0"/>
              <w:keepLines w:val="0"/>
              <w:pageBreakBefore w:val="0"/>
              <w:kinsoku/>
              <w:wordWrap/>
              <w:overflowPunct/>
              <w:topLinePunct w:val="0"/>
              <w:bidi w:val="0"/>
              <w:spacing w:line="240" w:lineRule="auto"/>
              <w:ind w:left="-78" w:leftChars="-37" w:right="-73" w:rightChars="-35"/>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（2）机械设备（场地）配置与保障（类型、数量、规划）、（3）材料配置与保障（类型、规格、质量）</w:t>
            </w:r>
          </w:p>
          <w:p w14:paraId="7216C094">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评分标准：</w:t>
            </w:r>
          </w:p>
          <w:p w14:paraId="3A907F67">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完整包含三项内容，得3分；包含二项内容，得2分；包含一项内容，得1分；未提及任何内容，不得分。</w:t>
            </w:r>
          </w:p>
          <w:p w14:paraId="6D47F5EC">
            <w:pPr>
              <w:keepNext w:val="0"/>
              <w:keepLines w:val="0"/>
              <w:pageBreakBefore w:val="0"/>
              <w:kinsoku/>
              <w:wordWrap/>
              <w:overflowPunct/>
              <w:topLinePunct w:val="0"/>
              <w:bidi w:val="0"/>
              <w:spacing w:line="240" w:lineRule="auto"/>
              <w:ind w:left="-78" w:leftChars="-37" w:right="-73" w:rightChars="-35"/>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在此基础上，根据方案响应情况进一步评审：</w:t>
            </w:r>
          </w:p>
          <w:p w14:paraId="2E821DC7">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（1）劳动力配置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机械设备（场地）配置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材料配置方案内容全面、具体，</w:t>
            </w:r>
            <w:r>
              <w:rPr>
                <w:rFonts w:hint="eastAsia" w:ascii="宋体" w:hAnsi="宋体" w:eastAsia="宋体" w:cs="宋体"/>
                <w:color w:val="auto"/>
                <w:sz w:val="21"/>
                <w:szCs w:val="21"/>
                <w:lang w:val="en-US" w:eastAsia="zh-CN"/>
              </w:rPr>
              <w:t>对应保障方案的</w:t>
            </w:r>
            <w:r>
              <w:rPr>
                <w:rFonts w:hint="eastAsia" w:ascii="宋体" w:hAnsi="宋体" w:eastAsia="宋体" w:cs="宋体"/>
                <w:color w:val="auto"/>
                <w:sz w:val="21"/>
                <w:szCs w:val="21"/>
              </w:rPr>
              <w:t>可行性高，加</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w:t>
            </w:r>
          </w:p>
          <w:p w14:paraId="3E2CCA9C">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（2）劳动力配置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机械设备（场地）配置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材料配置方案内容较全面，</w:t>
            </w:r>
            <w:r>
              <w:rPr>
                <w:rFonts w:hint="eastAsia" w:ascii="宋体" w:hAnsi="宋体" w:eastAsia="宋体" w:cs="宋体"/>
                <w:color w:val="auto"/>
                <w:sz w:val="21"/>
                <w:szCs w:val="21"/>
                <w:lang w:val="en-US" w:eastAsia="zh-CN"/>
              </w:rPr>
              <w:t>对应保障方案的</w:t>
            </w:r>
            <w:r>
              <w:rPr>
                <w:rFonts w:hint="eastAsia" w:ascii="宋体" w:hAnsi="宋体" w:eastAsia="宋体" w:cs="宋体"/>
                <w:color w:val="auto"/>
                <w:sz w:val="21"/>
                <w:szCs w:val="21"/>
              </w:rPr>
              <w:t>可行性较高，加</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w:t>
            </w:r>
          </w:p>
          <w:p w14:paraId="18C98FE9">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（3）劳动力配置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机械设备（场地）配置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材料配置方案全面性</w:t>
            </w:r>
            <w:r>
              <w:rPr>
                <w:rFonts w:hint="eastAsia" w:ascii="宋体" w:hAnsi="宋体" w:eastAsia="宋体" w:cs="宋体"/>
                <w:color w:val="auto"/>
                <w:sz w:val="21"/>
                <w:szCs w:val="21"/>
                <w:lang w:val="en-US" w:eastAsia="zh-CN"/>
              </w:rPr>
              <w:t>一般，对应保障方案的</w:t>
            </w:r>
            <w:r>
              <w:rPr>
                <w:rFonts w:hint="eastAsia" w:ascii="宋体" w:hAnsi="宋体" w:eastAsia="宋体" w:cs="宋体"/>
                <w:color w:val="auto"/>
                <w:sz w:val="21"/>
                <w:szCs w:val="21"/>
              </w:rPr>
              <w:t>可行性一般，加</w:t>
            </w:r>
            <w:r>
              <w:rPr>
                <w:rFonts w:hint="eastAsia" w:ascii="宋体" w:hAnsi="宋体" w:cs="宋体"/>
                <w:color w:val="auto"/>
                <w:sz w:val="21"/>
                <w:szCs w:val="21"/>
                <w:lang w:val="en-US" w:eastAsia="zh-CN"/>
              </w:rPr>
              <w:t>0.5</w:t>
            </w:r>
            <w:r>
              <w:rPr>
                <w:rFonts w:hint="eastAsia" w:ascii="宋体" w:hAnsi="宋体" w:eastAsia="宋体" w:cs="宋体"/>
                <w:color w:val="auto"/>
                <w:sz w:val="21"/>
                <w:szCs w:val="21"/>
              </w:rPr>
              <w:t>分；</w:t>
            </w:r>
          </w:p>
          <w:p w14:paraId="64D4BDD2">
            <w:pPr>
              <w:rPr>
                <w:rFonts w:hint="eastAsia"/>
                <w:color w:val="auto"/>
                <w:lang w:val="en-US" w:eastAsia="zh-CN"/>
              </w:rPr>
            </w:pPr>
            <w:r>
              <w:rPr>
                <w:rFonts w:hint="eastAsia" w:ascii="宋体" w:hAnsi="宋体" w:eastAsia="宋体" w:cs="宋体"/>
                <w:color w:val="auto"/>
                <w:sz w:val="21"/>
                <w:szCs w:val="21"/>
              </w:rPr>
              <w:t>（4）劳动力配置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机械设备（场地）配置</w:t>
            </w:r>
            <w:r>
              <w:rPr>
                <w:rFonts w:hint="eastAsia" w:ascii="宋体" w:hAnsi="宋体" w:cs="宋体"/>
                <w:color w:val="auto"/>
                <w:sz w:val="21"/>
                <w:szCs w:val="21"/>
                <w:lang w:eastAsia="zh-CN"/>
              </w:rPr>
              <w:t>、</w:t>
            </w:r>
            <w:r>
              <w:rPr>
                <w:rFonts w:hint="eastAsia" w:ascii="宋体" w:hAnsi="宋体" w:eastAsia="宋体" w:cs="宋体"/>
                <w:color w:val="auto"/>
                <w:sz w:val="21"/>
                <w:szCs w:val="21"/>
              </w:rPr>
              <w:t>材料配置方案不全，</w:t>
            </w:r>
            <w:r>
              <w:rPr>
                <w:rFonts w:hint="eastAsia" w:ascii="宋体" w:hAnsi="宋体" w:eastAsia="宋体" w:cs="宋体"/>
                <w:color w:val="auto"/>
                <w:sz w:val="21"/>
                <w:szCs w:val="21"/>
                <w:lang w:val="en-US" w:eastAsia="zh-CN"/>
              </w:rPr>
              <w:t>对应保障方案的</w:t>
            </w:r>
            <w:r>
              <w:rPr>
                <w:rFonts w:hint="eastAsia" w:ascii="宋体" w:hAnsi="宋体" w:eastAsia="宋体" w:cs="宋体"/>
                <w:color w:val="auto"/>
                <w:sz w:val="21"/>
                <w:szCs w:val="21"/>
              </w:rPr>
              <w:t>可行性低，不加分。</w:t>
            </w:r>
          </w:p>
        </w:tc>
        <w:tc>
          <w:tcPr>
            <w:tcW w:w="697" w:type="dxa"/>
            <w:tcBorders>
              <w:left w:val="single" w:color="auto" w:sz="4" w:space="0"/>
            </w:tcBorders>
            <w:vAlign w:val="center"/>
          </w:tcPr>
          <w:p w14:paraId="581E8448">
            <w:pPr>
              <w:ind w:left="-78" w:leftChars="-37" w:right="-73" w:rightChars="-35"/>
              <w:jc w:val="center"/>
              <w:rPr>
                <w:rFonts w:hint="eastAsia"/>
                <w:color w:val="000000" w:themeColor="text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p>
        </w:tc>
      </w:tr>
      <w:tr w14:paraId="4737E0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8" w:hRule="atLeast"/>
        </w:trPr>
        <w:tc>
          <w:tcPr>
            <w:tcW w:w="680" w:type="dxa"/>
            <w:tcBorders>
              <w:top w:val="single" w:color="auto" w:sz="4" w:space="0"/>
            </w:tcBorders>
            <w:vAlign w:val="center"/>
          </w:tcPr>
          <w:p w14:paraId="60307F6F">
            <w:pPr>
              <w:pStyle w:val="37"/>
              <w:numPr>
                <w:ilvl w:val="0"/>
                <w:numId w:val="1"/>
              </w:numPr>
              <w:ind w:firstLineChars="0"/>
              <w:jc w:val="right"/>
              <w:rPr>
                <w:rFonts w:ascii="宋体" w:hAnsi="宋体"/>
                <w:szCs w:val="21"/>
              </w:rPr>
            </w:pPr>
          </w:p>
        </w:tc>
        <w:tc>
          <w:tcPr>
            <w:tcW w:w="1355" w:type="dxa"/>
            <w:vAlign w:val="center"/>
          </w:tcPr>
          <w:p w14:paraId="0893AA50">
            <w:pPr>
              <w:jc w:val="center"/>
              <w:rPr>
                <w:rFonts w:ascii="宋体" w:hAnsi="宋体"/>
                <w:color w:val="auto"/>
                <w:szCs w:val="21"/>
              </w:rPr>
            </w:pPr>
            <w:r>
              <w:rPr>
                <w:rFonts w:hint="eastAsia" w:ascii="宋体" w:hAnsi="宋体" w:cs="宋体"/>
                <w:color w:val="auto"/>
              </w:rPr>
              <w:t>项目实施的重点、难点分析和解决方案</w:t>
            </w:r>
          </w:p>
        </w:tc>
        <w:tc>
          <w:tcPr>
            <w:tcW w:w="5635" w:type="dxa"/>
            <w:shd w:val="clear" w:color="auto" w:fill="auto"/>
            <w:vAlign w:val="center"/>
          </w:tcPr>
          <w:p w14:paraId="0B13A25E">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snapToGrid w:val="0"/>
                <w:color w:val="auto"/>
                <w:kern w:val="0"/>
                <w:sz w:val="21"/>
                <w:szCs w:val="21"/>
              </w:rPr>
              <w:t>评审内容：考察投标人提供的</w:t>
            </w:r>
            <w:r>
              <w:rPr>
                <w:rFonts w:hint="eastAsia" w:ascii="宋体" w:hAnsi="宋体" w:eastAsia="宋体" w:cs="宋体"/>
                <w:color w:val="auto"/>
                <w:sz w:val="21"/>
                <w:szCs w:val="21"/>
              </w:rPr>
              <w:t>重难点分析和解决方案</w:t>
            </w:r>
            <w:r>
              <w:rPr>
                <w:rFonts w:hint="eastAsia" w:ascii="宋体" w:hAnsi="宋体" w:eastAsia="宋体" w:cs="宋体"/>
                <w:color w:val="auto"/>
                <w:kern w:val="0"/>
                <w:sz w:val="21"/>
                <w:szCs w:val="21"/>
              </w:rPr>
              <w:t>，包含以下内容：</w:t>
            </w:r>
          </w:p>
          <w:p w14:paraId="5C6CF1AD">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（1）</w:t>
            </w:r>
            <w:r>
              <w:rPr>
                <w:rStyle w:val="46"/>
                <w:rFonts w:hint="eastAsia" w:ascii="宋体" w:hAnsi="宋体" w:eastAsia="宋体" w:cs="宋体"/>
                <w:bCs/>
                <w:color w:val="auto"/>
                <w:sz w:val="21"/>
                <w:szCs w:val="21"/>
              </w:rPr>
              <w:t>项目关键施工技术重点、难点分析</w:t>
            </w:r>
            <w:r>
              <w:rPr>
                <w:rFonts w:hint="eastAsia" w:ascii="宋体" w:hAnsi="宋体" w:eastAsia="宋体" w:cs="宋体"/>
                <w:color w:val="auto"/>
                <w:kern w:val="0"/>
                <w:sz w:val="21"/>
                <w:szCs w:val="21"/>
              </w:rPr>
              <w:t>；</w:t>
            </w:r>
          </w:p>
          <w:p w14:paraId="49D59D01">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（2）</w:t>
            </w:r>
            <w:r>
              <w:rPr>
                <w:rStyle w:val="46"/>
                <w:rFonts w:hint="eastAsia" w:ascii="宋体" w:hAnsi="宋体" w:eastAsia="宋体" w:cs="宋体"/>
                <w:bCs/>
                <w:color w:val="auto"/>
                <w:sz w:val="21"/>
                <w:szCs w:val="21"/>
              </w:rPr>
              <w:t>重点、难点解决方案</w:t>
            </w:r>
            <w:r>
              <w:rPr>
                <w:rFonts w:hint="eastAsia" w:ascii="宋体" w:hAnsi="宋体" w:eastAsia="宋体" w:cs="宋体"/>
                <w:color w:val="auto"/>
                <w:kern w:val="0"/>
                <w:sz w:val="21"/>
                <w:szCs w:val="21"/>
              </w:rPr>
              <w:t>；</w:t>
            </w:r>
          </w:p>
          <w:p w14:paraId="19A3E9E0">
            <w:pPr>
              <w:keepNext w:val="0"/>
              <w:keepLines w:val="0"/>
              <w:pageBreakBefore w:val="0"/>
              <w:kinsoku/>
              <w:wordWrap/>
              <w:overflowPunct/>
              <w:topLinePunct w:val="0"/>
              <w:autoSpaceDE w:val="0"/>
              <w:autoSpaceDN w:val="0"/>
              <w:bidi w:val="0"/>
              <w:adjustRightInd w:val="0"/>
              <w:spacing w:line="24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（3）相关合理化建议</w:t>
            </w:r>
            <w:r>
              <w:rPr>
                <w:rFonts w:hint="eastAsia" w:ascii="宋体" w:hAnsi="宋体" w:eastAsia="宋体" w:cs="宋体"/>
                <w:color w:val="auto"/>
                <w:kern w:val="0"/>
                <w:sz w:val="21"/>
                <w:szCs w:val="21"/>
              </w:rPr>
              <w:t>。</w:t>
            </w:r>
          </w:p>
          <w:p w14:paraId="02C5367C">
            <w:pPr>
              <w:keepNext w:val="0"/>
              <w:keepLines w:val="0"/>
              <w:pageBreakBefore w:val="0"/>
              <w:kinsoku/>
              <w:wordWrap/>
              <w:overflowPunct/>
              <w:topLinePunct w:val="0"/>
              <w:bidi w:val="0"/>
              <w:adjustRightInd w:val="0"/>
              <w:snapToGrid w:val="0"/>
              <w:spacing w:line="240" w:lineRule="auto"/>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评分标准：</w:t>
            </w:r>
          </w:p>
          <w:p w14:paraId="72D6D525">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方案包含以上三项内容得</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分；包含以上二项内容得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分；包含以上一项内容得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分；其他情况不得分。</w:t>
            </w:r>
          </w:p>
          <w:p w14:paraId="1D0947E0">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在此基础上，根据方案响应情况进一步评审：</w:t>
            </w:r>
          </w:p>
          <w:p w14:paraId="0A1700FF">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Style w:val="46"/>
                <w:rFonts w:hint="eastAsia" w:ascii="宋体" w:hAnsi="宋体" w:eastAsia="宋体" w:cs="宋体"/>
                <w:bCs/>
                <w:color w:val="auto"/>
                <w:sz w:val="21"/>
                <w:szCs w:val="21"/>
              </w:rPr>
              <w:t>项目关键施工技术重点、难点分析</w:t>
            </w:r>
            <w:r>
              <w:rPr>
                <w:rStyle w:val="46"/>
                <w:rFonts w:hint="eastAsia" w:ascii="宋体" w:hAnsi="宋体" w:eastAsia="宋体" w:cs="宋体"/>
                <w:bCs/>
                <w:color w:val="auto"/>
                <w:sz w:val="21"/>
                <w:szCs w:val="21"/>
                <w:lang w:val="en-US" w:eastAsia="zh-CN"/>
              </w:rPr>
              <w:t>切合实际、分析透彻，</w:t>
            </w:r>
            <w:r>
              <w:rPr>
                <w:rStyle w:val="46"/>
                <w:rFonts w:hint="eastAsia" w:ascii="宋体" w:hAnsi="宋体" w:eastAsia="宋体" w:cs="宋体"/>
                <w:bCs/>
                <w:color w:val="auto"/>
                <w:sz w:val="21"/>
                <w:szCs w:val="21"/>
              </w:rPr>
              <w:t>重点、难点解决</w:t>
            </w:r>
            <w:r>
              <w:rPr>
                <w:rFonts w:hint="eastAsia" w:ascii="宋体" w:hAnsi="宋体" w:eastAsia="宋体" w:cs="宋体"/>
                <w:color w:val="auto"/>
                <w:sz w:val="21"/>
                <w:szCs w:val="21"/>
              </w:rPr>
              <w:t>方案内容全面、具体，相关合理化建议可行性高，加</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分；</w:t>
            </w:r>
          </w:p>
          <w:p w14:paraId="220F86F3">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Style w:val="46"/>
                <w:rFonts w:hint="eastAsia" w:ascii="宋体" w:hAnsi="宋体" w:eastAsia="宋体" w:cs="宋体"/>
                <w:bCs/>
                <w:color w:val="auto"/>
                <w:sz w:val="21"/>
                <w:szCs w:val="21"/>
              </w:rPr>
              <w:t>项目关键施工技术重点、难点分析</w:t>
            </w:r>
            <w:r>
              <w:rPr>
                <w:rStyle w:val="46"/>
                <w:rFonts w:hint="eastAsia" w:ascii="宋体" w:hAnsi="宋体" w:eastAsia="宋体" w:cs="宋体"/>
                <w:bCs/>
                <w:color w:val="auto"/>
                <w:sz w:val="21"/>
                <w:szCs w:val="21"/>
                <w:lang w:val="en-US" w:eastAsia="zh-CN"/>
              </w:rPr>
              <w:t>较切合实际、分析较透彻，</w:t>
            </w:r>
            <w:r>
              <w:rPr>
                <w:rStyle w:val="46"/>
                <w:rFonts w:hint="eastAsia" w:ascii="宋体" w:hAnsi="宋体" w:eastAsia="宋体" w:cs="宋体"/>
                <w:bCs/>
                <w:color w:val="auto"/>
                <w:sz w:val="21"/>
                <w:szCs w:val="21"/>
              </w:rPr>
              <w:t>重点、难点解决</w:t>
            </w:r>
            <w:r>
              <w:rPr>
                <w:rFonts w:hint="eastAsia" w:ascii="宋体" w:hAnsi="宋体" w:eastAsia="宋体" w:cs="宋体"/>
                <w:color w:val="auto"/>
                <w:sz w:val="21"/>
                <w:szCs w:val="21"/>
              </w:rPr>
              <w:t>方案内容较全面，相关合理化建议可行性较高，加</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w:t>
            </w:r>
          </w:p>
          <w:p w14:paraId="58B7A788">
            <w:pPr>
              <w:keepNext w:val="0"/>
              <w:keepLines w:val="0"/>
              <w:pageBreakBefore w:val="0"/>
              <w:kinsoku/>
              <w:wordWrap/>
              <w:overflowPunct/>
              <w:topLinePunct w:val="0"/>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Style w:val="46"/>
                <w:rFonts w:hint="eastAsia" w:ascii="宋体" w:hAnsi="宋体" w:eastAsia="宋体" w:cs="宋体"/>
                <w:bCs/>
                <w:color w:val="auto"/>
                <w:sz w:val="21"/>
                <w:szCs w:val="21"/>
              </w:rPr>
              <w:t>项目关键施工技术重点、难点分析</w:t>
            </w:r>
            <w:r>
              <w:rPr>
                <w:rStyle w:val="46"/>
                <w:rFonts w:hint="eastAsia" w:ascii="宋体" w:hAnsi="宋体" w:eastAsia="宋体" w:cs="宋体"/>
                <w:bCs/>
                <w:color w:val="auto"/>
                <w:sz w:val="21"/>
                <w:szCs w:val="21"/>
                <w:lang w:val="en-US" w:eastAsia="zh-CN"/>
              </w:rPr>
              <w:t>一般切合实际、分析一般透彻，</w:t>
            </w:r>
            <w:r>
              <w:rPr>
                <w:rStyle w:val="46"/>
                <w:rFonts w:hint="eastAsia" w:ascii="宋体" w:hAnsi="宋体" w:eastAsia="宋体" w:cs="宋体"/>
                <w:bCs/>
                <w:color w:val="auto"/>
                <w:sz w:val="21"/>
                <w:szCs w:val="21"/>
              </w:rPr>
              <w:t>重点、难点解决</w:t>
            </w:r>
            <w:r>
              <w:rPr>
                <w:rFonts w:hint="eastAsia" w:ascii="宋体" w:hAnsi="宋体" w:eastAsia="宋体" w:cs="宋体"/>
                <w:color w:val="auto"/>
                <w:sz w:val="21"/>
                <w:szCs w:val="21"/>
              </w:rPr>
              <w:t>方案全面性一般</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相关合理化建议可行性一般，加</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w:t>
            </w:r>
          </w:p>
          <w:p w14:paraId="4691114D">
            <w:pPr>
              <w:rPr>
                <w:rFonts w:hint="eastAsia"/>
                <w:color w:val="auto"/>
                <w:sz w:val="21"/>
                <w:szCs w:val="21"/>
                <w:lang w:val="en-US" w:eastAsia="zh-CN"/>
              </w:rPr>
            </w:pPr>
            <w:r>
              <w:rPr>
                <w:rFonts w:hint="eastAsia" w:ascii="宋体" w:hAnsi="宋体" w:eastAsia="宋体" w:cs="宋体"/>
                <w:color w:val="auto"/>
                <w:sz w:val="21"/>
                <w:szCs w:val="21"/>
              </w:rPr>
              <w:t>（4）</w:t>
            </w:r>
            <w:r>
              <w:rPr>
                <w:rStyle w:val="46"/>
                <w:rFonts w:hint="eastAsia" w:ascii="宋体" w:hAnsi="宋体" w:eastAsia="宋体" w:cs="宋体"/>
                <w:bCs/>
                <w:color w:val="auto"/>
                <w:sz w:val="21"/>
                <w:szCs w:val="21"/>
              </w:rPr>
              <w:t>项目关键施工技术重点、难点分析</w:t>
            </w:r>
            <w:r>
              <w:rPr>
                <w:rStyle w:val="46"/>
                <w:rFonts w:hint="eastAsia" w:ascii="宋体" w:hAnsi="宋体" w:eastAsia="宋体" w:cs="宋体"/>
                <w:bCs/>
                <w:color w:val="auto"/>
                <w:sz w:val="21"/>
                <w:szCs w:val="21"/>
                <w:lang w:val="en-US" w:eastAsia="zh-CN"/>
              </w:rPr>
              <w:t>不切合实际、分析不透彻，</w:t>
            </w:r>
            <w:r>
              <w:rPr>
                <w:rStyle w:val="46"/>
                <w:rFonts w:hint="eastAsia" w:ascii="宋体" w:hAnsi="宋体" w:eastAsia="宋体" w:cs="宋体"/>
                <w:bCs/>
                <w:color w:val="auto"/>
                <w:sz w:val="21"/>
                <w:szCs w:val="21"/>
              </w:rPr>
              <w:t>重点、难点解决</w:t>
            </w:r>
            <w:r>
              <w:rPr>
                <w:rFonts w:hint="eastAsia" w:ascii="宋体" w:hAnsi="宋体" w:eastAsia="宋体" w:cs="宋体"/>
                <w:color w:val="auto"/>
                <w:sz w:val="21"/>
                <w:szCs w:val="21"/>
              </w:rPr>
              <w:t>方案不全，相关合理化建议可行性低，不加分。</w:t>
            </w:r>
          </w:p>
        </w:tc>
        <w:tc>
          <w:tcPr>
            <w:tcW w:w="697" w:type="dxa"/>
            <w:tcBorders>
              <w:left w:val="single" w:color="auto" w:sz="4" w:space="0"/>
            </w:tcBorders>
            <w:vAlign w:val="center"/>
          </w:tcPr>
          <w:p w14:paraId="080EF6DF">
            <w:pPr>
              <w:ind w:left="-78" w:leftChars="-37" w:right="-73" w:rightChars="-35"/>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9</w:t>
            </w:r>
          </w:p>
        </w:tc>
      </w:tr>
      <w:tr w14:paraId="71FAF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8" w:hRule="atLeast"/>
        </w:trPr>
        <w:tc>
          <w:tcPr>
            <w:tcW w:w="680" w:type="dxa"/>
            <w:tcBorders>
              <w:top w:val="single" w:color="auto" w:sz="4" w:space="0"/>
            </w:tcBorders>
            <w:vAlign w:val="center"/>
          </w:tcPr>
          <w:p w14:paraId="7165F0F1">
            <w:pPr>
              <w:pStyle w:val="37"/>
              <w:numPr>
                <w:ilvl w:val="0"/>
                <w:numId w:val="1"/>
              </w:numPr>
              <w:ind w:firstLineChars="0"/>
              <w:jc w:val="right"/>
              <w:rPr>
                <w:rFonts w:ascii="宋体" w:hAnsi="宋体"/>
                <w:szCs w:val="21"/>
              </w:rPr>
            </w:pPr>
          </w:p>
        </w:tc>
        <w:tc>
          <w:tcPr>
            <w:tcW w:w="1355" w:type="dxa"/>
            <w:vAlign w:val="center"/>
          </w:tcPr>
          <w:p w14:paraId="0575E456">
            <w:pPr>
              <w:jc w:val="left"/>
              <w:rPr>
                <w:rFonts w:hint="eastAsia" w:ascii="宋体" w:hAnsi="宋体" w:cs="宋体"/>
                <w:color w:val="auto"/>
              </w:rPr>
            </w:pPr>
            <w:r>
              <w:rPr>
                <w:rFonts w:hint="eastAsia" w:ascii="宋体" w:hAnsi="宋体"/>
                <w:color w:val="auto"/>
                <w:highlight w:val="none"/>
              </w:rPr>
              <w:t>拟安排的项目主要团队成员（主要技术人员）情况</w:t>
            </w:r>
          </w:p>
        </w:tc>
        <w:tc>
          <w:tcPr>
            <w:tcW w:w="5635" w:type="dxa"/>
            <w:shd w:val="clear" w:color="auto" w:fill="auto"/>
            <w:vAlign w:val="center"/>
          </w:tcPr>
          <w:p w14:paraId="38F041B6">
            <w:pPr>
              <w:pStyle w:val="5"/>
              <w:keepNext w:val="0"/>
              <w:keepLines w:val="0"/>
              <w:pageBreakBefore w:val="0"/>
              <w:widowControl w:val="0"/>
              <w:kinsoku/>
              <w:wordWrap/>
              <w:overflowPunct/>
              <w:topLinePunct w:val="0"/>
              <w:bidi w:val="0"/>
              <w:snapToGrid/>
              <w:ind w:firstLineChars="0"/>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（一）评审内容：</w:t>
            </w:r>
          </w:p>
          <w:p w14:paraId="3586B7BD">
            <w:pPr>
              <w:pStyle w:val="5"/>
              <w:jc w:val="left"/>
            </w:pPr>
            <w:r>
              <w:rPr>
                <w:rFonts w:hint="eastAsia"/>
                <w:color w:val="auto"/>
                <w:highlight w:val="none"/>
              </w:rPr>
              <w:t>拟投入本项目的项目团队成员须为本单位人员，在此基础上：</w:t>
            </w:r>
          </w:p>
          <w:p w14:paraId="013B1EA5">
            <w:pPr>
              <w:pStyle w:val="5"/>
            </w:pPr>
            <w:r>
              <w:rPr>
                <w:rFonts w:hint="eastAsia" w:ascii="Times New Roman" w:hAnsi="Times New Roman" w:cs="Times New Roman"/>
                <w:color w:val="auto"/>
                <w:kern w:val="0"/>
                <w:sz w:val="21"/>
                <w:szCs w:val="21"/>
                <w:lang w:eastAsia="zh-CN"/>
              </w:rPr>
              <w:t>（</w:t>
            </w:r>
            <w:r>
              <w:rPr>
                <w:rFonts w:hint="eastAsia" w:ascii="Times New Roman" w:hAnsi="Times New Roman" w:cs="Times New Roman"/>
                <w:color w:val="auto"/>
                <w:kern w:val="0"/>
                <w:sz w:val="21"/>
                <w:szCs w:val="21"/>
                <w:lang w:val="en-US" w:eastAsia="zh-CN"/>
              </w:rPr>
              <w:t>1</w:t>
            </w:r>
            <w:r>
              <w:rPr>
                <w:rFonts w:hint="eastAsia" w:ascii="Times New Roman" w:hAnsi="Times New Roman" w:cs="Times New Roman"/>
                <w:color w:val="auto"/>
                <w:kern w:val="0"/>
                <w:sz w:val="21"/>
                <w:szCs w:val="21"/>
                <w:lang w:eastAsia="zh-CN"/>
              </w:rPr>
              <w:t>）</w:t>
            </w:r>
            <w:r>
              <w:rPr>
                <w:rFonts w:hint="eastAsia" w:cs="Times New Roman"/>
                <w:color w:val="auto"/>
                <w:kern w:val="0"/>
                <w:sz w:val="21"/>
                <w:szCs w:val="21"/>
                <w:lang w:val="en-US" w:eastAsia="zh-CN"/>
              </w:rPr>
              <w:t>每提供一个</w:t>
            </w:r>
            <w:r>
              <w:rPr>
                <w:rFonts w:hint="eastAsia" w:ascii="Times New Roman" w:hAnsi="Times New Roman" w:cs="Times New Roman"/>
                <w:color w:val="auto"/>
                <w:kern w:val="0"/>
                <w:sz w:val="21"/>
                <w:szCs w:val="21"/>
                <w:lang w:val="en-US" w:eastAsia="zh-CN"/>
              </w:rPr>
              <w:t>环境类</w:t>
            </w:r>
            <w:r>
              <w:rPr>
                <w:rFonts w:hint="default" w:ascii="Times New Roman" w:hAnsi="Times New Roman" w:cs="Times New Roman"/>
                <w:color w:val="auto"/>
                <w:kern w:val="0"/>
                <w:sz w:val="21"/>
                <w:szCs w:val="21"/>
              </w:rPr>
              <w:t>专业副高级或以上职称</w:t>
            </w:r>
            <w:r>
              <w:rPr>
                <w:rFonts w:hint="eastAsia" w:cs="Times New Roman"/>
                <w:color w:val="auto"/>
                <w:kern w:val="0"/>
                <w:sz w:val="21"/>
                <w:szCs w:val="21"/>
                <w:lang w:val="en-US" w:eastAsia="zh-CN"/>
              </w:rPr>
              <w:t>人员</w:t>
            </w:r>
            <w:r>
              <w:rPr>
                <w:rFonts w:hint="default" w:ascii="Times New Roman" w:hAnsi="Times New Roman" w:cs="Times New Roman"/>
                <w:color w:val="auto"/>
                <w:kern w:val="0"/>
                <w:sz w:val="21"/>
                <w:szCs w:val="21"/>
              </w:rPr>
              <w:t>得</w:t>
            </w:r>
            <w:r>
              <w:rPr>
                <w:rFonts w:hint="eastAsia" w:cs="Times New Roman"/>
                <w:color w:val="auto"/>
                <w:kern w:val="0"/>
                <w:sz w:val="21"/>
                <w:szCs w:val="21"/>
                <w:lang w:val="en-US" w:eastAsia="zh-CN"/>
              </w:rPr>
              <w:t>3分，最高得6分</w:t>
            </w:r>
            <w:r>
              <w:rPr>
                <w:rFonts w:hint="eastAsia"/>
                <w:color w:val="auto"/>
                <w:highlight w:val="none"/>
              </w:rPr>
              <w:t>；</w:t>
            </w:r>
          </w:p>
          <w:p w14:paraId="6021B6F2">
            <w:pPr>
              <w:pStyle w:val="5"/>
              <w:numPr>
                <w:ilvl w:val="0"/>
                <w:numId w:val="0"/>
              </w:numPr>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cs="Times New Roman"/>
                <w:color w:val="auto"/>
                <w:kern w:val="0"/>
                <w:sz w:val="21"/>
                <w:szCs w:val="21"/>
                <w:lang w:val="en-US" w:eastAsia="zh-CN"/>
              </w:rPr>
              <w:t>每提供一个</w:t>
            </w:r>
            <w:r>
              <w:rPr>
                <w:rFonts w:hint="eastAsia" w:ascii="Times New Roman" w:hAnsi="Times New Roman" w:cs="Times New Roman"/>
                <w:color w:val="auto"/>
                <w:kern w:val="0"/>
                <w:sz w:val="21"/>
                <w:szCs w:val="21"/>
                <w:lang w:val="en-US" w:eastAsia="zh-CN"/>
              </w:rPr>
              <w:t>环境类</w:t>
            </w:r>
            <w:r>
              <w:rPr>
                <w:rFonts w:hint="default" w:ascii="Times New Roman" w:hAnsi="Times New Roman" w:cs="Times New Roman"/>
                <w:color w:val="auto"/>
                <w:kern w:val="0"/>
                <w:sz w:val="21"/>
                <w:szCs w:val="21"/>
              </w:rPr>
              <w:t>专业</w:t>
            </w:r>
            <w:r>
              <w:rPr>
                <w:rFonts w:hint="eastAsia" w:cs="Times New Roman"/>
                <w:color w:val="auto"/>
                <w:kern w:val="0"/>
                <w:sz w:val="21"/>
                <w:szCs w:val="21"/>
                <w:lang w:val="en-US" w:eastAsia="zh-CN"/>
              </w:rPr>
              <w:t>中</w:t>
            </w:r>
            <w:r>
              <w:rPr>
                <w:rFonts w:hint="default" w:ascii="Times New Roman" w:hAnsi="Times New Roman" w:cs="Times New Roman"/>
                <w:color w:val="auto"/>
                <w:kern w:val="0"/>
                <w:sz w:val="21"/>
                <w:szCs w:val="21"/>
              </w:rPr>
              <w:t>级职称</w:t>
            </w:r>
            <w:r>
              <w:rPr>
                <w:rFonts w:hint="eastAsia" w:cs="Times New Roman"/>
                <w:color w:val="auto"/>
                <w:kern w:val="0"/>
                <w:sz w:val="21"/>
                <w:szCs w:val="21"/>
                <w:lang w:val="en-US" w:eastAsia="zh-CN"/>
              </w:rPr>
              <w:t>人员</w:t>
            </w:r>
            <w:r>
              <w:rPr>
                <w:rFonts w:hint="default" w:ascii="Times New Roman" w:hAnsi="Times New Roman" w:cs="Times New Roman"/>
                <w:color w:val="auto"/>
                <w:kern w:val="0"/>
                <w:sz w:val="21"/>
                <w:szCs w:val="21"/>
              </w:rPr>
              <w:t>得</w:t>
            </w:r>
            <w:r>
              <w:rPr>
                <w:rFonts w:hint="eastAsia" w:cs="Times New Roman"/>
                <w:color w:val="auto"/>
                <w:kern w:val="0"/>
                <w:sz w:val="21"/>
                <w:szCs w:val="21"/>
                <w:lang w:val="en-US" w:eastAsia="zh-CN"/>
              </w:rPr>
              <w:t>2分，最高得4分</w:t>
            </w:r>
            <w:r>
              <w:rPr>
                <w:rFonts w:hint="eastAsia"/>
                <w:color w:val="auto"/>
                <w:highlight w:val="none"/>
              </w:rPr>
              <w:t>；</w:t>
            </w:r>
          </w:p>
          <w:p w14:paraId="236C0790">
            <w:pPr>
              <w:pStyle w:val="5"/>
              <w:numPr>
                <w:ilvl w:val="0"/>
                <w:numId w:val="0"/>
              </w:numP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以上两项累计计分，最高得10分。</w:t>
            </w:r>
          </w:p>
          <w:p w14:paraId="1A3A190C">
            <w:pPr>
              <w:pStyle w:val="5"/>
              <w:rPr>
                <w:color w:val="auto"/>
                <w:highlight w:val="none"/>
              </w:rPr>
            </w:pPr>
            <w:r>
              <w:rPr>
                <w:rFonts w:hint="default" w:ascii="Times New Roman" w:hAnsi="Times New Roman" w:cs="Times New Roman"/>
                <w:color w:val="auto"/>
                <w:kern w:val="0"/>
                <w:sz w:val="21"/>
                <w:szCs w:val="21"/>
                <w:highlight w:val="none"/>
                <w:lang w:val="en-US" w:eastAsia="zh-CN"/>
              </w:rPr>
              <w:t>（二）评分依据：</w:t>
            </w:r>
          </w:p>
          <w:p w14:paraId="0C6A3998">
            <w:pPr>
              <w:pStyle w:val="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同一人满足多项要求的，只计最高得分项，不重复得分。</w:t>
            </w:r>
          </w:p>
          <w:p w14:paraId="5CDEA449">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default" w:ascii="Times New Roman" w:hAnsi="Times New Roman" w:cs="Times New Roman"/>
                <w:color w:val="auto"/>
                <w:kern w:val="0"/>
                <w:sz w:val="21"/>
                <w:szCs w:val="21"/>
              </w:rPr>
              <w:t>投标人须提供</w:t>
            </w:r>
            <w:r>
              <w:rPr>
                <w:rFonts w:hint="eastAsia" w:ascii="Times New Roman" w:hAnsi="Times New Roman" w:cs="Times New Roman"/>
                <w:color w:val="auto"/>
                <w:kern w:val="0"/>
                <w:sz w:val="21"/>
                <w:szCs w:val="21"/>
                <w:lang w:val="en-US" w:eastAsia="zh-CN"/>
              </w:rPr>
              <w:t>团队成员的</w:t>
            </w:r>
            <w:r>
              <w:rPr>
                <w:rFonts w:hint="default" w:ascii="Times New Roman" w:hAnsi="Times New Roman" w:cs="Times New Roman"/>
                <w:color w:val="auto"/>
                <w:kern w:val="0"/>
                <w:sz w:val="21"/>
                <w:szCs w:val="21"/>
              </w:rPr>
              <w:t>职称证书</w:t>
            </w:r>
          </w:p>
          <w:p w14:paraId="40FE3110">
            <w:r>
              <w:rPr>
                <w:rFonts w:hint="default" w:ascii="Times New Roman" w:hAnsi="Times New Roman" w:cs="Times New Roman"/>
                <w:color w:val="auto"/>
                <w:kern w:val="0"/>
                <w:sz w:val="21"/>
                <w:szCs w:val="21"/>
              </w:rPr>
              <w:t>以及</w:t>
            </w:r>
            <w:r>
              <w:rPr>
                <w:rFonts w:hint="eastAsia" w:cs="Times New Roman"/>
                <w:color w:val="auto"/>
                <w:kern w:val="0"/>
                <w:sz w:val="21"/>
                <w:szCs w:val="21"/>
                <w:lang w:val="en-US" w:eastAsia="zh-CN"/>
              </w:rPr>
              <w:t>提供</w:t>
            </w:r>
            <w:r>
              <w:rPr>
                <w:rFonts w:hint="eastAsia"/>
                <w:color w:val="auto"/>
                <w:lang w:val="en-US" w:eastAsia="zh-CN"/>
              </w:rPr>
              <w:t>投标人为主要团队成员缴纳的</w:t>
            </w:r>
            <w:r>
              <w:rPr>
                <w:rFonts w:hint="default" w:ascii="Times New Roman" w:hAnsi="Times New Roman" w:cs="Times New Roman"/>
                <w:color w:val="auto"/>
                <w:kern w:val="0"/>
                <w:sz w:val="21"/>
                <w:szCs w:val="21"/>
              </w:rPr>
              <w:t>在截标前三个月的社保证明（如开标日上一个月的社保材料因社保部门原因暂时无法取得，则可以往前顺延一个月；如供应商为新成立企业且成立时间不足三个月，可提供加盖公章的情况说明或者证明材料亦视为符合）作为得分依据；</w:t>
            </w:r>
          </w:p>
          <w:p w14:paraId="28670591">
            <w:pPr>
              <w:ind w:left="-78" w:leftChars="-37" w:right="-73" w:rightChars="-35"/>
              <w:jc w:val="left"/>
              <w:rPr>
                <w:rFonts w:hint="eastAsia" w:ascii="宋体" w:hAnsi="宋体" w:eastAsia="宋体" w:cs="宋体"/>
                <w:color w:val="auto"/>
                <w:sz w:val="21"/>
                <w:szCs w:val="21"/>
              </w:rPr>
            </w:pPr>
            <w:r>
              <w:rPr>
                <w:rFonts w:hint="default" w:ascii="Times New Roman" w:hAnsi="Times New Roman" w:cs="Times New Roman"/>
                <w:color w:val="auto"/>
                <w:kern w:val="0"/>
                <w:sz w:val="21"/>
                <w:szCs w:val="21"/>
              </w:rPr>
              <w:t>（</w:t>
            </w:r>
            <w:r>
              <w:rPr>
                <w:rFonts w:hint="eastAsia" w:cs="Times New Roman"/>
                <w:color w:val="auto"/>
                <w:kern w:val="0"/>
                <w:sz w:val="21"/>
                <w:szCs w:val="21"/>
                <w:lang w:val="en-US" w:eastAsia="zh-CN"/>
              </w:rPr>
              <w:t>3</w:t>
            </w:r>
            <w:r>
              <w:rPr>
                <w:rFonts w:hint="default" w:ascii="Times New Roman" w:hAnsi="Times New Roman" w:cs="Times New Roman"/>
                <w:color w:val="auto"/>
                <w:kern w:val="0"/>
                <w:sz w:val="21"/>
                <w:szCs w:val="21"/>
              </w:rPr>
              <w:t>）</w:t>
            </w:r>
            <w:r>
              <w:rPr>
                <w:rFonts w:hint="eastAsia" w:ascii="宋体" w:hAnsi="宋体"/>
                <w:color w:val="auto"/>
                <w:szCs w:val="21"/>
                <w:highlight w:val="none"/>
              </w:rPr>
              <w:t>以上资料均要求提供扫描件</w:t>
            </w:r>
            <w:r>
              <w:rPr>
                <w:rFonts w:hint="default" w:ascii="Times New Roman" w:hAnsi="Times New Roman" w:cs="Times New Roman"/>
                <w:color w:val="auto"/>
                <w:kern w:val="0"/>
                <w:sz w:val="21"/>
                <w:szCs w:val="21"/>
              </w:rPr>
              <w:t>（或官方网站截图），原件备查。评分中出现无证明资料或专家无法凭所提供资料判断是否得分的情况，一律作不得分处理。</w:t>
            </w:r>
          </w:p>
        </w:tc>
        <w:tc>
          <w:tcPr>
            <w:tcW w:w="697" w:type="dxa"/>
            <w:tcBorders>
              <w:left w:val="single" w:color="auto" w:sz="4" w:space="0"/>
            </w:tcBorders>
            <w:vAlign w:val="center"/>
          </w:tcPr>
          <w:p w14:paraId="66EE6133">
            <w:pPr>
              <w:ind w:left="-78" w:leftChars="-37" w:right="-73" w:rightChars="-35"/>
              <w:jc w:val="center"/>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10</w:t>
            </w:r>
          </w:p>
        </w:tc>
      </w:tr>
      <w:tr w14:paraId="1C8393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vAlign w:val="center"/>
          </w:tcPr>
          <w:p w14:paraId="60A73DAB">
            <w:pPr>
              <w:ind w:left="-78" w:leftChars="-37" w:right="-73" w:rightChars="-35"/>
              <w:jc w:val="center"/>
              <w:rPr>
                <w:rFonts w:ascii="宋体" w:hAnsi="宋体" w:cs="宋体"/>
                <w:b/>
                <w:szCs w:val="21"/>
              </w:rPr>
            </w:pPr>
            <w:r>
              <w:rPr>
                <w:rFonts w:hint="eastAsia" w:ascii="宋体" w:hAnsi="宋体" w:cs="宋体"/>
                <w:b/>
                <w:szCs w:val="21"/>
              </w:rPr>
              <w:t>二</w:t>
            </w:r>
          </w:p>
        </w:tc>
        <w:tc>
          <w:tcPr>
            <w:tcW w:w="7687" w:type="dxa"/>
            <w:gridSpan w:val="3"/>
            <w:tcBorders>
              <w:top w:val="single" w:color="auto" w:sz="4" w:space="0"/>
            </w:tcBorders>
            <w:vAlign w:val="center"/>
          </w:tcPr>
          <w:p w14:paraId="0826AFB8">
            <w:pPr>
              <w:ind w:left="-78" w:leftChars="-37" w:right="-73" w:rightChars="-35"/>
              <w:jc w:val="center"/>
              <w:rPr>
                <w:rFonts w:hint="default" w:ascii="宋体" w:hAnsi="宋体" w:eastAsia="宋体" w:cs="宋体"/>
                <w:b/>
                <w:color w:val="000000" w:themeColor="text1"/>
                <w:szCs w:val="21"/>
                <w:lang w:val="en-US" w:eastAsia="zh-CN"/>
                <w14:textFill>
                  <w14:solidFill>
                    <w14:schemeClr w14:val="tx1"/>
                  </w14:solidFill>
                </w14:textFill>
              </w:rPr>
            </w:pPr>
            <w:r>
              <w:rPr>
                <w:rFonts w:hint="eastAsia" w:ascii="宋体" w:hAnsi="宋体" w:cs="宋体"/>
                <w:b/>
                <w:color w:val="000000" w:themeColor="text1"/>
                <w:szCs w:val="21"/>
                <w:lang w:val="en-US" w:eastAsia="zh-CN"/>
                <w14:textFill>
                  <w14:solidFill>
                    <w14:schemeClr w14:val="tx1"/>
                  </w14:solidFill>
                </w14:textFill>
              </w:rPr>
              <w:t>11分</w:t>
            </w:r>
          </w:p>
        </w:tc>
      </w:tr>
      <w:tr w14:paraId="132B7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20FE4C3E">
            <w:pPr>
              <w:pStyle w:val="37"/>
              <w:numPr>
                <w:ilvl w:val="0"/>
                <w:numId w:val="2"/>
              </w:numPr>
              <w:ind w:firstLineChars="0"/>
              <w:jc w:val="center"/>
              <w:rPr>
                <w:rFonts w:ascii="宋体" w:hAnsi="宋体"/>
                <w:szCs w:val="21"/>
              </w:rPr>
            </w:pPr>
          </w:p>
        </w:tc>
        <w:tc>
          <w:tcPr>
            <w:tcW w:w="1355" w:type="dxa"/>
            <w:vAlign w:val="center"/>
          </w:tcPr>
          <w:p w14:paraId="4AC181CF">
            <w:pPr>
              <w:jc w:val="left"/>
              <w:rPr>
                <w:rFonts w:hAnsi="宋体"/>
                <w:bCs/>
                <w:color w:val="auto"/>
                <w:highlight w:val="green"/>
              </w:rPr>
            </w:pPr>
            <w:r>
              <w:rPr>
                <w:rFonts w:hint="eastAsia" w:ascii="宋体" w:cs="宋体"/>
                <w:color w:val="auto"/>
              </w:rPr>
              <w:t>投标人同类项目业绩情况</w:t>
            </w:r>
          </w:p>
        </w:tc>
        <w:tc>
          <w:tcPr>
            <w:tcW w:w="5635" w:type="dxa"/>
            <w:vAlign w:val="center"/>
          </w:tcPr>
          <w:p w14:paraId="5909EB6A">
            <w:pPr>
              <w:ind w:left="-78" w:leftChars="-37" w:right="-73" w:rightChars="-35"/>
              <w:jc w:val="left"/>
              <w:rPr>
                <w:rFonts w:hint="eastAsia" w:ascii="仿宋_GB2312" w:hAnsi="华文仿宋" w:cs="宋体"/>
                <w:color w:val="auto"/>
              </w:rPr>
            </w:pPr>
            <w:r>
              <w:rPr>
                <w:rFonts w:hint="default" w:ascii="Times New Roman" w:hAnsi="Times New Roman" w:cs="Times New Roman"/>
                <w:color w:val="auto"/>
                <w:kern w:val="0"/>
                <w:sz w:val="21"/>
                <w:szCs w:val="21"/>
                <w:highlight w:val="none"/>
              </w:rPr>
              <w:t>（一）评审内容：</w:t>
            </w:r>
          </w:p>
          <w:p w14:paraId="3B4A75D3">
            <w:pPr>
              <w:ind w:left="-78" w:leftChars="-37" w:right="-73" w:rightChars="-35"/>
              <w:jc w:val="left"/>
              <w:rPr>
                <w:rFonts w:hint="eastAsia" w:ascii="Times New Roman" w:hAnsi="Times New Roman" w:eastAsia="宋体" w:cs="Times New Roman"/>
                <w:color w:val="auto"/>
                <w:kern w:val="2"/>
                <w:sz w:val="21"/>
                <w:szCs w:val="24"/>
                <w:lang w:val="en-US" w:eastAsia="zh-CN" w:bidi="ar-SA"/>
              </w:rPr>
            </w:pPr>
            <w:r>
              <w:rPr>
                <w:rFonts w:hint="eastAsia" w:ascii="宋体" w:hAnsi="宋体" w:eastAsia="宋体" w:cs="宋体"/>
                <w:color w:val="auto"/>
                <w:sz w:val="22"/>
                <w:szCs w:val="22"/>
                <w:highlight w:val="none"/>
              </w:rPr>
              <w:t>投标人提供20</w:t>
            </w:r>
            <w:r>
              <w:rPr>
                <w:rFonts w:hint="eastAsia" w:ascii="宋体" w:hAnsi="宋体" w:eastAsia="宋体" w:cs="宋体"/>
                <w:color w:val="auto"/>
                <w:sz w:val="22"/>
                <w:szCs w:val="22"/>
                <w:highlight w:val="none"/>
                <w:lang w:val="en-US" w:eastAsia="zh-CN"/>
              </w:rPr>
              <w:t>23</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1日</w:t>
            </w:r>
            <w:r>
              <w:rPr>
                <w:rFonts w:hint="eastAsia" w:ascii="宋体" w:hAnsi="宋体" w:eastAsia="宋体" w:cs="宋体"/>
                <w:color w:val="auto"/>
                <w:sz w:val="22"/>
                <w:szCs w:val="22"/>
                <w:highlight w:val="none"/>
              </w:rPr>
              <w:t>至投标截止时间前</w:t>
            </w:r>
            <w:r>
              <w:rPr>
                <w:rFonts w:hint="eastAsia" w:ascii="仿宋_GB2312" w:hAnsi="华文仿宋" w:cs="宋体"/>
                <w:color w:val="auto"/>
                <w:lang w:val="en-US" w:eastAsia="zh-CN"/>
              </w:rPr>
              <w:t>同类工程项目的业绩证明，</w:t>
            </w:r>
            <w:r>
              <w:rPr>
                <w:rFonts w:hint="eastAsia" w:ascii="Times New Roman" w:hAnsi="Times New Roman" w:eastAsia="宋体" w:cs="Times New Roman"/>
                <w:color w:val="auto"/>
                <w:kern w:val="2"/>
                <w:sz w:val="21"/>
                <w:szCs w:val="24"/>
                <w:lang w:val="en-US" w:eastAsia="zh-CN" w:bidi="ar-SA"/>
              </w:rPr>
              <w:t>每提供1个得</w:t>
            </w:r>
            <w:r>
              <w:rPr>
                <w:rFonts w:hint="eastAsia" w:ascii="Times New Roman" w:hAnsi="Times New Roman"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分，最高得</w:t>
            </w:r>
            <w:r>
              <w:rPr>
                <w:rFonts w:hint="eastAsia" w:ascii="Times New Roman" w:hAnsi="Times New Roman" w:cs="Times New Roman"/>
                <w:color w:val="auto"/>
                <w:kern w:val="2"/>
                <w:sz w:val="21"/>
                <w:szCs w:val="24"/>
                <w:lang w:val="en-US" w:eastAsia="zh-CN" w:bidi="ar-SA"/>
              </w:rPr>
              <w:t>6</w:t>
            </w:r>
            <w:r>
              <w:rPr>
                <w:rFonts w:hint="eastAsia" w:ascii="Times New Roman" w:hAnsi="Times New Roman" w:eastAsia="宋体" w:cs="Times New Roman"/>
                <w:color w:val="auto"/>
                <w:kern w:val="2"/>
                <w:sz w:val="21"/>
                <w:szCs w:val="24"/>
                <w:lang w:val="en-US" w:eastAsia="zh-CN" w:bidi="ar-SA"/>
              </w:rPr>
              <w:t>分。</w:t>
            </w:r>
          </w:p>
          <w:p w14:paraId="0A54BA4F">
            <w:pPr>
              <w:ind w:left="-78" w:leftChars="-37" w:right="-73" w:rightChars="-35"/>
              <w:jc w:val="left"/>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定义：</w:t>
            </w:r>
          </w:p>
          <w:p w14:paraId="61353BA8">
            <w:pPr>
              <w:numPr>
                <w:ilvl w:val="0"/>
                <w:numId w:val="3"/>
              </w:numPr>
              <w:ind w:left="-78" w:leftChars="-37" w:right="-73" w:rightChars="-35"/>
              <w:jc w:val="left"/>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同类业绩：</w:t>
            </w:r>
            <w:r>
              <w:rPr>
                <w:rFonts w:hint="eastAsia" w:ascii="仿宋_GB2312" w:hAnsi="华文仿宋" w:cs="宋体"/>
                <w:color w:val="auto"/>
                <w:lang w:val="en-US" w:eastAsia="zh-CN"/>
              </w:rPr>
              <w:t>噪声</w:t>
            </w:r>
            <w:r>
              <w:rPr>
                <w:rFonts w:hint="eastAsia" w:ascii="Times New Roman" w:hAnsi="Times New Roman" w:eastAsia="宋体" w:cs="Times New Roman"/>
                <w:color w:val="auto"/>
                <w:kern w:val="2"/>
                <w:sz w:val="21"/>
                <w:szCs w:val="24"/>
                <w:lang w:val="en-US" w:eastAsia="zh-CN" w:bidi="ar-SA"/>
              </w:rPr>
              <w:t>治理工程；</w:t>
            </w:r>
          </w:p>
          <w:p w14:paraId="5DA06AAF">
            <w:pPr>
              <w:numPr>
                <w:ilvl w:val="0"/>
                <w:numId w:val="3"/>
              </w:numPr>
              <w:ind w:left="-78" w:leftChars="-37" w:right="-73" w:rightChars="-35"/>
              <w:jc w:val="left"/>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投标人为乙方所承接项目；</w:t>
            </w:r>
          </w:p>
          <w:p w14:paraId="2567A3C4">
            <w:pPr>
              <w:numPr>
                <w:ilvl w:val="0"/>
                <w:numId w:val="3"/>
              </w:numPr>
              <w:ind w:left="-78" w:leftChars="-37" w:right="-73" w:rightChars="-35"/>
              <w:jc w:val="left"/>
              <w:rPr>
                <w:rFonts w:hint="default" w:ascii="Times New Roman" w:hAnsi="Times New Roman" w:eastAsia="宋体" w:cs="Times New Roman"/>
                <w:color w:val="auto"/>
                <w:kern w:val="2"/>
                <w:sz w:val="21"/>
                <w:szCs w:val="24"/>
                <w:lang w:val="en-US" w:eastAsia="zh-CN" w:bidi="ar-SA"/>
              </w:rPr>
            </w:pPr>
            <w:r>
              <w:rPr>
                <w:rFonts w:hint="eastAsia" w:ascii="宋体" w:hAnsi="宋体" w:eastAsia="宋体" w:cs="宋体"/>
                <w:color w:val="auto"/>
                <w:sz w:val="22"/>
                <w:szCs w:val="22"/>
                <w:highlight w:val="none"/>
              </w:rPr>
              <w:t>合同签订时间为20</w:t>
            </w:r>
            <w:r>
              <w:rPr>
                <w:rFonts w:hint="eastAsia" w:ascii="宋体" w:hAnsi="宋体" w:eastAsia="宋体" w:cs="宋体"/>
                <w:color w:val="auto"/>
                <w:sz w:val="22"/>
                <w:szCs w:val="22"/>
                <w:highlight w:val="none"/>
                <w:lang w:val="en-US" w:eastAsia="zh-CN"/>
              </w:rPr>
              <w:t>23</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月1日至投标截止时间前</w:t>
            </w:r>
            <w:r>
              <w:rPr>
                <w:rFonts w:hint="eastAsia" w:ascii="宋体" w:hAnsi="宋体" w:eastAsia="宋体" w:cs="宋体"/>
                <w:color w:val="auto"/>
                <w:sz w:val="22"/>
                <w:szCs w:val="22"/>
                <w:highlight w:val="none"/>
                <w:lang w:eastAsia="zh-CN"/>
              </w:rPr>
              <w:t>（以合同签订日期为准），</w:t>
            </w:r>
            <w:r>
              <w:rPr>
                <w:rFonts w:hint="eastAsia" w:ascii="宋体" w:hAnsi="宋体" w:eastAsia="宋体" w:cs="宋体"/>
                <w:color w:val="auto"/>
                <w:sz w:val="22"/>
                <w:szCs w:val="22"/>
                <w:highlight w:val="none"/>
                <w:lang w:val="en-US" w:eastAsia="zh-CN"/>
              </w:rPr>
              <w:t>且已完成验收</w:t>
            </w:r>
            <w:r>
              <w:rPr>
                <w:rFonts w:hint="eastAsia" w:ascii="宋体" w:hAnsi="宋体" w:eastAsia="宋体" w:cs="宋体"/>
                <w:color w:val="auto"/>
                <w:sz w:val="22"/>
                <w:szCs w:val="22"/>
                <w:highlight w:val="none"/>
              </w:rPr>
              <w:t>。</w:t>
            </w:r>
          </w:p>
          <w:p w14:paraId="7DAC9940">
            <w:pPr>
              <w:numPr>
                <w:ilvl w:val="-1"/>
                <w:numId w:val="0"/>
              </w:numPr>
              <w:ind w:left="0" w:leftChars="0" w:right="-73" w:rightChars="-35"/>
              <w:jc w:val="left"/>
              <w:rPr>
                <w:rFonts w:hint="eastAsia" w:ascii="仿宋_GB2312" w:hAnsi="华文仿宋" w:cs="宋体"/>
                <w:color w:val="auto"/>
              </w:rPr>
            </w:pPr>
            <w:r>
              <w:rPr>
                <w:rFonts w:hint="default" w:ascii="Times New Roman" w:hAnsi="Times New Roman" w:cs="Times New Roman"/>
                <w:color w:val="auto"/>
                <w:kern w:val="0"/>
                <w:sz w:val="21"/>
                <w:szCs w:val="21"/>
                <w:highlight w:val="none"/>
                <w:lang w:val="en-US" w:eastAsia="zh-CN"/>
              </w:rPr>
              <w:t>（二）评分依据：</w:t>
            </w:r>
          </w:p>
          <w:p w14:paraId="42403179">
            <w:pPr>
              <w:ind w:left="-78" w:leftChars="-37" w:right="-73" w:rightChars="-35"/>
              <w:jc w:val="left"/>
              <w:rPr>
                <w:rFonts w:ascii="宋体" w:hAnsi="宋体"/>
                <w:color w:val="auto"/>
                <w:szCs w:val="21"/>
                <w:highlight w:val="yellow"/>
              </w:rPr>
            </w:pPr>
            <w:r>
              <w:rPr>
                <w:rFonts w:hint="eastAsia" w:ascii="仿宋_GB2312" w:hAnsi="华文仿宋" w:cs="宋体"/>
                <w:color w:val="auto"/>
              </w:rPr>
              <w:t>要求同时提供合同关键页和落款盖章页</w:t>
            </w:r>
            <w:r>
              <w:rPr>
                <w:rFonts w:hint="eastAsia" w:ascii="仿宋_GB2312" w:hAnsi="华文仿宋" w:cs="宋体"/>
                <w:color w:val="auto"/>
                <w:lang w:val="en-US" w:eastAsia="zh-CN"/>
              </w:rPr>
              <w:t>及项目验收报告</w:t>
            </w:r>
            <w:r>
              <w:rPr>
                <w:rFonts w:hint="eastAsia" w:ascii="仿宋_GB2312" w:hAnsi="华文仿宋" w:cs="宋体"/>
                <w:color w:val="auto"/>
                <w:lang w:eastAsia="zh-CN"/>
              </w:rPr>
              <w:t>，</w:t>
            </w:r>
            <w:r>
              <w:rPr>
                <w:rFonts w:hint="eastAsia" w:ascii="仿宋_GB2312" w:hAnsi="华文仿宋" w:cs="宋体"/>
                <w:color w:val="auto"/>
              </w:rPr>
              <w:t>通过合同关键页和落款盖章页无法判断是否得分的，也可以提供能证明得分的其它证明资料。评分中出现无证明资料或专家无法凭所提供资料判断是否得分的情况，一律作不得分处理。</w:t>
            </w:r>
          </w:p>
        </w:tc>
        <w:tc>
          <w:tcPr>
            <w:tcW w:w="697" w:type="dxa"/>
            <w:tcBorders>
              <w:left w:val="single" w:color="auto" w:sz="4" w:space="0"/>
            </w:tcBorders>
            <w:vAlign w:val="center"/>
          </w:tcPr>
          <w:p w14:paraId="78E08CBA">
            <w:pPr>
              <w:ind w:left="-78" w:leftChars="-37" w:right="-73" w:rightChars="-35"/>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p>
        </w:tc>
      </w:tr>
      <w:tr w14:paraId="342F40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4DE30D4E">
            <w:pPr>
              <w:pStyle w:val="37"/>
              <w:numPr>
                <w:ilvl w:val="0"/>
                <w:numId w:val="2"/>
              </w:numPr>
              <w:ind w:firstLineChars="0"/>
              <w:jc w:val="center"/>
              <w:rPr>
                <w:rFonts w:ascii="宋体" w:hAnsi="宋体"/>
                <w:szCs w:val="21"/>
              </w:rPr>
            </w:pPr>
          </w:p>
        </w:tc>
        <w:tc>
          <w:tcPr>
            <w:tcW w:w="1355" w:type="dxa"/>
            <w:vAlign w:val="center"/>
          </w:tcPr>
          <w:p w14:paraId="499562B4">
            <w:pPr>
              <w:jc w:val="center"/>
              <w:rPr>
                <w:rFonts w:hAnsi="宋体"/>
                <w:bCs/>
                <w:color w:val="auto"/>
                <w:highlight w:val="green"/>
              </w:rPr>
            </w:pPr>
            <w:r>
              <w:rPr>
                <w:rFonts w:hint="eastAsia" w:ascii="宋体" w:cs="宋体"/>
                <w:color w:val="auto"/>
              </w:rPr>
              <w:t>诚信</w:t>
            </w:r>
          </w:p>
        </w:tc>
        <w:tc>
          <w:tcPr>
            <w:tcW w:w="5635" w:type="dxa"/>
            <w:vAlign w:val="center"/>
          </w:tcPr>
          <w:p w14:paraId="30939471">
            <w:pPr>
              <w:jc w:val="left"/>
              <w:rPr>
                <w:rFonts w:ascii="宋体" w:hAnsi="宋体"/>
                <w:color w:val="auto"/>
                <w:szCs w:val="21"/>
              </w:rPr>
            </w:pPr>
            <w:r>
              <w:rPr>
                <w:rFonts w:hint="eastAsia" w:ascii="宋体" w:hAnsi="宋体"/>
                <w:color w:val="auto"/>
                <w:szCs w:val="21"/>
              </w:rPr>
              <w:t>1、根据深圳市财政委员会文件《深财购【2013】27号》“深圳市财政会委员关于加强招投标评审环节诚信管理的通知”，存在通知中第一条规定情形但超出法定追诉时效，或情节轻微未给予禁止参与政府采购的行政处罚的，本项得0分，不存在上述情形的，本项得5分。注：提供《诚信承诺书》，投标人对提供的《诚信承诺书》负责。</w:t>
            </w:r>
          </w:p>
          <w:p w14:paraId="3ABD83F5">
            <w:pPr>
              <w:spacing w:line="360" w:lineRule="exact"/>
              <w:jc w:val="left"/>
              <w:rPr>
                <w:rFonts w:ascii="宋体" w:hAnsi="宋体"/>
                <w:color w:val="auto"/>
                <w:szCs w:val="21"/>
                <w:highlight w:val="yellow"/>
              </w:rPr>
            </w:pPr>
            <w:r>
              <w:rPr>
                <w:rFonts w:hint="eastAsia" w:ascii="宋体" w:hAnsi="宋体"/>
                <w:color w:val="auto"/>
                <w:szCs w:val="21"/>
              </w:rPr>
              <w:t>2、因出现违法违规行为被记入供应商诚信档案的供应商，其诚信得分一律为0分。</w:t>
            </w:r>
          </w:p>
        </w:tc>
        <w:tc>
          <w:tcPr>
            <w:tcW w:w="697" w:type="dxa"/>
            <w:tcBorders>
              <w:left w:val="single" w:color="auto" w:sz="4" w:space="0"/>
            </w:tcBorders>
            <w:vAlign w:val="center"/>
          </w:tcPr>
          <w:p w14:paraId="3341003C">
            <w:pPr>
              <w:ind w:left="-78" w:leftChars="-37" w:right="-73" w:rightChars="-35"/>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p>
        </w:tc>
      </w:tr>
      <w:tr w14:paraId="26C18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vAlign w:val="center"/>
          </w:tcPr>
          <w:p w14:paraId="1996BB98">
            <w:pPr>
              <w:jc w:val="center"/>
              <w:rPr>
                <w:rFonts w:ascii="宋体" w:hAnsi="宋体"/>
                <w:b/>
                <w:szCs w:val="21"/>
              </w:rPr>
            </w:pPr>
            <w:r>
              <w:rPr>
                <w:rFonts w:hint="eastAsia" w:ascii="宋体" w:hAnsi="宋体"/>
                <w:b/>
                <w:szCs w:val="21"/>
              </w:rPr>
              <w:t>三</w:t>
            </w:r>
          </w:p>
        </w:tc>
        <w:tc>
          <w:tcPr>
            <w:tcW w:w="7687" w:type="dxa"/>
            <w:gridSpan w:val="3"/>
            <w:tcBorders>
              <w:top w:val="single" w:color="auto" w:sz="4" w:space="0"/>
            </w:tcBorders>
            <w:vAlign w:val="center"/>
          </w:tcPr>
          <w:p w14:paraId="67AF39D5">
            <w:pPr>
              <w:jc w:val="center"/>
              <w:rPr>
                <w:rFonts w:hint="default" w:ascii="宋体" w:hAnsi="宋体" w:eastAsia="宋体"/>
                <w:b/>
                <w:color w:val="000000" w:themeColor="text1"/>
                <w:szCs w:val="21"/>
                <w:lang w:val="en-US" w:eastAsia="zh-CN"/>
                <w14:textFill>
                  <w14:solidFill>
                    <w14:schemeClr w14:val="tx1"/>
                  </w14:solidFill>
                </w14:textFill>
              </w:rPr>
            </w:pPr>
            <w:r>
              <w:rPr>
                <w:rFonts w:hint="eastAsia" w:ascii="宋体" w:hAnsi="宋体"/>
                <w:b/>
                <w:color w:val="000000" w:themeColor="text1"/>
                <w:szCs w:val="21"/>
                <w:lang w:val="en-US" w:eastAsia="zh-CN"/>
                <w14:textFill>
                  <w14:solidFill>
                    <w14:schemeClr w14:val="tx1"/>
                  </w14:solidFill>
                </w14:textFill>
              </w:rPr>
              <w:t>40分</w:t>
            </w:r>
          </w:p>
        </w:tc>
      </w:tr>
      <w:tr w14:paraId="7EBB7B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82" w:hRule="atLeast"/>
        </w:trPr>
        <w:tc>
          <w:tcPr>
            <w:tcW w:w="680" w:type="dxa"/>
            <w:vAlign w:val="center"/>
          </w:tcPr>
          <w:p w14:paraId="451E7C21">
            <w:pPr>
              <w:jc w:val="center"/>
              <w:rPr>
                <w:rFonts w:ascii="宋体" w:hAnsi="宋体"/>
                <w:szCs w:val="21"/>
              </w:rPr>
            </w:pPr>
            <w:r>
              <w:rPr>
                <w:rFonts w:hint="eastAsia" w:ascii="宋体" w:hAnsi="宋体"/>
                <w:szCs w:val="21"/>
              </w:rPr>
              <w:t>1</w:t>
            </w:r>
          </w:p>
        </w:tc>
        <w:tc>
          <w:tcPr>
            <w:tcW w:w="1355" w:type="dxa"/>
            <w:vAlign w:val="center"/>
          </w:tcPr>
          <w:p w14:paraId="1EA21EA9">
            <w:pPr>
              <w:jc w:val="center"/>
              <w:rPr>
                <w:rFonts w:ascii="宋体" w:hAnsi="宋体"/>
                <w:color w:val="auto"/>
                <w:szCs w:val="21"/>
              </w:rPr>
            </w:pPr>
            <w:r>
              <w:rPr>
                <w:rFonts w:hint="eastAsia" w:ascii="宋体" w:hAnsi="宋体"/>
                <w:color w:val="auto"/>
                <w:szCs w:val="21"/>
              </w:rPr>
              <w:t>投标报价</w:t>
            </w:r>
          </w:p>
        </w:tc>
        <w:tc>
          <w:tcPr>
            <w:tcW w:w="5635" w:type="dxa"/>
            <w:vAlign w:val="center"/>
          </w:tcPr>
          <w:p w14:paraId="6FAE6ADE">
            <w:pPr>
              <w:autoSpaceDE w:val="0"/>
              <w:autoSpaceDN w:val="0"/>
              <w:adjustRightInd w:val="0"/>
              <w:snapToGrid w:val="0"/>
              <w:rPr>
                <w:rFonts w:ascii="宋体" w:hAnsi="宋体" w:cs="宋体"/>
                <w:color w:val="auto"/>
                <w:kern w:val="0"/>
                <w:szCs w:val="21"/>
              </w:rPr>
            </w:pPr>
            <w:r>
              <w:rPr>
                <w:rFonts w:ascii="宋体" w:hAnsi="宋体" w:cs="宋体"/>
                <w:color w:val="auto"/>
                <w:kern w:val="0"/>
                <w:szCs w:val="21"/>
              </w:rPr>
              <w:t>价格分</w:t>
            </w:r>
            <w:r>
              <w:rPr>
                <w:rFonts w:hint="eastAsia" w:ascii="宋体" w:hAnsi="宋体" w:cs="宋体"/>
                <w:color w:val="auto"/>
                <w:kern w:val="0"/>
                <w:szCs w:val="21"/>
              </w:rPr>
              <w:t>应当采用低价优先法计算，即满足招标文件要求且投标价格最低的投标报价为评标基准价，其价格分为满分。其他投标人的价格分统一按照下列公式计算：</w:t>
            </w:r>
          </w:p>
          <w:p w14:paraId="143F4A0E">
            <w:pPr>
              <w:widowControl/>
              <w:jc w:val="left"/>
              <w:rPr>
                <w:rFonts w:ascii="宋体" w:hAnsi="宋体" w:cs="宋体"/>
                <w:color w:val="auto"/>
                <w:kern w:val="0"/>
                <w:szCs w:val="21"/>
              </w:rPr>
            </w:pPr>
            <w:r>
              <w:rPr>
                <w:rFonts w:hint="eastAsia" w:ascii="宋体" w:hAnsi="宋体" w:cs="宋体"/>
                <w:color w:val="auto"/>
                <w:kern w:val="0"/>
                <w:szCs w:val="21"/>
              </w:rPr>
              <w:t>投标报价得分=(评标基准价／投标报价)×100×权重</w:t>
            </w:r>
          </w:p>
          <w:p w14:paraId="524BF585">
            <w:pPr>
              <w:widowControl/>
              <w:jc w:val="left"/>
              <w:rPr>
                <w:rFonts w:ascii="宋体" w:hAnsi="宋体"/>
                <w:bCs/>
                <w:color w:val="auto"/>
              </w:rPr>
            </w:pPr>
            <w:r>
              <w:rPr>
                <w:rFonts w:hint="eastAsia" w:ascii="宋体" w:hAnsi="宋体"/>
                <w:bCs/>
                <w:color w:val="auto"/>
              </w:rPr>
              <w:t>备注：</w:t>
            </w:r>
          </w:p>
          <w:p w14:paraId="3F8F94D2">
            <w:pPr>
              <w:widowControl/>
              <w:jc w:val="left"/>
              <w:rPr>
                <w:rFonts w:ascii="宋体" w:cs="宋体"/>
                <w:color w:val="auto"/>
                <w:szCs w:val="21"/>
              </w:rPr>
            </w:pPr>
            <w:r>
              <w:rPr>
                <w:rFonts w:hint="eastAsia" w:ascii="宋体" w:hAnsi="宋体"/>
                <w:bCs/>
                <w:color w:val="auto"/>
              </w:rPr>
              <w:t>1、因落实政府采购政策进行价格调整的，以调整后的价格计算评标基准价和投标报价</w:t>
            </w:r>
            <w:r>
              <w:rPr>
                <w:rFonts w:hint="eastAsia" w:ascii="宋体" w:cs="宋体"/>
                <w:color w:val="auto"/>
                <w:szCs w:val="21"/>
              </w:rPr>
              <w:t>,详见《价格扣除》。</w:t>
            </w:r>
          </w:p>
          <w:p w14:paraId="6C1E921E">
            <w:pPr>
              <w:rPr>
                <w:rFonts w:ascii="宋体" w:hAnsi="宋体"/>
                <w:bCs/>
                <w:color w:val="auto"/>
              </w:rPr>
            </w:pPr>
            <w:r>
              <w:rPr>
                <w:rFonts w:hint="eastAsia" w:ascii="宋体" w:hAnsi="宋体"/>
                <w:bCs/>
                <w:color w:val="auto"/>
              </w:rPr>
              <w:t>2、投标报价得分四舍五入后，</w:t>
            </w:r>
            <w:r>
              <w:rPr>
                <w:rFonts w:hint="eastAsia" w:ascii="Arial" w:hAnsi="Arial" w:cs="Arial"/>
                <w:color w:val="auto"/>
                <w:szCs w:val="20"/>
              </w:rPr>
              <w:t>小数点后保留两位有效数</w:t>
            </w:r>
            <w:r>
              <w:rPr>
                <w:rFonts w:hint="eastAsia" w:ascii="宋体" w:hAnsi="宋体"/>
                <w:bCs/>
                <w:color w:val="auto"/>
              </w:rPr>
              <w:t>；</w:t>
            </w:r>
          </w:p>
        </w:tc>
        <w:tc>
          <w:tcPr>
            <w:tcW w:w="697" w:type="dxa"/>
            <w:tcBorders>
              <w:left w:val="single" w:color="auto" w:sz="4" w:space="0"/>
            </w:tcBorders>
            <w:vAlign w:val="center"/>
          </w:tcPr>
          <w:p w14:paraId="59F8063C">
            <w:pPr>
              <w:ind w:left="-78" w:leftChars="-37" w:right="-73" w:rightChars="-35"/>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40</w:t>
            </w:r>
          </w:p>
        </w:tc>
      </w:tr>
      <w:tr w14:paraId="36CE41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vAlign w:val="center"/>
          </w:tcPr>
          <w:p w14:paraId="2A058467">
            <w:pPr>
              <w:ind w:left="-78" w:leftChars="-37" w:right="-73" w:rightChars="-35"/>
              <w:jc w:val="center"/>
              <w:rPr>
                <w:rFonts w:ascii="宋体" w:hAnsi="宋体" w:cs="宋体"/>
                <w:szCs w:val="21"/>
              </w:rPr>
            </w:pPr>
            <w:r>
              <w:rPr>
                <w:rFonts w:hint="eastAsia" w:ascii="宋体" w:hAnsi="宋体"/>
                <w:szCs w:val="21"/>
              </w:rPr>
              <w:t>合计</w:t>
            </w:r>
          </w:p>
        </w:tc>
        <w:tc>
          <w:tcPr>
            <w:tcW w:w="697" w:type="dxa"/>
            <w:tcBorders>
              <w:left w:val="single" w:color="auto" w:sz="4" w:space="0"/>
            </w:tcBorders>
            <w:vAlign w:val="center"/>
          </w:tcPr>
          <w:p w14:paraId="5BBC2CD3">
            <w:pPr>
              <w:ind w:left="-78" w:leftChars="-37" w:right="-73" w:rightChars="-35"/>
              <w:jc w:val="center"/>
              <w:rPr>
                <w:rFonts w:ascii="宋体" w:hAnsi="宋体" w:cs="宋体"/>
                <w:szCs w:val="21"/>
              </w:rPr>
            </w:pPr>
            <w:r>
              <w:rPr>
                <w:rFonts w:hint="eastAsia" w:ascii="宋体" w:hAnsi="宋体" w:cs="宋体"/>
                <w:szCs w:val="21"/>
              </w:rPr>
              <w:t>100分</w:t>
            </w:r>
          </w:p>
        </w:tc>
      </w:tr>
    </w:tbl>
    <w:p w14:paraId="015663D5">
      <w:pPr>
        <w:spacing w:line="320" w:lineRule="exact"/>
        <w:jc w:val="left"/>
        <w:rPr>
          <w:rFonts w:hint="eastAsia" w:ascii="宋体" w:cs="宋体"/>
          <w:snapToGrid w:val="0"/>
          <w:kern w:val="0"/>
        </w:rPr>
      </w:pPr>
      <w:r>
        <w:rPr>
          <w:rFonts w:hint="eastAsia" w:ascii="宋体" w:cs="宋体"/>
          <w:snapToGrid w:val="0"/>
          <w:kern w:val="0"/>
        </w:rPr>
        <w:t>注：</w:t>
      </w:r>
    </w:p>
    <w:p w14:paraId="4A5761B7">
      <w:pPr>
        <w:spacing w:line="320" w:lineRule="exact"/>
        <w:ind w:firstLine="420" w:firstLineChars="200"/>
        <w:jc w:val="left"/>
        <w:rPr>
          <w:rFonts w:hint="eastAsia" w:ascii="宋体" w:hAnsi="宋体"/>
          <w:szCs w:val="21"/>
        </w:rPr>
      </w:pPr>
      <w:r>
        <w:rPr>
          <w:rFonts w:hint="eastAsia" w:ascii="宋体" w:hAnsi="宋体"/>
          <w:szCs w:val="21"/>
        </w:rPr>
        <w:t>1、每项得分均不能超过该项最高分值，得分精确至小数点后两位。</w:t>
      </w:r>
    </w:p>
    <w:p w14:paraId="477F49B7">
      <w:pPr>
        <w:numPr>
          <w:ilvl w:val="0"/>
          <w:numId w:val="4"/>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2FE3C9D9">
      <w:pPr>
        <w:numPr>
          <w:ilvl w:val="0"/>
          <w:numId w:val="4"/>
        </w:numPr>
        <w:spacing w:line="440" w:lineRule="exact"/>
        <w:ind w:firstLine="420" w:firstLineChars="200"/>
        <w:jc w:val="left"/>
        <w:rPr>
          <w:rFonts w:hint="eastAsia" w:ascii="宋体" w:hAnsi="宋体"/>
          <w:szCs w:val="21"/>
        </w:rPr>
      </w:pPr>
      <w:r>
        <w:rPr>
          <w:rFonts w:hint="eastAsia" w:ascii="宋体" w:hAnsi="宋体"/>
          <w:szCs w:val="21"/>
        </w:rPr>
        <w:t>带“★”的参数为实质性参数，达不到招标文件要求的，该投标文件不通过</w:t>
      </w:r>
    </w:p>
    <w:p w14:paraId="3AF9EFCD">
      <w:pPr>
        <w:numPr>
          <w:ilvl w:val="0"/>
          <w:numId w:val="4"/>
        </w:numPr>
        <w:spacing w:line="440" w:lineRule="exact"/>
        <w:ind w:firstLine="420" w:firstLineChars="200"/>
        <w:jc w:val="left"/>
        <w:rPr>
          <w:rFonts w:hint="eastAsia" w:ascii="宋体" w:hAnsi="宋体"/>
          <w:szCs w:val="21"/>
        </w:rPr>
      </w:pPr>
      <w:r>
        <w:rPr>
          <w:rFonts w:hint="eastAsia" w:ascii="宋体" w:hAnsi="宋体"/>
          <w:szCs w:val="21"/>
          <w:lang w:val="en-US" w:eastAsia="zh-CN"/>
        </w:rPr>
        <w:t>涉及到人员资格证书、毕业证书（或学位证书）的，需提供证书扫描件及学信网查询记录，对于学信网无法查询的，还需提供毕业院校或入社部门或教育部门等颁发机构或监管机构出具的证明，否则无效；</w:t>
      </w:r>
    </w:p>
    <w:p w14:paraId="223D940E">
      <w:pPr>
        <w:numPr>
          <w:ilvl w:val="0"/>
          <w:numId w:val="4"/>
        </w:numPr>
        <w:spacing w:line="440" w:lineRule="exact"/>
        <w:ind w:firstLine="420" w:firstLineChars="200"/>
        <w:jc w:val="left"/>
        <w:rPr>
          <w:rFonts w:hint="eastAsia" w:ascii="宋体" w:hAnsi="宋体"/>
          <w:szCs w:val="21"/>
        </w:rPr>
      </w:pPr>
      <w:r>
        <w:rPr>
          <w:rFonts w:hint="eastAsia" w:ascii="宋体" w:hAnsi="宋体"/>
          <w:szCs w:val="21"/>
          <w:lang w:val="en-US" w:eastAsia="zh-CN"/>
        </w:rPr>
        <w:t>涉及考察人员工作经验的，要求提供项目合同关键信息作为评分依据，通过合同关键信息无法判断是否得分的，还需同时提供合同甲方出具的证明文件；</w:t>
      </w:r>
    </w:p>
    <w:p w14:paraId="732AA944">
      <w:pPr>
        <w:numPr>
          <w:ilvl w:val="0"/>
          <w:numId w:val="4"/>
        </w:numPr>
        <w:spacing w:line="440" w:lineRule="exact"/>
        <w:ind w:firstLine="420" w:firstLineChars="200"/>
        <w:jc w:val="left"/>
        <w:rPr>
          <w:rFonts w:hint="eastAsia" w:ascii="宋体" w:hAnsi="宋体"/>
          <w:szCs w:val="21"/>
        </w:rPr>
      </w:pPr>
      <w:r>
        <w:rPr>
          <w:rFonts w:hint="eastAsia" w:ascii="宋体" w:hAnsi="宋体"/>
          <w:szCs w:val="21"/>
          <w:lang w:val="en-US" w:eastAsia="zh-CN"/>
        </w:rPr>
        <w:t>涉及考察职业技能等级证书的，要求提供证书颁发单位在职业技能等级评价机构公示查询系统（网址：http://pjjg.osta.org.cn/）的备案记录查询截图，颁发单位无备案记录的视为无效证书；</w:t>
      </w:r>
    </w:p>
    <w:p w14:paraId="59821432">
      <w:pPr>
        <w:numPr>
          <w:ilvl w:val="0"/>
          <w:numId w:val="4"/>
        </w:numPr>
        <w:spacing w:line="440" w:lineRule="exact"/>
        <w:ind w:firstLine="420" w:firstLineChars="200"/>
        <w:jc w:val="left"/>
        <w:rPr>
          <w:rFonts w:hint="eastAsia" w:ascii="宋体" w:hAnsi="宋体"/>
          <w:szCs w:val="21"/>
        </w:rPr>
      </w:pPr>
      <w:r>
        <w:rPr>
          <w:rFonts w:hint="eastAsia" w:ascii="宋体" w:hAnsi="宋体"/>
          <w:szCs w:val="21"/>
          <w:lang w:val="en-US" w:eastAsia="zh-CN"/>
        </w:rPr>
        <w:t>如证书由行业协会颁发的，需提供该行业协会在“中国社会组织政务服务平台”</w:t>
      </w:r>
      <w:r>
        <w:rPr>
          <w:rFonts w:hint="eastAsia" w:ascii="宋体" w:hAnsi="宋体"/>
          <w:szCs w:val="21"/>
        </w:rPr>
        <w:t>(网址:https://chinanpo.</w:t>
      </w:r>
      <w:r>
        <w:rPr>
          <w:rFonts w:hint="eastAsia" w:ascii="宋体" w:hAnsi="宋体"/>
          <w:szCs w:val="21"/>
          <w:lang w:eastAsia="zh-CN"/>
        </w:rPr>
        <w:t>m</w:t>
      </w:r>
      <w:r>
        <w:rPr>
          <w:rFonts w:hint="eastAsia" w:ascii="宋体" w:hAnsi="宋体"/>
          <w:szCs w:val="21"/>
          <w:lang w:val="en-US" w:eastAsia="zh-CN"/>
        </w:rPr>
        <w:t>ca.gov</w:t>
      </w:r>
      <w:r>
        <w:rPr>
          <w:rFonts w:hint="eastAsia" w:ascii="宋体" w:hAnsi="宋体"/>
          <w:szCs w:val="21"/>
        </w:rPr>
        <w:t>.cn/)</w:t>
      </w:r>
      <w:r>
        <w:rPr>
          <w:rFonts w:hint="eastAsia" w:ascii="宋体" w:hAnsi="宋体"/>
          <w:szCs w:val="21"/>
          <w:lang w:val="en-US" w:eastAsia="zh-CN"/>
        </w:rPr>
        <w:t>查询的已合法登记且状态正常截图，否则不予认可，视为无效证书；</w:t>
      </w:r>
    </w:p>
    <w:p w14:paraId="367046CF">
      <w:pPr>
        <w:numPr>
          <w:ilvl w:val="0"/>
          <w:numId w:val="4"/>
        </w:numPr>
        <w:spacing w:line="440" w:lineRule="exact"/>
        <w:ind w:firstLine="420" w:firstLineChars="200"/>
        <w:jc w:val="left"/>
        <w:rPr>
          <w:rFonts w:hint="eastAsia" w:ascii="宋体" w:hAnsi="宋体"/>
          <w:szCs w:val="21"/>
        </w:rPr>
      </w:pPr>
      <w:r>
        <w:rPr>
          <w:rFonts w:hint="eastAsia" w:ascii="宋体" w:hAnsi="宋体"/>
          <w:szCs w:val="21"/>
          <w:lang w:val="en-US" w:eastAsia="zh-CN"/>
        </w:rPr>
        <w:t>提供以上证明文件复印件或扫描件，如涉及网站截图或照片等证明材料，需提供清晰图片，均要求加盖投标人公章，原件备查，未按要求提供有效证明材料或提供不清晰导致评委无法判断的，均视为无效。</w:t>
      </w:r>
    </w:p>
    <w:p w14:paraId="0FD173C1">
      <w:pPr>
        <w:spacing w:after="78"/>
        <w:jc w:val="both"/>
        <w:outlineLvl w:val="0"/>
        <w:rPr>
          <w:rFonts w:hint="eastAsia" w:ascii="宋体" w:hAnsi="宋体"/>
          <w:color w:val="FF0000"/>
          <w:sz w:val="40"/>
          <w:szCs w:val="40"/>
        </w:rPr>
      </w:pPr>
      <w:bookmarkStart w:id="20" w:name="_GoBack"/>
      <w:bookmarkEnd w:id="20"/>
    </w:p>
    <w:p w14:paraId="743055ED">
      <w:pPr>
        <w:spacing w:before="156" w:beforeLines="50" w:after="156" w:afterLines="50" w:line="360" w:lineRule="auto"/>
        <w:jc w:val="center"/>
        <w:outlineLvl w:val="0"/>
      </w:pPr>
      <w:bookmarkStart w:id="0" w:name="_Toc523748105"/>
      <w:r>
        <w:rPr>
          <w:rFonts w:hint="eastAsia"/>
          <w:b/>
          <w:bCs/>
          <w:sz w:val="28"/>
          <w:szCs w:val="28"/>
        </w:rPr>
        <w:t>用户需求书</w:t>
      </w:r>
      <w:bookmarkEnd w:id="0"/>
    </w:p>
    <w:p w14:paraId="7CF22B8F">
      <w:pPr>
        <w:snapToGrid w:val="0"/>
        <w:spacing w:line="360" w:lineRule="auto"/>
        <w:rPr>
          <w:rFonts w:ascii="宋体"/>
          <w:b/>
          <w:bCs/>
          <w:szCs w:val="20"/>
        </w:rPr>
      </w:pPr>
      <w:r>
        <w:rPr>
          <w:rFonts w:hint="eastAsia" w:ascii="宋体"/>
          <w:b/>
          <w:bCs/>
          <w:szCs w:val="20"/>
        </w:rPr>
        <w:t>说明：</w:t>
      </w:r>
    </w:p>
    <w:p w14:paraId="51823A56">
      <w:pPr>
        <w:numPr>
          <w:ilvl w:val="0"/>
          <w:numId w:val="5"/>
        </w:numPr>
        <w:snapToGrid w:val="0"/>
        <w:spacing w:line="360" w:lineRule="auto"/>
        <w:ind w:left="422" w:hanging="422" w:hangingChars="200"/>
        <w:rPr>
          <w:rFonts w:ascii="宋体"/>
          <w:b/>
          <w:bCs/>
          <w:szCs w:val="20"/>
        </w:rPr>
      </w:pPr>
      <w:r>
        <w:rPr>
          <w:rFonts w:hint="eastAsia" w:ascii="宋体"/>
          <w:b/>
          <w:bCs/>
          <w:szCs w:val="20"/>
        </w:rPr>
        <w:t>投标人须对本项目为单位的进行整体响应，任何只对其中一部分内容进行的响应都被视为无效投标。</w:t>
      </w:r>
    </w:p>
    <w:p w14:paraId="7BAD4A37">
      <w:pPr>
        <w:numPr>
          <w:ilvl w:val="0"/>
          <w:numId w:val="5"/>
        </w:numPr>
        <w:snapToGrid w:val="0"/>
        <w:spacing w:line="360" w:lineRule="auto"/>
        <w:ind w:left="422" w:hanging="422" w:hangingChars="200"/>
        <w:rPr>
          <w:rFonts w:asciiTheme="minorEastAsia" w:hAnsiTheme="minorEastAsia" w:eastAsiaTheme="minorEastAsia"/>
          <w:b/>
          <w:bCs/>
          <w:szCs w:val="21"/>
        </w:rPr>
      </w:pPr>
      <w:r>
        <w:rPr>
          <w:rFonts w:hint="eastAsia" w:asciiTheme="minorEastAsia" w:hAnsiTheme="minorEastAsia" w:eastAsiaTheme="minorEastAsia"/>
          <w:b/>
          <w:bCs/>
          <w:szCs w:val="21"/>
        </w:rPr>
        <w:t>用户需求书中打</w:t>
      </w:r>
      <w:r>
        <w:rPr>
          <w:rFonts w:asciiTheme="minorEastAsia" w:hAnsiTheme="minorEastAsia" w:eastAsiaTheme="minorEastAsia"/>
          <w:b/>
          <w:bCs/>
          <w:szCs w:val="21"/>
        </w:rPr>
        <w:t>“</w:t>
      </w:r>
      <w:r>
        <w:rPr>
          <w:rFonts w:hint="eastAsia" w:asciiTheme="minorEastAsia" w:hAnsiTheme="minorEastAsia" w:eastAsiaTheme="minorEastAsia"/>
          <w:b/>
          <w:bCs/>
          <w:szCs w:val="21"/>
        </w:rPr>
        <w:t>★</w:t>
      </w:r>
      <w:r>
        <w:rPr>
          <w:rFonts w:asciiTheme="minorEastAsia" w:hAnsiTheme="minorEastAsia" w:eastAsiaTheme="minorEastAsia"/>
          <w:b/>
          <w:bCs/>
          <w:szCs w:val="21"/>
        </w:rPr>
        <w:t>”</w:t>
      </w:r>
      <w:r>
        <w:rPr>
          <w:rFonts w:hint="eastAsia" w:asciiTheme="minorEastAsia" w:hAnsiTheme="minorEastAsia" w:eastAsiaTheme="minorEastAsia"/>
          <w:b/>
          <w:bCs/>
          <w:szCs w:val="21"/>
        </w:rPr>
        <w:t>号条款为实质性条款，有任何一条负偏离则导致无效投标。</w:t>
      </w:r>
    </w:p>
    <w:p w14:paraId="000DB9C8">
      <w:pPr>
        <w:numPr>
          <w:ilvl w:val="0"/>
          <w:numId w:val="5"/>
        </w:numPr>
        <w:snapToGrid w:val="0"/>
        <w:spacing w:line="360" w:lineRule="auto"/>
        <w:ind w:hangingChars="200"/>
        <w:rPr>
          <w:rFonts w:asciiTheme="minorEastAsia" w:hAnsiTheme="minorEastAsia" w:eastAsiaTheme="minorEastAsia"/>
          <w:b/>
          <w:szCs w:val="21"/>
        </w:rPr>
      </w:pPr>
      <w:r>
        <w:rPr>
          <w:rFonts w:hint="eastAsia" w:cs="宋体" w:asciiTheme="minorEastAsia" w:hAnsiTheme="minorEastAsia" w:eastAsiaTheme="minorEastAsia"/>
          <w:szCs w:val="21"/>
          <w:lang w:eastAsia="zh-TW"/>
        </w:rPr>
        <w:t>投标报价</w:t>
      </w:r>
      <w:r>
        <w:rPr>
          <w:rFonts w:hint="eastAsia" w:cs="宋体" w:asciiTheme="minorEastAsia" w:hAnsiTheme="minorEastAsia" w:eastAsiaTheme="minorEastAsia"/>
          <w:szCs w:val="21"/>
        </w:rPr>
        <w:t>（总价）</w:t>
      </w:r>
      <w:r>
        <w:rPr>
          <w:rFonts w:hint="eastAsia" w:cs="宋体" w:asciiTheme="minorEastAsia" w:hAnsiTheme="minorEastAsia" w:eastAsiaTheme="minorEastAsia"/>
          <w:szCs w:val="21"/>
          <w:lang w:eastAsia="zh-TW"/>
        </w:rPr>
        <w:t>中不得包含招标文件要求以外的内容，否则，在评标时不予核减。</w:t>
      </w:r>
    </w:p>
    <w:p w14:paraId="092307BC">
      <w:pPr>
        <w:pStyle w:val="30"/>
        <w:numPr>
          <w:ilvl w:val="0"/>
          <w:numId w:val="5"/>
        </w:numPr>
        <w:snapToGrid w:val="0"/>
        <w:spacing w:line="360" w:lineRule="auto"/>
        <w:ind w:firstLineChars="0"/>
        <w:rPr>
          <w:rFonts w:hAnsi="宋体"/>
        </w:rPr>
      </w:pPr>
      <w:r>
        <w:rPr>
          <w:rFonts w:hint="eastAsia" w:asciiTheme="minorEastAsia" w:hAnsiTheme="minorEastAsia" w:eastAsiaTheme="minorEastAsia"/>
          <w:b/>
          <w:bCs/>
          <w:szCs w:val="21"/>
        </w:rPr>
        <w:t>本项目不允许分包。</w:t>
      </w:r>
    </w:p>
    <w:p w14:paraId="480CE47F">
      <w:pPr>
        <w:pStyle w:val="9"/>
        <w:numPr>
          <w:ilvl w:val="0"/>
          <w:numId w:val="6"/>
        </w:numPr>
        <w:tabs>
          <w:tab w:val="left" w:pos="540"/>
        </w:tabs>
        <w:adjustRightInd w:val="0"/>
        <w:snapToGrid w:val="0"/>
        <w:spacing w:line="360" w:lineRule="auto"/>
        <w:rPr>
          <w:rFonts w:hAnsi="宋体"/>
          <w:b/>
        </w:rPr>
      </w:pPr>
      <w:r>
        <w:rPr>
          <w:rFonts w:hint="eastAsia" w:asciiTheme="minorEastAsia" w:hAnsiTheme="minorEastAsia"/>
          <w:b/>
        </w:rPr>
        <w:t>项目一览表:</w:t>
      </w:r>
    </w:p>
    <w:tbl>
      <w:tblPr>
        <w:tblStyle w:val="16"/>
        <w:tblW w:w="7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709"/>
        <w:gridCol w:w="1984"/>
        <w:gridCol w:w="2216"/>
      </w:tblGrid>
      <w:tr w14:paraId="7422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8" w:hRule="atLeast"/>
          <w:jc w:val="center"/>
        </w:trPr>
        <w:tc>
          <w:tcPr>
            <w:tcW w:w="2842" w:type="dxa"/>
            <w:shd w:val="clear" w:color="auto" w:fill="EEECE1"/>
            <w:vAlign w:val="center"/>
          </w:tcPr>
          <w:p w14:paraId="427F295F">
            <w:pPr>
              <w:jc w:val="center"/>
              <w:rPr>
                <w:rFonts w:ascii="宋体"/>
                <w:b/>
                <w:szCs w:val="21"/>
              </w:rPr>
            </w:pPr>
            <w:r>
              <w:rPr>
                <w:rFonts w:hint="eastAsia" w:ascii="宋体"/>
                <w:b/>
                <w:szCs w:val="21"/>
              </w:rPr>
              <w:t>采购内容</w:t>
            </w:r>
          </w:p>
        </w:tc>
        <w:tc>
          <w:tcPr>
            <w:tcW w:w="709" w:type="dxa"/>
            <w:shd w:val="clear" w:color="auto" w:fill="EEECE1"/>
            <w:vAlign w:val="center"/>
          </w:tcPr>
          <w:p w14:paraId="15F5BCB8">
            <w:pPr>
              <w:jc w:val="center"/>
              <w:rPr>
                <w:rFonts w:ascii="宋体"/>
                <w:b/>
                <w:szCs w:val="21"/>
              </w:rPr>
            </w:pPr>
            <w:r>
              <w:rPr>
                <w:rFonts w:hint="eastAsia" w:ascii="宋体"/>
                <w:b/>
                <w:szCs w:val="21"/>
              </w:rPr>
              <w:t>数量</w:t>
            </w:r>
          </w:p>
        </w:tc>
        <w:tc>
          <w:tcPr>
            <w:tcW w:w="1984" w:type="dxa"/>
            <w:shd w:val="clear" w:color="auto" w:fill="EEECE1"/>
            <w:vAlign w:val="center"/>
          </w:tcPr>
          <w:p w14:paraId="490280EA">
            <w:pPr>
              <w:jc w:val="center"/>
              <w:rPr>
                <w:rFonts w:ascii="宋体"/>
                <w:b/>
                <w:szCs w:val="21"/>
              </w:rPr>
            </w:pPr>
            <w:r>
              <w:rPr>
                <w:rFonts w:hint="eastAsia" w:ascii="宋体"/>
                <w:b/>
                <w:szCs w:val="21"/>
              </w:rPr>
              <w:t>工期</w:t>
            </w:r>
          </w:p>
        </w:tc>
        <w:tc>
          <w:tcPr>
            <w:tcW w:w="2216" w:type="dxa"/>
            <w:shd w:val="clear" w:color="auto" w:fill="EEECE1"/>
            <w:vAlign w:val="center"/>
          </w:tcPr>
          <w:p w14:paraId="0E9A3358">
            <w:pPr>
              <w:jc w:val="center"/>
              <w:rPr>
                <w:rFonts w:ascii="宋体"/>
                <w:b/>
                <w:szCs w:val="21"/>
              </w:rPr>
            </w:pPr>
            <w:r>
              <w:rPr>
                <w:rFonts w:hint="eastAsia" w:ascii="宋体"/>
                <w:b/>
                <w:szCs w:val="21"/>
              </w:rPr>
              <w:t>最高限价</w:t>
            </w:r>
          </w:p>
        </w:tc>
      </w:tr>
      <w:tr w14:paraId="2831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2842" w:type="dxa"/>
            <w:vAlign w:val="center"/>
          </w:tcPr>
          <w:p w14:paraId="742F2778">
            <w:pPr>
              <w:jc w:val="center"/>
              <w:rPr>
                <w:rFonts w:ascii="宋体"/>
                <w:bCs/>
                <w:color w:val="FF0000"/>
                <w:szCs w:val="21"/>
              </w:rPr>
            </w:pPr>
            <w:r>
              <w:rPr>
                <w:rFonts w:hint="eastAsia" w:ascii="宋体"/>
                <w:bCs/>
                <w:color w:val="FF0000"/>
                <w:szCs w:val="21"/>
                <w:lang w:val="en-US" w:eastAsia="zh-CN"/>
              </w:rPr>
              <w:t>深圳市儿童医院楼顶风机噪声降噪工程项目</w:t>
            </w:r>
          </w:p>
        </w:tc>
        <w:tc>
          <w:tcPr>
            <w:tcW w:w="709" w:type="dxa"/>
            <w:vAlign w:val="center"/>
          </w:tcPr>
          <w:p w14:paraId="23D77895">
            <w:pPr>
              <w:jc w:val="center"/>
              <w:rPr>
                <w:rFonts w:ascii="宋体"/>
                <w:bCs/>
                <w:color w:val="FF0000"/>
                <w:szCs w:val="21"/>
              </w:rPr>
            </w:pPr>
            <w:r>
              <w:rPr>
                <w:rFonts w:hint="eastAsia" w:ascii="宋体"/>
                <w:bCs/>
                <w:color w:val="FF0000"/>
                <w:szCs w:val="21"/>
              </w:rPr>
              <w:t>1项</w:t>
            </w:r>
          </w:p>
        </w:tc>
        <w:tc>
          <w:tcPr>
            <w:tcW w:w="1984" w:type="dxa"/>
            <w:vAlign w:val="center"/>
          </w:tcPr>
          <w:p w14:paraId="30358E71">
            <w:pPr>
              <w:pStyle w:val="45"/>
              <w:spacing w:line="240" w:lineRule="auto"/>
              <w:ind w:hanging="67" w:firstLineChars="0"/>
              <w:rPr>
                <w:snapToGrid/>
                <w:color w:val="FF0000"/>
                <w:spacing w:val="0"/>
                <w:kern w:val="2"/>
                <w:sz w:val="21"/>
                <w:szCs w:val="24"/>
              </w:rPr>
            </w:pPr>
            <w:r>
              <w:rPr>
                <w:rFonts w:hint="eastAsia"/>
                <w:snapToGrid/>
                <w:color w:val="FF0000"/>
                <w:spacing w:val="0"/>
                <w:kern w:val="2"/>
                <w:sz w:val="21"/>
                <w:szCs w:val="24"/>
                <w:lang w:val="en-US" w:eastAsia="zh-CN"/>
              </w:rPr>
              <w:t>30个日历天</w:t>
            </w:r>
          </w:p>
        </w:tc>
        <w:tc>
          <w:tcPr>
            <w:tcW w:w="2216" w:type="dxa"/>
            <w:vAlign w:val="center"/>
          </w:tcPr>
          <w:p w14:paraId="35B9804A">
            <w:pPr>
              <w:pStyle w:val="45"/>
              <w:spacing w:line="240" w:lineRule="auto"/>
              <w:ind w:firstLine="120" w:firstLineChars="0"/>
              <w:rPr>
                <w:snapToGrid/>
                <w:color w:val="FF0000"/>
                <w:spacing w:val="0"/>
                <w:kern w:val="2"/>
                <w:sz w:val="21"/>
                <w:szCs w:val="24"/>
              </w:rPr>
            </w:pPr>
            <w:r>
              <w:rPr>
                <w:rFonts w:hint="eastAsia" w:ascii="宋体" w:hAnsi="宋体"/>
                <w:snapToGrid/>
                <w:color w:val="FF0000"/>
                <w:spacing w:val="0"/>
                <w:kern w:val="2"/>
                <w:sz w:val="21"/>
                <w:szCs w:val="21"/>
              </w:rPr>
              <w:t>人民币</w:t>
            </w:r>
            <w:r>
              <w:rPr>
                <w:rFonts w:hint="eastAsia" w:ascii="宋体" w:hAnsi="宋体"/>
                <w:snapToGrid/>
                <w:color w:val="FF0000"/>
                <w:spacing w:val="0"/>
                <w:kern w:val="2"/>
                <w:sz w:val="21"/>
                <w:szCs w:val="21"/>
                <w:lang w:val="en-US" w:eastAsia="zh-CN"/>
              </w:rPr>
              <w:t>93443.31</w:t>
            </w:r>
            <w:r>
              <w:rPr>
                <w:rFonts w:hint="eastAsia" w:ascii="宋体" w:hAnsi="宋体"/>
                <w:snapToGrid/>
                <w:color w:val="FF0000"/>
                <w:spacing w:val="0"/>
                <w:kern w:val="2"/>
                <w:sz w:val="21"/>
                <w:szCs w:val="21"/>
              </w:rPr>
              <w:t>元</w:t>
            </w:r>
          </w:p>
        </w:tc>
      </w:tr>
    </w:tbl>
    <w:p w14:paraId="6F04C0F2">
      <w:pPr>
        <w:pStyle w:val="9"/>
        <w:numPr>
          <w:ilvl w:val="0"/>
          <w:numId w:val="6"/>
        </w:numPr>
        <w:tabs>
          <w:tab w:val="left" w:pos="540"/>
        </w:tabs>
        <w:adjustRightInd w:val="0"/>
        <w:snapToGrid w:val="0"/>
        <w:spacing w:line="360" w:lineRule="auto"/>
        <w:rPr>
          <w:rFonts w:hAnsi="宋体"/>
          <w:b/>
        </w:rPr>
      </w:pPr>
      <w:r>
        <w:rPr>
          <w:rFonts w:hint="eastAsia" w:hAnsi="宋体"/>
          <w:b/>
        </w:rPr>
        <w:t>项目背景</w:t>
      </w:r>
    </w:p>
    <w:p w14:paraId="13ABA015">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20" w:firstLineChars="200"/>
        <w:textAlignment w:val="auto"/>
        <w:rPr>
          <w:rFonts w:hAnsi="宋体"/>
          <w:b/>
        </w:rPr>
      </w:pPr>
      <w:r>
        <w:rPr>
          <w:rFonts w:hint="eastAsia" w:cs="宋体" w:asciiTheme="minorEastAsia" w:hAnsiTheme="minorEastAsia"/>
          <w:kern w:val="0"/>
        </w:rPr>
        <w:t>深圳市儿童医院位于广东省深圳市福田区益田路7019号，在其屋面内安装有3台风冷冷水(热泵)机组，当设备工作时，产生的进排气噪声、空气动力性噪声、电磁噪声等其他噪声进行叠加形成混响向四周辐射，噪声通过空气传播至对面住宅，影响住户的声环境质量，因此需对以上设备进行降噪处理。</w:t>
      </w:r>
    </w:p>
    <w:p w14:paraId="3BBE439A">
      <w:pPr>
        <w:pStyle w:val="9"/>
        <w:numPr>
          <w:ilvl w:val="0"/>
          <w:numId w:val="6"/>
        </w:numPr>
        <w:tabs>
          <w:tab w:val="left" w:pos="540"/>
        </w:tabs>
        <w:adjustRightInd w:val="0"/>
        <w:snapToGrid w:val="0"/>
        <w:spacing w:line="360" w:lineRule="auto"/>
        <w:rPr>
          <w:rFonts w:hAnsi="宋体"/>
          <w:b/>
        </w:rPr>
      </w:pPr>
      <w:r>
        <w:rPr>
          <w:rFonts w:hint="eastAsia" w:hAnsi="宋体"/>
          <w:b/>
        </w:rPr>
        <w:t>技术参数：</w:t>
      </w:r>
    </w:p>
    <w:p w14:paraId="25918076">
      <w:pPr>
        <w:pStyle w:val="9"/>
        <w:numPr>
          <w:ilvl w:val="0"/>
          <w:numId w:val="7"/>
        </w:numPr>
        <w:adjustRightInd w:val="0"/>
        <w:snapToGrid w:val="0"/>
        <w:spacing w:line="360" w:lineRule="auto"/>
        <w:rPr>
          <w:rFonts w:cs="宋体" w:asciiTheme="minorEastAsia" w:hAnsiTheme="minorEastAsia"/>
          <w:kern w:val="0"/>
        </w:rPr>
      </w:pPr>
      <w:r>
        <w:rPr>
          <w:rFonts w:hint="eastAsia" w:cs="宋体" w:asciiTheme="minorEastAsia" w:hAnsiTheme="minorEastAsia"/>
          <w:kern w:val="0"/>
        </w:rPr>
        <w:t>投标人拟投产品符合政府采购政策的，投标人须按招标文件要求提供相关的证明材料。</w:t>
      </w:r>
    </w:p>
    <w:p w14:paraId="1DF02253">
      <w:pPr>
        <w:pStyle w:val="9"/>
        <w:numPr>
          <w:ilvl w:val="0"/>
          <w:numId w:val="7"/>
        </w:numPr>
        <w:tabs>
          <w:tab w:val="left" w:pos="284"/>
        </w:tabs>
        <w:adjustRightInd w:val="0"/>
        <w:snapToGrid w:val="0"/>
        <w:spacing w:line="360" w:lineRule="auto"/>
        <w:ind w:left="284" w:hanging="284"/>
        <w:rPr>
          <w:rFonts w:cs="宋体" w:asciiTheme="minorEastAsia" w:hAnsiTheme="minorEastAsia"/>
          <w:kern w:val="0"/>
        </w:rPr>
      </w:pPr>
      <w:r>
        <w:rPr>
          <w:rFonts w:cs="宋体" w:asciiTheme="minorEastAsia" w:hAnsiTheme="minorEastAsia"/>
          <w:kern w:val="0"/>
        </w:rPr>
        <w:t>投标人拟投产品必须符合</w:t>
      </w:r>
      <w:r>
        <w:rPr>
          <w:rFonts w:hint="eastAsia" w:cs="宋体" w:asciiTheme="minorEastAsia" w:hAnsiTheme="minorEastAsia"/>
          <w:kern w:val="0"/>
        </w:rPr>
        <w:t>国家相关标准、行业标准、地方标准或者其他标准、规范；</w:t>
      </w:r>
    </w:p>
    <w:p w14:paraId="4C97DD9E">
      <w:pPr>
        <w:pStyle w:val="9"/>
        <w:tabs>
          <w:tab w:val="left" w:pos="540"/>
        </w:tabs>
        <w:adjustRightInd w:val="0"/>
        <w:snapToGrid w:val="0"/>
        <w:spacing w:line="360" w:lineRule="auto"/>
        <w:rPr>
          <w:rFonts w:cs="宋体" w:asciiTheme="minorEastAsia" w:hAnsiTheme="minorEastAsia"/>
          <w:kern w:val="0"/>
        </w:rPr>
      </w:pPr>
      <w:r>
        <w:rPr>
          <w:rFonts w:hint="eastAsia" w:asciiTheme="minorEastAsia" w:hAnsiTheme="minorEastAsia"/>
          <w:b/>
          <w:bCs/>
        </w:rPr>
        <w:t>★</w:t>
      </w:r>
      <w:r>
        <w:rPr>
          <w:rFonts w:hint="eastAsia" w:cs="宋体" w:asciiTheme="minorEastAsia" w:hAnsiTheme="minorEastAsia"/>
          <w:kern w:val="0"/>
        </w:rPr>
        <w:t>3.工期要求：自合同签订之日起</w:t>
      </w:r>
      <w:r>
        <w:rPr>
          <w:rFonts w:hint="eastAsia" w:cs="宋体" w:asciiTheme="minorEastAsia" w:hAnsiTheme="minorEastAsia"/>
          <w:kern w:val="0"/>
          <w:lang w:val="en-US" w:eastAsia="zh-CN"/>
        </w:rPr>
        <w:t>30</w:t>
      </w:r>
      <w:r>
        <w:rPr>
          <w:rFonts w:hint="eastAsia" w:cs="宋体" w:asciiTheme="minorEastAsia" w:hAnsiTheme="minorEastAsia"/>
          <w:kern w:val="0"/>
        </w:rPr>
        <w:t>个日历天内</w:t>
      </w:r>
      <w:r>
        <w:rPr>
          <w:rFonts w:hint="eastAsia" w:cs="宋体" w:asciiTheme="minorEastAsia" w:hAnsiTheme="minorEastAsia"/>
          <w:color w:val="FF0000"/>
          <w:kern w:val="0"/>
          <w:lang w:eastAsia="zh-CN"/>
        </w:rPr>
        <w:t>（</w:t>
      </w:r>
      <w:r>
        <w:rPr>
          <w:rFonts w:hint="eastAsia" w:cs="宋体" w:asciiTheme="minorEastAsia" w:hAnsiTheme="minorEastAsia"/>
          <w:color w:val="FF0000"/>
          <w:kern w:val="0"/>
          <w:lang w:val="en-US" w:eastAsia="zh-CN"/>
        </w:rPr>
        <w:t>不含工程备案时间</w:t>
      </w:r>
      <w:r>
        <w:rPr>
          <w:rFonts w:hint="eastAsia" w:cs="宋体" w:asciiTheme="minorEastAsia" w:hAnsiTheme="minorEastAsia"/>
          <w:color w:val="FF0000"/>
          <w:kern w:val="0"/>
          <w:lang w:eastAsia="zh-CN"/>
        </w:rPr>
        <w:t>）</w:t>
      </w:r>
      <w:r>
        <w:rPr>
          <w:rFonts w:hint="eastAsia" w:cs="宋体" w:asciiTheme="minorEastAsia" w:hAnsiTheme="minorEastAsia"/>
          <w:kern w:val="0"/>
        </w:rPr>
        <w:t>。</w:t>
      </w:r>
    </w:p>
    <w:p w14:paraId="420E21B4">
      <w:pPr>
        <w:pStyle w:val="9"/>
        <w:tabs>
          <w:tab w:val="left" w:pos="540"/>
        </w:tabs>
        <w:adjustRightInd w:val="0"/>
        <w:snapToGrid w:val="0"/>
        <w:spacing w:line="360" w:lineRule="auto"/>
        <w:rPr>
          <w:rFonts w:cs="宋体" w:asciiTheme="minorEastAsia" w:hAnsiTheme="minorEastAsia"/>
          <w:kern w:val="0"/>
        </w:rPr>
      </w:pPr>
      <w:r>
        <w:rPr>
          <w:rFonts w:hint="eastAsia" w:asciiTheme="minorEastAsia" w:hAnsiTheme="minorEastAsia"/>
          <w:b/>
          <w:bCs/>
        </w:rPr>
        <w:t>★</w:t>
      </w:r>
      <w:r>
        <w:rPr>
          <w:rFonts w:hint="eastAsia" w:cs="宋体" w:asciiTheme="minorEastAsia" w:hAnsiTheme="minorEastAsia"/>
          <w:kern w:val="0"/>
        </w:rPr>
        <w:t>4.工程量清单—详见附件1；</w:t>
      </w:r>
    </w:p>
    <w:p w14:paraId="724947F3">
      <w:pPr>
        <w:pStyle w:val="9"/>
        <w:tabs>
          <w:tab w:val="left" w:pos="540"/>
        </w:tabs>
        <w:adjustRightInd w:val="0"/>
        <w:snapToGrid w:val="0"/>
        <w:spacing w:line="360" w:lineRule="auto"/>
        <w:rPr>
          <w:rFonts w:cs="宋体" w:asciiTheme="minorEastAsia" w:hAnsiTheme="minorEastAsia"/>
          <w:kern w:val="0"/>
        </w:rPr>
      </w:pPr>
      <w:r>
        <w:rPr>
          <w:rFonts w:hint="eastAsia" w:asciiTheme="minorEastAsia" w:hAnsiTheme="minorEastAsia"/>
          <w:b/>
          <w:bCs/>
        </w:rPr>
        <w:t>★</w:t>
      </w:r>
      <w:r>
        <w:rPr>
          <w:rFonts w:hint="eastAsia" w:cs="宋体" w:asciiTheme="minorEastAsia" w:hAnsiTheme="minorEastAsia"/>
          <w:kern w:val="0"/>
        </w:rPr>
        <w:t>5.图纸—详见附件2。</w:t>
      </w:r>
    </w:p>
    <w:p w14:paraId="2CA1A994">
      <w:pPr>
        <w:pStyle w:val="9"/>
        <w:tabs>
          <w:tab w:val="left" w:pos="540"/>
        </w:tabs>
        <w:adjustRightInd w:val="0"/>
        <w:snapToGrid w:val="0"/>
        <w:spacing w:line="360" w:lineRule="auto"/>
        <w:rPr>
          <w:rFonts w:cs="宋体" w:asciiTheme="minorEastAsia" w:hAnsiTheme="minorEastAsia"/>
          <w:kern w:val="0"/>
        </w:rPr>
      </w:pPr>
      <w:r>
        <w:rPr>
          <w:rFonts w:hint="eastAsia" w:cs="宋体" w:asciiTheme="minorEastAsia" w:hAnsiTheme="minorEastAsia"/>
          <w:kern w:val="0"/>
        </w:rPr>
        <w:t>6.工程实行固定总价</w:t>
      </w:r>
      <w:r>
        <w:rPr>
          <w:rFonts w:hint="eastAsia" w:cs="宋体" w:asciiTheme="minorEastAsia" w:hAnsiTheme="minorEastAsia"/>
          <w:kern w:val="0"/>
          <w:lang w:val="en-US" w:eastAsia="zh-CN"/>
        </w:rPr>
        <w:t>/固定单价</w:t>
      </w:r>
      <w:r>
        <w:rPr>
          <w:rFonts w:hint="eastAsia" w:cs="宋体" w:asciiTheme="minorEastAsia" w:hAnsiTheme="minorEastAsia"/>
          <w:kern w:val="0"/>
        </w:rPr>
        <w:t>，按实结算。即按照招标清单内容，</w:t>
      </w:r>
      <w:r>
        <w:rPr>
          <w:rFonts w:hint="eastAsia" w:hAnsi="宋体"/>
        </w:rPr>
        <w:t>包括但不限于施工图纸和施工图预算书所涉及的全部工程内容，</w:t>
      </w:r>
      <w:r>
        <w:rPr>
          <w:rFonts w:hint="eastAsia" w:cs="宋体" w:asciiTheme="minorEastAsia" w:hAnsiTheme="minorEastAsia"/>
          <w:kern w:val="0"/>
        </w:rPr>
        <w:t>要求包工、包料、包机械、包工期、包质量、包安全生产、包文明施工、包劳保、包验收、包保修等的承包方式。包组织项目整体竣工验收（含资料汇总、整理、政府申报）等，并取得相关部门认可的验收合格证明文件。</w:t>
      </w:r>
    </w:p>
    <w:p w14:paraId="5D29945E">
      <w:pPr>
        <w:pStyle w:val="9"/>
        <w:tabs>
          <w:tab w:val="left" w:pos="540"/>
        </w:tabs>
        <w:adjustRightInd w:val="0"/>
        <w:snapToGrid w:val="0"/>
        <w:spacing w:line="360" w:lineRule="auto"/>
        <w:rPr>
          <w:rFonts w:cs="宋体" w:asciiTheme="minorEastAsia" w:hAnsiTheme="minorEastAsia"/>
          <w:kern w:val="0"/>
        </w:rPr>
      </w:pPr>
      <w:r>
        <w:rPr>
          <w:rFonts w:hint="eastAsia" w:cs="宋体" w:asciiTheme="minorEastAsia" w:hAnsiTheme="minorEastAsia"/>
          <w:kern w:val="0"/>
        </w:rPr>
        <w:t>7.质保期：2年。</w:t>
      </w:r>
    </w:p>
    <w:p w14:paraId="38DC8A99">
      <w:pPr>
        <w:pStyle w:val="9"/>
        <w:tabs>
          <w:tab w:val="left" w:pos="540"/>
        </w:tabs>
        <w:adjustRightInd w:val="0"/>
        <w:snapToGrid w:val="0"/>
        <w:spacing w:line="360" w:lineRule="auto"/>
        <w:rPr>
          <w:rFonts w:hint="eastAsia" w:cs="宋体" w:asciiTheme="minorEastAsia" w:hAnsiTheme="minorEastAsia"/>
          <w:kern w:val="0"/>
        </w:rPr>
      </w:pPr>
      <w:r>
        <w:rPr>
          <w:rFonts w:hint="eastAsia" w:cs="宋体" w:asciiTheme="minorEastAsia" w:hAnsiTheme="minorEastAsia"/>
          <w:kern w:val="0"/>
        </w:rPr>
        <w:t>8.质量标准：符合《工程施工质量验收规范》合格标准。</w:t>
      </w:r>
    </w:p>
    <w:p w14:paraId="02F5682D">
      <w:pPr>
        <w:pStyle w:val="9"/>
        <w:tabs>
          <w:tab w:val="left" w:pos="540"/>
        </w:tabs>
        <w:adjustRightInd w:val="0"/>
        <w:snapToGrid w:val="0"/>
        <w:spacing w:line="360" w:lineRule="auto"/>
        <w:rPr>
          <w:rFonts w:hint="eastAsia" w:cs="宋体" w:asciiTheme="minorEastAsia" w:hAnsiTheme="minorEastAsia"/>
          <w:kern w:val="0"/>
          <w:lang w:val="en-US" w:eastAsia="zh-CN"/>
        </w:rPr>
      </w:pPr>
      <w:r>
        <w:rPr>
          <w:rFonts w:hint="eastAsia" w:asciiTheme="minorEastAsia" w:hAnsiTheme="minorEastAsia"/>
          <w:b/>
          <w:bCs/>
        </w:rPr>
        <w:t>★</w:t>
      </w:r>
      <w:r>
        <w:rPr>
          <w:rFonts w:hint="eastAsia" w:cs="宋体" w:asciiTheme="minorEastAsia" w:hAnsiTheme="minorEastAsia"/>
          <w:kern w:val="0"/>
          <w:lang w:val="en-US" w:eastAsia="zh-CN"/>
        </w:rPr>
        <w:t>9.项目经理（负责人）需拥有二级或以上国家注册建造师证明（市政公用工程专业）。</w:t>
      </w:r>
    </w:p>
    <w:p w14:paraId="2D14114C">
      <w:pPr>
        <w:pStyle w:val="9"/>
        <w:tabs>
          <w:tab w:val="left" w:pos="540"/>
        </w:tabs>
        <w:adjustRightInd w:val="0"/>
        <w:snapToGrid w:val="0"/>
        <w:spacing w:line="360" w:lineRule="auto"/>
        <w:rPr>
          <w:rFonts w:hint="eastAsia" w:cs="宋体" w:asciiTheme="minorEastAsia" w:hAnsiTheme="minorEastAsia"/>
          <w:kern w:val="0"/>
          <w:lang w:val="en-US" w:eastAsia="zh-CN"/>
        </w:rPr>
      </w:pPr>
      <w:r>
        <w:rPr>
          <w:rFonts w:hint="eastAsia" w:cs="宋体" w:asciiTheme="minorEastAsia" w:hAnsiTheme="minorEastAsia"/>
          <w:kern w:val="0"/>
          <w:lang w:val="en-US" w:eastAsia="zh-CN"/>
        </w:rPr>
        <w:t>备注：</w:t>
      </w:r>
    </w:p>
    <w:p w14:paraId="45F6BF3B">
      <w:pPr>
        <w:pStyle w:val="9"/>
        <w:numPr>
          <w:ilvl w:val="-1"/>
          <w:numId w:val="0"/>
        </w:numPr>
        <w:tabs>
          <w:tab w:val="left" w:pos="540"/>
        </w:tabs>
        <w:adjustRightInd w:val="0"/>
        <w:snapToGrid w:val="0"/>
        <w:spacing w:line="360" w:lineRule="auto"/>
        <w:rPr>
          <w:rFonts w:hint="eastAsia" w:cs="宋体" w:asciiTheme="minorEastAsia" w:hAnsiTheme="minorEastAsia"/>
          <w:kern w:val="0"/>
          <w:lang w:val="en-US" w:eastAsia="zh-CN"/>
        </w:rPr>
      </w:pPr>
      <w:r>
        <w:rPr>
          <w:rFonts w:hint="eastAsia" w:cs="宋体" w:asciiTheme="minorEastAsia" w:hAnsiTheme="minorEastAsia"/>
          <w:kern w:val="0"/>
          <w:lang w:val="en-US" w:eastAsia="zh-CN"/>
        </w:rPr>
        <w:t>涉及到相关资格证书的，需提供证书清晰复印件并加盖公章，同时需保证证书在有限期内。</w:t>
      </w:r>
    </w:p>
    <w:p w14:paraId="2580E402">
      <w:pPr>
        <w:pStyle w:val="9"/>
        <w:numPr>
          <w:ilvl w:val="0"/>
          <w:numId w:val="6"/>
        </w:numPr>
        <w:tabs>
          <w:tab w:val="left" w:pos="540"/>
        </w:tabs>
        <w:adjustRightInd w:val="0"/>
        <w:snapToGrid w:val="0"/>
        <w:spacing w:line="360" w:lineRule="auto"/>
        <w:rPr>
          <w:rFonts w:hAnsi="宋体"/>
          <w:b/>
        </w:rPr>
      </w:pPr>
      <w:r>
        <w:rPr>
          <w:rFonts w:hint="eastAsia" w:hAnsi="宋体"/>
          <w:b/>
        </w:rPr>
        <w:t>施工工期、条件及要求：</w:t>
      </w:r>
    </w:p>
    <w:p w14:paraId="3FC6142B">
      <w:pPr>
        <w:tabs>
          <w:tab w:val="left" w:pos="851"/>
        </w:tabs>
        <w:adjustRightInd w:val="0"/>
        <w:snapToGrid w:val="0"/>
        <w:spacing w:line="360" w:lineRule="auto"/>
        <w:ind w:left="424" w:hanging="424" w:hangingChars="202"/>
        <w:rPr>
          <w:rFonts w:ascii="宋体" w:hAnsi="宋体"/>
        </w:rPr>
      </w:pPr>
      <w:r>
        <w:rPr>
          <w:rFonts w:hint="eastAsia" w:ascii="宋体" w:hAnsi="宋体"/>
        </w:rPr>
        <w:t>1</w:t>
      </w:r>
      <w:r>
        <w:rPr>
          <w:rFonts w:hint="eastAsia" w:ascii="宋体" w:hAnsi="宋体"/>
          <w:lang w:eastAsia="zh-CN"/>
        </w:rPr>
        <w:t>.</w:t>
      </w:r>
      <w:r>
        <w:rPr>
          <w:rFonts w:hint="eastAsia" w:ascii="宋体" w:hAnsi="宋体"/>
        </w:rPr>
        <w:t>按完成招标范围内全部工程内容要求，开工日期由投标人收到采购人发出的开工通知书起计。整个工程应于合同签订后</w:t>
      </w:r>
      <w:r>
        <w:rPr>
          <w:rFonts w:hint="eastAsia" w:ascii="宋体" w:hAnsi="宋体"/>
          <w:color w:val="FF0000"/>
          <w:lang w:val="en-US" w:eastAsia="zh-CN"/>
        </w:rPr>
        <w:t>30</w:t>
      </w:r>
      <w:r>
        <w:rPr>
          <w:rFonts w:hint="eastAsia" w:ascii="宋体" w:hAnsi="宋体"/>
        </w:rPr>
        <w:t>个日历天内完成</w:t>
      </w:r>
      <w:r>
        <w:rPr>
          <w:rFonts w:hint="eastAsia" w:cs="宋体" w:asciiTheme="minorEastAsia" w:hAnsiTheme="minorEastAsia"/>
          <w:color w:val="FF0000"/>
          <w:kern w:val="0"/>
          <w:lang w:eastAsia="zh-CN"/>
        </w:rPr>
        <w:t>（</w:t>
      </w:r>
      <w:r>
        <w:rPr>
          <w:rFonts w:hint="eastAsia" w:cs="宋体" w:asciiTheme="minorEastAsia" w:hAnsiTheme="minorEastAsia"/>
          <w:color w:val="FF0000"/>
          <w:kern w:val="0"/>
          <w:lang w:val="en-US" w:eastAsia="zh-CN"/>
        </w:rPr>
        <w:t>不含工程备案时间</w:t>
      </w:r>
      <w:r>
        <w:rPr>
          <w:rFonts w:hint="eastAsia" w:cs="宋体" w:asciiTheme="minorEastAsia" w:hAnsiTheme="minorEastAsia"/>
          <w:color w:val="FF0000"/>
          <w:kern w:val="0"/>
          <w:lang w:eastAsia="zh-CN"/>
        </w:rPr>
        <w:t>）</w:t>
      </w:r>
      <w:r>
        <w:rPr>
          <w:rFonts w:hint="eastAsia" w:ascii="宋体" w:hAnsi="宋体"/>
        </w:rPr>
        <w:t>。</w:t>
      </w:r>
    </w:p>
    <w:p w14:paraId="5438522D">
      <w:pPr>
        <w:tabs>
          <w:tab w:val="left" w:pos="851"/>
        </w:tabs>
        <w:adjustRightInd w:val="0"/>
        <w:snapToGrid w:val="0"/>
        <w:spacing w:line="360" w:lineRule="auto"/>
        <w:rPr>
          <w:rFonts w:ascii="宋体" w:hAnsi="宋体"/>
        </w:rPr>
      </w:pPr>
      <w:r>
        <w:rPr>
          <w:rFonts w:hint="eastAsia" w:ascii="宋体" w:hAnsi="宋体"/>
        </w:rPr>
        <w:t>（1）完工日期以采购人和监理签认的竣工时间为准。</w:t>
      </w:r>
    </w:p>
    <w:p w14:paraId="21074F9F">
      <w:pPr>
        <w:adjustRightInd w:val="0"/>
        <w:snapToGrid w:val="0"/>
        <w:spacing w:line="360" w:lineRule="auto"/>
        <w:rPr>
          <w:rFonts w:ascii="宋体" w:hAnsi="宋体"/>
        </w:rPr>
      </w:pPr>
      <w:r>
        <w:rPr>
          <w:rFonts w:hint="eastAsia" w:ascii="宋体" w:hAnsi="宋体"/>
        </w:rPr>
        <w:t>（2）采购人同意在此期限内未能完成应由采购人办理的相关手续，工期起计时间相应延后。</w:t>
      </w:r>
    </w:p>
    <w:p w14:paraId="6427A60C">
      <w:pPr>
        <w:adjustRightInd w:val="0"/>
        <w:snapToGrid w:val="0"/>
        <w:spacing w:line="360" w:lineRule="auto"/>
        <w:rPr>
          <w:rFonts w:ascii="宋体" w:hAnsi="宋体"/>
        </w:rPr>
      </w:pPr>
      <w:r>
        <w:rPr>
          <w:rFonts w:hint="eastAsia" w:ascii="宋体" w:hAnsi="宋体"/>
        </w:rPr>
        <w:t>（3）工程实施过程中，出现下列情形，经采购人确认，工期予以顺延：</w:t>
      </w:r>
    </w:p>
    <w:p w14:paraId="1850D05B">
      <w:pPr>
        <w:adjustRightInd w:val="0"/>
        <w:snapToGrid w:val="0"/>
        <w:spacing w:line="360" w:lineRule="auto"/>
        <w:ind w:firstLine="315" w:firstLineChars="150"/>
        <w:rPr>
          <w:rFonts w:ascii="宋体" w:hAnsi="宋体"/>
        </w:rPr>
      </w:pPr>
      <w:r>
        <w:rPr>
          <w:rFonts w:hint="eastAsia" w:ascii="宋体" w:hAnsi="宋体"/>
        </w:rPr>
        <w:t>（a</w:t>
      </w:r>
      <w:r>
        <w:rPr>
          <w:rFonts w:ascii="宋体" w:hAnsi="宋体"/>
        </w:rPr>
        <w:t>）</w:t>
      </w:r>
      <w:r>
        <w:rPr>
          <w:rFonts w:hint="eastAsia" w:ascii="宋体" w:hAnsi="宋体"/>
        </w:rPr>
        <w:t>不可抗因素</w:t>
      </w:r>
    </w:p>
    <w:p w14:paraId="0B60F95D">
      <w:pPr>
        <w:adjustRightInd w:val="0"/>
        <w:snapToGrid w:val="0"/>
        <w:spacing w:line="360" w:lineRule="auto"/>
        <w:ind w:firstLine="420" w:firstLineChars="200"/>
        <w:rPr>
          <w:rFonts w:ascii="宋体" w:hAnsi="宋体"/>
        </w:rPr>
      </w:pPr>
      <w:r>
        <w:rPr>
          <w:rFonts w:hint="eastAsia" w:ascii="宋体" w:hAnsi="宋体"/>
        </w:rPr>
        <w:t>(b) 由于设计变更，致使工程量重大增加者（超过总量的10%）</w:t>
      </w:r>
    </w:p>
    <w:p w14:paraId="49032BEA">
      <w:pPr>
        <w:adjustRightInd w:val="0"/>
        <w:snapToGrid w:val="0"/>
        <w:spacing w:line="360" w:lineRule="auto"/>
        <w:ind w:firstLine="315" w:firstLineChars="150"/>
        <w:rPr>
          <w:rFonts w:ascii="宋体" w:hAnsi="宋体"/>
        </w:rPr>
      </w:pPr>
      <w:r>
        <w:rPr>
          <w:rFonts w:hint="eastAsia" w:ascii="宋体" w:hAnsi="宋体"/>
        </w:rPr>
        <w:t>（c</w:t>
      </w:r>
      <w:r>
        <w:rPr>
          <w:rFonts w:ascii="宋体" w:hAnsi="宋体"/>
        </w:rPr>
        <w:t>）</w:t>
      </w:r>
      <w:r>
        <w:rPr>
          <w:rFonts w:hint="eastAsia" w:ascii="宋体" w:hAnsi="宋体"/>
        </w:rPr>
        <w:t>工程款不能按时或逾期支付者。</w:t>
      </w:r>
    </w:p>
    <w:p w14:paraId="60BA94E6">
      <w:pPr>
        <w:adjustRightInd w:val="0"/>
        <w:snapToGrid w:val="0"/>
        <w:spacing w:line="360" w:lineRule="auto"/>
        <w:ind w:left="525" w:hanging="525" w:hangingChars="250"/>
        <w:rPr>
          <w:rFonts w:ascii="宋体" w:hAnsi="宋体"/>
        </w:rPr>
      </w:pPr>
      <w:r>
        <w:rPr>
          <w:rFonts w:hint="eastAsia" w:ascii="宋体" w:hAnsi="宋体"/>
        </w:rPr>
        <w:t>（4）采购人欢迎各投标人根据各企业实际提出缩短工期的标书。投标因赶工而需要增加的费用应于投标价中考虑。</w:t>
      </w:r>
    </w:p>
    <w:p w14:paraId="3A710C41">
      <w:pPr>
        <w:tabs>
          <w:tab w:val="left" w:pos="851"/>
        </w:tabs>
        <w:adjustRightInd w:val="0"/>
        <w:snapToGrid w:val="0"/>
        <w:spacing w:line="360" w:lineRule="auto"/>
        <w:ind w:left="420" w:hanging="420" w:hangingChars="200"/>
        <w:rPr>
          <w:rFonts w:ascii="宋体" w:hAnsi="宋体"/>
          <w:b/>
        </w:rPr>
      </w:pPr>
      <w:r>
        <w:rPr>
          <w:rFonts w:hint="eastAsia" w:ascii="宋体" w:hAnsi="宋体"/>
        </w:rPr>
        <w:t>2</w:t>
      </w:r>
      <w:r>
        <w:rPr>
          <w:rFonts w:hint="eastAsia" w:ascii="宋体" w:hAnsi="宋体"/>
          <w:lang w:eastAsia="zh-CN"/>
        </w:rPr>
        <w:t>.</w:t>
      </w:r>
      <w:r>
        <w:rPr>
          <w:rFonts w:hint="eastAsia" w:ascii="宋体" w:hAnsi="宋体"/>
        </w:rPr>
        <w:t>中标人在施工期间应严格遵守《中华人民共和国安全生产法》（国家主席70号令）、《建设工程安全生产管理条例》（中华人民共和国国务院令第393号）以及文明施工、深夜施工、环保和城管、计划生育等规定，建立规章制度和防护措施。若违反以上规定，由此造成的经济和法律责任，均由中标人负责。</w:t>
      </w:r>
    </w:p>
    <w:p w14:paraId="45C3163E">
      <w:pPr>
        <w:tabs>
          <w:tab w:val="left" w:pos="851"/>
        </w:tabs>
        <w:adjustRightInd w:val="0"/>
        <w:snapToGrid w:val="0"/>
        <w:spacing w:line="360" w:lineRule="auto"/>
        <w:ind w:left="420" w:hanging="420" w:hangingChars="200"/>
        <w:rPr>
          <w:rFonts w:ascii="宋体" w:hAnsi="宋体"/>
          <w:b/>
        </w:rPr>
      </w:pPr>
      <w:r>
        <w:rPr>
          <w:rFonts w:hint="eastAsia" w:ascii="宋体" w:hAnsi="宋体"/>
        </w:rPr>
        <w:t>3</w:t>
      </w:r>
      <w:r>
        <w:rPr>
          <w:rFonts w:hint="eastAsia" w:ascii="宋体" w:hAnsi="宋体"/>
          <w:lang w:eastAsia="zh-CN"/>
        </w:rPr>
        <w:t>.</w:t>
      </w:r>
      <w:r>
        <w:rPr>
          <w:rFonts w:hint="eastAsia" w:ascii="宋体" w:hAnsi="宋体"/>
        </w:rPr>
        <w:t>合同约定的工程项目，中标人不得转包。否则，采购人有权单方面终止合同，并令其退场，由此而造成直接经济损失由中标人负责赔偿。</w:t>
      </w:r>
    </w:p>
    <w:p w14:paraId="2D05DC2E">
      <w:pPr>
        <w:pStyle w:val="9"/>
        <w:numPr>
          <w:ilvl w:val="0"/>
          <w:numId w:val="6"/>
        </w:numPr>
        <w:tabs>
          <w:tab w:val="left" w:pos="540"/>
        </w:tabs>
        <w:adjustRightInd w:val="0"/>
        <w:snapToGrid w:val="0"/>
        <w:spacing w:line="360" w:lineRule="auto"/>
        <w:rPr>
          <w:rFonts w:hAnsi="宋体"/>
          <w:b/>
        </w:rPr>
      </w:pPr>
      <w:r>
        <w:rPr>
          <w:rFonts w:hint="eastAsia" w:asciiTheme="minorEastAsia" w:hAnsiTheme="minorEastAsia"/>
          <w:b/>
          <w:bCs/>
        </w:rPr>
        <w:t>★</w:t>
      </w:r>
      <w:r>
        <w:rPr>
          <w:rFonts w:hint="eastAsia" w:hAnsi="宋体"/>
          <w:b/>
        </w:rPr>
        <w:t>项目款支付方式：</w:t>
      </w:r>
    </w:p>
    <w:p w14:paraId="1AD3EF35">
      <w:pPr>
        <w:spacing w:line="360" w:lineRule="auto"/>
        <w:ind w:left="105" w:hanging="105" w:hangingChars="50"/>
        <w:rPr>
          <w:rFonts w:asciiTheme="minorEastAsia" w:hAnsiTheme="minorEastAsia" w:eastAsiaTheme="minorEastAsia" w:cstheme="minorEastAsia"/>
          <w:color w:val="000000"/>
          <w:szCs w:val="21"/>
          <w:u w:val="none"/>
        </w:rPr>
      </w:pPr>
      <w:r>
        <w:rPr>
          <w:rFonts w:hint="eastAsia" w:asciiTheme="minorEastAsia" w:hAnsiTheme="minorEastAsia" w:eastAsiaTheme="minorEastAsia" w:cstheme="minorEastAsia"/>
          <w:color w:val="000000"/>
          <w:szCs w:val="21"/>
          <w:u w:val="none"/>
        </w:rPr>
        <w:t>（1）本合同签订后，</w:t>
      </w:r>
      <w:r>
        <w:rPr>
          <w:rFonts w:hint="eastAsia" w:asciiTheme="minorEastAsia" w:hAnsiTheme="minorEastAsia" w:eastAsiaTheme="minorEastAsia" w:cstheme="minorEastAsia"/>
          <w:color w:val="000000"/>
          <w:szCs w:val="21"/>
          <w:u w:val="none"/>
          <w:lang w:val="en-US" w:eastAsia="zh-CN"/>
        </w:rPr>
        <w:t>采购人</w:t>
      </w:r>
      <w:r>
        <w:rPr>
          <w:rFonts w:hint="eastAsia" w:asciiTheme="minorEastAsia" w:hAnsiTheme="minorEastAsia" w:eastAsiaTheme="minorEastAsia" w:cstheme="minorEastAsia"/>
          <w:color w:val="000000"/>
          <w:szCs w:val="21"/>
          <w:u w:val="none"/>
        </w:rPr>
        <w:t>向</w:t>
      </w:r>
      <w:r>
        <w:rPr>
          <w:rFonts w:hint="eastAsia" w:asciiTheme="minorEastAsia" w:hAnsiTheme="minorEastAsia" w:eastAsiaTheme="minorEastAsia" w:cstheme="minorEastAsia"/>
          <w:color w:val="000000"/>
          <w:szCs w:val="21"/>
          <w:u w:val="none"/>
          <w:lang w:val="en-US" w:eastAsia="zh-CN"/>
        </w:rPr>
        <w:t>中标人</w:t>
      </w:r>
      <w:r>
        <w:rPr>
          <w:rFonts w:hint="eastAsia" w:asciiTheme="minorEastAsia" w:hAnsiTheme="minorEastAsia" w:eastAsiaTheme="minorEastAsia" w:cstheme="minorEastAsia"/>
          <w:color w:val="000000"/>
          <w:szCs w:val="21"/>
          <w:u w:val="none"/>
        </w:rPr>
        <w:t>支付中标金额30%的预付款。</w:t>
      </w:r>
    </w:p>
    <w:p w14:paraId="4F8C7508">
      <w:pPr>
        <w:spacing w:line="360" w:lineRule="auto"/>
        <w:rPr>
          <w:rFonts w:asciiTheme="minorEastAsia" w:hAnsiTheme="minorEastAsia" w:eastAsiaTheme="minorEastAsia" w:cstheme="minorEastAsia"/>
          <w:color w:val="000000"/>
          <w:szCs w:val="21"/>
          <w:u w:val="none"/>
        </w:rPr>
      </w:pPr>
      <w:r>
        <w:rPr>
          <w:rFonts w:hint="eastAsia" w:asciiTheme="minorEastAsia" w:hAnsiTheme="minorEastAsia" w:eastAsiaTheme="minorEastAsia" w:cstheme="minorEastAsia"/>
          <w:color w:val="000000"/>
          <w:szCs w:val="21"/>
          <w:u w:val="none"/>
        </w:rPr>
        <w:t>（2）工程量完成70%，经监理公司书面确认后支付中标金额30%的工程进度款。</w:t>
      </w:r>
    </w:p>
    <w:p w14:paraId="5A729743">
      <w:pPr>
        <w:spacing w:line="360" w:lineRule="auto"/>
        <w:rPr>
          <w:rFonts w:asciiTheme="minorEastAsia" w:hAnsiTheme="minorEastAsia" w:eastAsiaTheme="minorEastAsia" w:cstheme="minorEastAsia"/>
          <w:color w:val="000000"/>
          <w:szCs w:val="21"/>
          <w:u w:val="none"/>
        </w:rPr>
      </w:pPr>
      <w:r>
        <w:rPr>
          <w:rFonts w:hint="eastAsia" w:asciiTheme="minorEastAsia" w:hAnsiTheme="minorEastAsia" w:eastAsiaTheme="minorEastAsia" w:cstheme="minorEastAsia"/>
          <w:color w:val="000000"/>
          <w:szCs w:val="21"/>
          <w:u w:val="none"/>
        </w:rPr>
        <w:t>（</w:t>
      </w:r>
      <w:r>
        <w:rPr>
          <w:rFonts w:asciiTheme="minorEastAsia" w:hAnsiTheme="minorEastAsia" w:eastAsiaTheme="minorEastAsia" w:cstheme="minorEastAsia"/>
          <w:color w:val="000000"/>
          <w:szCs w:val="21"/>
          <w:u w:val="none"/>
        </w:rPr>
        <w:t>3</w:t>
      </w:r>
      <w:r>
        <w:rPr>
          <w:rFonts w:hint="eastAsia" w:asciiTheme="minorEastAsia" w:hAnsiTheme="minorEastAsia" w:eastAsiaTheme="minorEastAsia" w:cstheme="minorEastAsia"/>
          <w:color w:val="000000"/>
          <w:szCs w:val="21"/>
          <w:u w:val="none"/>
        </w:rPr>
        <w:t>）工程竣工</w:t>
      </w:r>
      <w:r>
        <w:rPr>
          <w:rFonts w:hint="eastAsia" w:asciiTheme="minorEastAsia" w:hAnsiTheme="minorEastAsia" w:eastAsiaTheme="minorEastAsia" w:cstheme="minorEastAsia"/>
          <w:color w:val="000000"/>
          <w:szCs w:val="21"/>
          <w:u w:val="none"/>
          <w:lang w:val="en-US" w:eastAsia="zh-CN"/>
        </w:rPr>
        <w:t>并</w:t>
      </w:r>
      <w:r>
        <w:rPr>
          <w:rFonts w:hint="eastAsia" w:asciiTheme="minorEastAsia" w:hAnsiTheme="minorEastAsia" w:eastAsiaTheme="minorEastAsia" w:cstheme="minorEastAsia"/>
          <w:color w:val="000000"/>
          <w:szCs w:val="21"/>
          <w:u w:val="none"/>
        </w:rPr>
        <w:t>经</w:t>
      </w:r>
      <w:r>
        <w:rPr>
          <w:rFonts w:hint="eastAsia" w:asciiTheme="minorEastAsia" w:hAnsiTheme="minorEastAsia" w:eastAsiaTheme="minorEastAsia" w:cstheme="minorEastAsia"/>
          <w:color w:val="000000"/>
          <w:szCs w:val="21"/>
          <w:u w:val="none"/>
          <w:lang w:val="en-US" w:eastAsia="zh-CN"/>
        </w:rPr>
        <w:t>采购</w:t>
      </w:r>
      <w:r>
        <w:rPr>
          <w:rFonts w:hint="eastAsia" w:asciiTheme="minorEastAsia" w:hAnsiTheme="minorEastAsia" w:eastAsiaTheme="minorEastAsia" w:cstheme="minorEastAsia"/>
          <w:color w:val="000000"/>
          <w:szCs w:val="21"/>
          <w:u w:val="none"/>
        </w:rPr>
        <w:t>人验收合格后</w:t>
      </w:r>
      <w:r>
        <w:rPr>
          <w:rFonts w:hint="eastAsia" w:asciiTheme="minorEastAsia" w:hAnsiTheme="minorEastAsia" w:eastAsiaTheme="minorEastAsia" w:cstheme="minorEastAsia"/>
          <w:color w:val="000000"/>
          <w:szCs w:val="21"/>
          <w:u w:val="none"/>
          <w:lang w:eastAsia="zh-CN"/>
        </w:rPr>
        <w:t>，</w:t>
      </w:r>
      <w:r>
        <w:rPr>
          <w:rFonts w:hint="eastAsia" w:asciiTheme="minorEastAsia" w:hAnsiTheme="minorEastAsia" w:eastAsiaTheme="minorEastAsia" w:cstheme="minorEastAsia"/>
          <w:color w:val="000000"/>
          <w:szCs w:val="21"/>
          <w:u w:val="none"/>
          <w:lang w:val="en-US" w:eastAsia="zh-CN"/>
        </w:rPr>
        <w:t>中标</w:t>
      </w:r>
      <w:r>
        <w:rPr>
          <w:rFonts w:hint="eastAsia" w:asciiTheme="minorEastAsia" w:hAnsiTheme="minorEastAsia" w:eastAsiaTheme="minorEastAsia" w:cstheme="minorEastAsia"/>
          <w:color w:val="000000"/>
          <w:szCs w:val="21"/>
          <w:u w:val="none"/>
        </w:rPr>
        <w:t>人及时向</w:t>
      </w:r>
      <w:r>
        <w:rPr>
          <w:rFonts w:hint="eastAsia" w:asciiTheme="minorEastAsia" w:hAnsiTheme="minorEastAsia" w:eastAsiaTheme="minorEastAsia" w:cstheme="minorEastAsia"/>
          <w:color w:val="000000"/>
          <w:szCs w:val="21"/>
          <w:u w:val="none"/>
          <w:lang w:val="en-US" w:eastAsia="zh-CN"/>
        </w:rPr>
        <w:t>采购</w:t>
      </w:r>
      <w:r>
        <w:rPr>
          <w:rFonts w:hint="eastAsia" w:asciiTheme="minorEastAsia" w:hAnsiTheme="minorEastAsia" w:eastAsiaTheme="minorEastAsia" w:cstheme="minorEastAsia"/>
          <w:color w:val="000000"/>
          <w:szCs w:val="21"/>
          <w:u w:val="none"/>
        </w:rPr>
        <w:t>人提交竣工结算书，</w:t>
      </w:r>
      <w:r>
        <w:rPr>
          <w:rFonts w:hint="eastAsia" w:asciiTheme="minorEastAsia" w:hAnsiTheme="minorEastAsia" w:eastAsiaTheme="minorEastAsia" w:cstheme="minorEastAsia"/>
          <w:color w:val="000000"/>
          <w:szCs w:val="21"/>
          <w:u w:val="none"/>
          <w:lang w:val="en-US" w:eastAsia="zh-CN"/>
        </w:rPr>
        <w:t>采购</w:t>
      </w:r>
      <w:r>
        <w:rPr>
          <w:rFonts w:hint="eastAsia" w:asciiTheme="minorEastAsia" w:hAnsiTheme="minorEastAsia" w:eastAsiaTheme="minorEastAsia" w:cstheme="minorEastAsia"/>
          <w:color w:val="000000"/>
          <w:szCs w:val="21"/>
          <w:u w:val="none"/>
        </w:rPr>
        <w:t>人在收到竣工结算书后提报政府指定的审核机构或发包人指定的第三方造价机构予以最终结算复核，</w:t>
      </w:r>
      <w:r>
        <w:rPr>
          <w:rFonts w:hint="eastAsia" w:asciiTheme="minorEastAsia" w:hAnsiTheme="minorEastAsia" w:eastAsiaTheme="minorEastAsia" w:cstheme="minorEastAsia"/>
          <w:color w:val="000000"/>
          <w:szCs w:val="21"/>
          <w:u w:val="none"/>
          <w:lang w:val="en-US" w:eastAsia="zh-CN"/>
        </w:rPr>
        <w:t>采购</w:t>
      </w:r>
      <w:r>
        <w:rPr>
          <w:rFonts w:hint="eastAsia" w:asciiTheme="minorEastAsia" w:hAnsiTheme="minorEastAsia" w:eastAsiaTheme="minorEastAsia" w:cstheme="minorEastAsia"/>
          <w:color w:val="000000"/>
          <w:szCs w:val="21"/>
          <w:u w:val="none"/>
        </w:rPr>
        <w:t>人收到政府指定的审定机构或</w:t>
      </w:r>
      <w:r>
        <w:rPr>
          <w:rFonts w:hint="eastAsia" w:asciiTheme="minorEastAsia" w:hAnsiTheme="minorEastAsia" w:eastAsiaTheme="minorEastAsia" w:cstheme="minorEastAsia"/>
          <w:color w:val="000000"/>
          <w:szCs w:val="21"/>
          <w:u w:val="none"/>
          <w:lang w:val="en-US" w:eastAsia="zh-CN"/>
        </w:rPr>
        <w:t>采购</w:t>
      </w:r>
      <w:r>
        <w:rPr>
          <w:rFonts w:hint="eastAsia" w:asciiTheme="minorEastAsia" w:hAnsiTheme="minorEastAsia" w:eastAsiaTheme="minorEastAsia" w:cstheme="minorEastAsia"/>
          <w:color w:val="000000"/>
          <w:szCs w:val="21"/>
          <w:u w:val="none"/>
        </w:rPr>
        <w:t>人指定的第三方造价机构出具的审核报告后支付至最终审定的工程结算款的97%。剩余工程结算款的3%作为工程质量保证金。</w:t>
      </w:r>
    </w:p>
    <w:p w14:paraId="7921B9A2">
      <w:pPr>
        <w:spacing w:line="360" w:lineRule="auto"/>
        <w:rPr>
          <w:rFonts w:asciiTheme="minorEastAsia" w:hAnsiTheme="minorEastAsia" w:eastAsiaTheme="minorEastAsia" w:cstheme="minorEastAsia"/>
          <w:color w:val="000000"/>
          <w:szCs w:val="21"/>
          <w:u w:val="none"/>
        </w:rPr>
      </w:pPr>
      <w:r>
        <w:rPr>
          <w:rFonts w:hint="eastAsia" w:asciiTheme="minorEastAsia" w:hAnsiTheme="minorEastAsia" w:eastAsiaTheme="minorEastAsia" w:cstheme="minorEastAsia"/>
          <w:color w:val="000000"/>
          <w:szCs w:val="21"/>
          <w:u w:val="none"/>
        </w:rPr>
        <w:t>（</w:t>
      </w:r>
      <w:r>
        <w:rPr>
          <w:rFonts w:asciiTheme="minorEastAsia" w:hAnsiTheme="minorEastAsia" w:eastAsiaTheme="minorEastAsia" w:cstheme="minorEastAsia"/>
          <w:color w:val="000000"/>
          <w:szCs w:val="21"/>
          <w:u w:val="none"/>
        </w:rPr>
        <w:t>4</w:t>
      </w:r>
      <w:r>
        <w:rPr>
          <w:rFonts w:hint="eastAsia" w:asciiTheme="minorEastAsia" w:hAnsiTheme="minorEastAsia" w:eastAsiaTheme="minorEastAsia" w:cstheme="minorEastAsia"/>
          <w:color w:val="000000"/>
          <w:szCs w:val="21"/>
          <w:u w:val="none"/>
        </w:rPr>
        <w:t>）</w:t>
      </w:r>
      <w:r>
        <w:rPr>
          <w:rFonts w:hint="eastAsia" w:asciiTheme="minorEastAsia" w:hAnsiTheme="minorEastAsia" w:eastAsiaTheme="minorEastAsia" w:cstheme="minorEastAsia"/>
          <w:color w:val="000000"/>
          <w:szCs w:val="21"/>
          <w:u w:val="none"/>
          <w:lang w:val="en-US" w:eastAsia="zh-CN"/>
        </w:rPr>
        <w:t>质保期2年</w:t>
      </w:r>
      <w:r>
        <w:rPr>
          <w:rFonts w:hint="eastAsia" w:asciiTheme="minorEastAsia" w:hAnsiTheme="minorEastAsia" w:eastAsiaTheme="minorEastAsia" w:cstheme="minorEastAsia"/>
          <w:color w:val="000000"/>
          <w:szCs w:val="21"/>
          <w:u w:val="none"/>
        </w:rPr>
        <w:t>期满且</w:t>
      </w:r>
      <w:r>
        <w:rPr>
          <w:rFonts w:hint="eastAsia" w:asciiTheme="minorEastAsia" w:hAnsiTheme="minorEastAsia" w:eastAsiaTheme="minorEastAsia" w:cstheme="minorEastAsia"/>
          <w:color w:val="000000"/>
          <w:szCs w:val="21"/>
          <w:u w:val="none"/>
          <w:lang w:val="en-US" w:eastAsia="zh-CN"/>
        </w:rPr>
        <w:t>采购</w:t>
      </w:r>
      <w:r>
        <w:rPr>
          <w:rFonts w:hint="eastAsia" w:asciiTheme="minorEastAsia" w:hAnsiTheme="minorEastAsia" w:eastAsiaTheme="minorEastAsia" w:cstheme="minorEastAsia"/>
          <w:color w:val="000000"/>
          <w:szCs w:val="21"/>
          <w:u w:val="none"/>
        </w:rPr>
        <w:t>人无质量异议后无息支付余下3%的工程质量保证金。</w:t>
      </w:r>
    </w:p>
    <w:p w14:paraId="4D96E595">
      <w:pPr>
        <w:rPr>
          <w:rFonts w:hint="eastAsia"/>
        </w:rPr>
      </w:pPr>
    </w:p>
    <w:p w14:paraId="458B1A0F">
      <w:pPr>
        <w:rPr>
          <w:rFonts w:hint="eastAsia"/>
        </w:rPr>
      </w:pPr>
    </w:p>
    <w:p w14:paraId="2C1D5287">
      <w:pPr>
        <w:rPr>
          <w:rFonts w:hint="eastAsia"/>
        </w:rPr>
      </w:pPr>
    </w:p>
    <w:p w14:paraId="42FAB0CE">
      <w:pPr>
        <w:rPr>
          <w:rFonts w:hint="eastAsia"/>
        </w:rPr>
      </w:pPr>
    </w:p>
    <w:p w14:paraId="019C6199">
      <w:pPr>
        <w:rPr>
          <w:rFonts w:hint="eastAsia"/>
        </w:rPr>
      </w:pPr>
    </w:p>
    <w:p w14:paraId="298BE108">
      <w:pPr>
        <w:rPr>
          <w:rFonts w:hint="eastAsia"/>
        </w:rPr>
      </w:pPr>
    </w:p>
    <w:p w14:paraId="7B988F6D">
      <w:pPr>
        <w:rPr>
          <w:rFonts w:hint="eastAsia"/>
        </w:rPr>
      </w:pPr>
    </w:p>
    <w:p w14:paraId="3485CC58">
      <w:pPr>
        <w:rPr>
          <w:rFonts w:hint="eastAsia"/>
        </w:rPr>
      </w:pPr>
    </w:p>
    <w:p w14:paraId="65D54A12">
      <w:pPr>
        <w:rPr>
          <w:rFonts w:hint="eastAsia"/>
        </w:rPr>
      </w:pPr>
    </w:p>
    <w:p w14:paraId="085279FC">
      <w:pPr>
        <w:rPr>
          <w:rFonts w:hint="eastAsia"/>
        </w:rPr>
      </w:pPr>
    </w:p>
    <w:p w14:paraId="35A9891E">
      <w:pPr>
        <w:rPr>
          <w:rFonts w:hint="eastAsia"/>
        </w:rPr>
      </w:pPr>
    </w:p>
    <w:p w14:paraId="55A2AAD3">
      <w:pPr>
        <w:rPr>
          <w:rFonts w:hint="eastAsia"/>
        </w:rPr>
      </w:pPr>
    </w:p>
    <w:p w14:paraId="784F67E4">
      <w:pPr>
        <w:rPr>
          <w:rFonts w:hint="eastAsia"/>
        </w:rPr>
      </w:pPr>
    </w:p>
    <w:p w14:paraId="24F52E1C">
      <w:pPr>
        <w:rPr>
          <w:rFonts w:hint="eastAsia"/>
        </w:rPr>
      </w:pPr>
    </w:p>
    <w:p w14:paraId="781862B5">
      <w:pPr>
        <w:rPr>
          <w:rFonts w:hint="eastAsia"/>
        </w:rPr>
      </w:pPr>
    </w:p>
    <w:p w14:paraId="09A1C012">
      <w:pPr>
        <w:rPr>
          <w:rFonts w:hint="eastAsia"/>
        </w:rPr>
      </w:pPr>
    </w:p>
    <w:p w14:paraId="7DC75919">
      <w:pPr>
        <w:rPr>
          <w:rFonts w:hint="eastAsia"/>
        </w:rPr>
      </w:pPr>
    </w:p>
    <w:p w14:paraId="7924A6F3">
      <w:pPr>
        <w:rPr>
          <w:rFonts w:hint="eastAsia"/>
        </w:rPr>
      </w:pPr>
    </w:p>
    <w:p w14:paraId="1CEB75E6">
      <w:pPr>
        <w:rPr>
          <w:rFonts w:hint="eastAsia"/>
        </w:rPr>
      </w:pPr>
    </w:p>
    <w:p w14:paraId="6070C7DA">
      <w:pPr>
        <w:rPr>
          <w:rFonts w:hint="eastAsia"/>
        </w:rPr>
      </w:pPr>
    </w:p>
    <w:p w14:paraId="1E24264C">
      <w:pPr>
        <w:rPr>
          <w:rFonts w:hint="eastAsia"/>
        </w:rPr>
      </w:pPr>
    </w:p>
    <w:p w14:paraId="3398ADEE">
      <w:pPr>
        <w:rPr>
          <w:rFonts w:hint="eastAsia"/>
        </w:rPr>
      </w:pPr>
    </w:p>
    <w:p w14:paraId="1D11B7B2">
      <w:pPr>
        <w:rPr>
          <w:rFonts w:hint="eastAsia"/>
        </w:rPr>
      </w:pPr>
    </w:p>
    <w:p w14:paraId="2ED0D0F6">
      <w:pPr>
        <w:rPr>
          <w:rFonts w:hint="eastAsia"/>
        </w:rPr>
      </w:pPr>
    </w:p>
    <w:p w14:paraId="2861CD05">
      <w:pPr>
        <w:rPr>
          <w:rFonts w:hint="eastAsia"/>
        </w:rPr>
      </w:pPr>
    </w:p>
    <w:p w14:paraId="78E9DF1D">
      <w:pPr>
        <w:rPr>
          <w:rFonts w:hint="eastAsia"/>
        </w:rPr>
      </w:pPr>
    </w:p>
    <w:p w14:paraId="627BBF18">
      <w:pPr>
        <w:rPr>
          <w:rFonts w:hint="eastAsia"/>
        </w:rPr>
      </w:pPr>
    </w:p>
    <w:p w14:paraId="7D81804F">
      <w:pPr>
        <w:rPr>
          <w:rFonts w:hint="eastAsia"/>
        </w:rPr>
      </w:pPr>
    </w:p>
    <w:p w14:paraId="1B2982E7">
      <w:pPr>
        <w:rPr>
          <w:rFonts w:hint="eastAsia"/>
        </w:rPr>
      </w:pPr>
    </w:p>
    <w:p w14:paraId="5D6124FE">
      <w:pPr>
        <w:rPr>
          <w:rFonts w:hint="eastAsia"/>
        </w:rPr>
      </w:pPr>
    </w:p>
    <w:p w14:paraId="2AA7A807">
      <w:pPr>
        <w:rPr>
          <w:rFonts w:hint="eastAsia"/>
        </w:rPr>
      </w:pPr>
    </w:p>
    <w:p w14:paraId="5F6117D4">
      <w:pPr>
        <w:rPr>
          <w:rFonts w:hint="eastAsia"/>
        </w:rPr>
      </w:pPr>
    </w:p>
    <w:p w14:paraId="24F96B5A">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b/>
          <w:bCs/>
          <w:sz w:val="22"/>
          <w:szCs w:val="22"/>
          <w:u w:val="single"/>
          <w:lang w:val="en-US" w:eastAsia="zh-CN"/>
        </w:rPr>
        <w:t xml:space="preserve">                           </w:t>
      </w:r>
      <w:r>
        <w:rPr>
          <w:rFonts w:hint="eastAsia" w:ascii="宋体" w:hAnsi="宋体"/>
          <w:b/>
          <w:sz w:val="24"/>
          <w:szCs w:val="24"/>
        </w:rPr>
        <w:t>项目投标文件</w:t>
      </w:r>
    </w:p>
    <w:p w14:paraId="27CB2DE1">
      <w:pPr>
        <w:spacing w:line="360" w:lineRule="auto"/>
        <w:rPr>
          <w:rFonts w:ascii="宋体" w:hAnsi="宋体"/>
          <w:b/>
          <w:sz w:val="24"/>
          <w:szCs w:val="24"/>
        </w:rPr>
      </w:pPr>
    </w:p>
    <w:p w14:paraId="5B0D3751">
      <w:pPr>
        <w:spacing w:line="360" w:lineRule="auto"/>
        <w:jc w:val="center"/>
        <w:rPr>
          <w:rFonts w:ascii="宋体" w:hAnsi="宋体"/>
          <w:b/>
          <w:sz w:val="24"/>
          <w:szCs w:val="24"/>
        </w:rPr>
      </w:pPr>
    </w:p>
    <w:p w14:paraId="166CF1F0">
      <w:pPr>
        <w:spacing w:line="360" w:lineRule="auto"/>
        <w:rPr>
          <w:rFonts w:ascii="宋体" w:hAnsi="宋体"/>
          <w:b/>
          <w:sz w:val="24"/>
          <w:szCs w:val="24"/>
        </w:rPr>
      </w:pPr>
    </w:p>
    <w:p w14:paraId="27C31E41">
      <w:pPr>
        <w:spacing w:line="360" w:lineRule="auto"/>
        <w:rPr>
          <w:rFonts w:ascii="宋体" w:hAnsi="宋体"/>
          <w:b/>
          <w:sz w:val="24"/>
          <w:szCs w:val="24"/>
        </w:rPr>
      </w:pPr>
    </w:p>
    <w:p w14:paraId="0D0E03CA">
      <w:pPr>
        <w:spacing w:line="360" w:lineRule="auto"/>
        <w:jc w:val="center"/>
        <w:rPr>
          <w:rFonts w:ascii="宋体" w:hAnsi="宋体"/>
          <w:b/>
          <w:sz w:val="24"/>
          <w:szCs w:val="24"/>
        </w:rPr>
      </w:pPr>
      <w:r>
        <w:rPr>
          <w:rFonts w:hint="eastAsia" w:ascii="宋体" w:hAnsi="宋体"/>
          <w:b/>
          <w:sz w:val="24"/>
          <w:szCs w:val="24"/>
        </w:rPr>
        <w:t>开标一览表</w:t>
      </w:r>
    </w:p>
    <w:p w14:paraId="45DFACFF">
      <w:pPr>
        <w:spacing w:line="360" w:lineRule="auto"/>
        <w:rPr>
          <w:rFonts w:ascii="宋体" w:hAnsi="宋体"/>
          <w:b/>
          <w:sz w:val="24"/>
          <w:szCs w:val="24"/>
        </w:rPr>
      </w:pPr>
    </w:p>
    <w:p w14:paraId="7C0D319A">
      <w:pPr>
        <w:spacing w:line="360" w:lineRule="auto"/>
        <w:rPr>
          <w:rFonts w:ascii="宋体" w:hAnsi="宋体"/>
          <w:b/>
          <w:sz w:val="24"/>
          <w:szCs w:val="24"/>
        </w:rPr>
      </w:pPr>
    </w:p>
    <w:p w14:paraId="496E1E1D">
      <w:pPr>
        <w:spacing w:line="360" w:lineRule="auto"/>
        <w:rPr>
          <w:rFonts w:ascii="宋体" w:hAnsi="宋体"/>
          <w:b/>
          <w:sz w:val="24"/>
          <w:szCs w:val="24"/>
        </w:rPr>
      </w:pPr>
    </w:p>
    <w:p w14:paraId="242B152F">
      <w:pPr>
        <w:spacing w:line="360" w:lineRule="auto"/>
        <w:rPr>
          <w:rFonts w:ascii="宋体" w:hAnsi="宋体"/>
          <w:b/>
          <w:sz w:val="24"/>
          <w:szCs w:val="24"/>
        </w:rPr>
      </w:pPr>
    </w:p>
    <w:p w14:paraId="5D9C0E09">
      <w:pPr>
        <w:spacing w:line="360" w:lineRule="auto"/>
        <w:rPr>
          <w:rFonts w:ascii="宋体" w:hAnsi="宋体"/>
          <w:b/>
          <w:sz w:val="24"/>
          <w:szCs w:val="24"/>
        </w:rPr>
      </w:pPr>
    </w:p>
    <w:p w14:paraId="1CAB3E08">
      <w:pPr>
        <w:spacing w:line="360" w:lineRule="auto"/>
        <w:rPr>
          <w:rFonts w:ascii="宋体" w:hAnsi="宋体"/>
          <w:b/>
          <w:sz w:val="24"/>
          <w:szCs w:val="24"/>
        </w:rPr>
      </w:pPr>
    </w:p>
    <w:p w14:paraId="194BE764">
      <w:pPr>
        <w:spacing w:line="360" w:lineRule="auto"/>
        <w:rPr>
          <w:rFonts w:ascii="宋体" w:hAnsi="宋体"/>
          <w:b/>
          <w:sz w:val="24"/>
          <w:szCs w:val="24"/>
        </w:rPr>
      </w:pPr>
    </w:p>
    <w:p w14:paraId="27E6B265">
      <w:pPr>
        <w:spacing w:line="360" w:lineRule="auto"/>
        <w:rPr>
          <w:rFonts w:ascii="宋体" w:hAnsi="宋体"/>
          <w:b/>
          <w:sz w:val="24"/>
          <w:szCs w:val="24"/>
        </w:rPr>
      </w:pPr>
    </w:p>
    <w:p w14:paraId="6E774DBB">
      <w:pPr>
        <w:spacing w:line="360" w:lineRule="auto"/>
        <w:rPr>
          <w:rFonts w:ascii="宋体" w:hAnsi="宋体"/>
          <w:b/>
          <w:sz w:val="24"/>
          <w:szCs w:val="24"/>
        </w:rPr>
      </w:pPr>
    </w:p>
    <w:p w14:paraId="42154161">
      <w:pPr>
        <w:spacing w:line="360" w:lineRule="auto"/>
        <w:ind w:firstLine="1084" w:firstLineChars="450"/>
        <w:jc w:val="left"/>
        <w:rPr>
          <w:rFonts w:ascii="宋体" w:hAnsi="宋体"/>
          <w:b/>
          <w:sz w:val="24"/>
          <w:szCs w:val="24"/>
          <w:u w:val="single"/>
        </w:rPr>
      </w:pPr>
      <w:r>
        <w:rPr>
          <w:rFonts w:hint="eastAsia" w:ascii="宋体" w:hAnsi="宋体"/>
          <w:b/>
          <w:sz w:val="24"/>
          <w:szCs w:val="24"/>
          <w:lang w:val="en-US" w:eastAsia="zh-CN"/>
        </w:rPr>
        <w:t>项目</w:t>
      </w:r>
      <w:r>
        <w:rPr>
          <w:rFonts w:hint="eastAsia" w:ascii="宋体" w:hAnsi="宋体"/>
          <w:b/>
          <w:sz w:val="24"/>
          <w:szCs w:val="24"/>
        </w:rPr>
        <w:t>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w:t>
      </w:r>
      <w:r>
        <w:rPr>
          <w:rFonts w:hint="eastAsia" w:asciiTheme="minorEastAsia" w:hAnsiTheme="minorEastAsia" w:eastAsiaTheme="minorEastAsia"/>
          <w:b/>
          <w:sz w:val="24"/>
          <w:szCs w:val="24"/>
          <w:u w:val="single"/>
          <w:lang w:val="en-US" w:eastAsia="zh-CN"/>
        </w:rPr>
        <w:t>GC</w:t>
      </w:r>
      <w:r>
        <w:rPr>
          <w:rFonts w:hint="eastAsia" w:asciiTheme="minorEastAsia" w:hAnsiTheme="minorEastAsia" w:eastAsiaTheme="minorEastAsia"/>
          <w:b/>
          <w:sz w:val="24"/>
          <w:szCs w:val="24"/>
          <w:u w:val="single"/>
        </w:rPr>
        <w:t>-</w:t>
      </w:r>
      <w:r>
        <w:rPr>
          <w:rFonts w:hint="eastAsia" w:asciiTheme="minorEastAsia" w:hAnsiTheme="minorEastAsia" w:eastAsiaTheme="minorEastAsia"/>
          <w:b/>
          <w:sz w:val="24"/>
          <w:szCs w:val="24"/>
          <w:u w:val="single"/>
          <w:lang w:val="en-US" w:eastAsia="zh-CN"/>
        </w:rPr>
        <w:t xml:space="preserve">       </w:t>
      </w:r>
      <w:r>
        <w:rPr>
          <w:rFonts w:hint="eastAsia" w:ascii="宋体" w:hAnsi="宋体"/>
          <w:b/>
          <w:sz w:val="24"/>
          <w:szCs w:val="24"/>
          <w:u w:val="single"/>
        </w:rPr>
        <w:t xml:space="preserve">       </w:t>
      </w:r>
    </w:p>
    <w:p w14:paraId="2621AF39">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0050BDF">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250DAD5">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E733FE7">
      <w:pPr>
        <w:spacing w:line="300" w:lineRule="auto"/>
        <w:rPr>
          <w:rFonts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01D3524D">
      <w:pPr>
        <w:rPr>
          <w:rFonts w:ascii="宋体" w:hAnsi="宋体"/>
          <w:color w:val="000000"/>
          <w:szCs w:val="21"/>
        </w:rPr>
      </w:pPr>
      <w:bookmarkStart w:id="1" w:name="_Toc211243316"/>
      <w:bookmarkStart w:id="2" w:name="_Toc311468376"/>
      <w:r>
        <w:rPr>
          <w:rFonts w:ascii="宋体" w:hAnsi="宋体"/>
          <w:color w:val="000000"/>
          <w:szCs w:val="21"/>
        </w:rPr>
        <w:t>格式2.</w:t>
      </w:r>
      <w:bookmarkEnd w:id="1"/>
      <w:r>
        <w:rPr>
          <w:rFonts w:ascii="宋体" w:hAnsi="宋体"/>
          <w:color w:val="000000"/>
          <w:szCs w:val="21"/>
        </w:rPr>
        <w:t xml:space="preserve"> 开标一览表格式</w:t>
      </w:r>
      <w:bookmarkEnd w:id="2"/>
    </w:p>
    <w:p w14:paraId="136A723F">
      <w:pPr>
        <w:spacing w:before="120" w:after="240"/>
        <w:jc w:val="center"/>
        <w:rPr>
          <w:rFonts w:eastAsia="黑体"/>
          <w:color w:val="000000"/>
          <w:sz w:val="30"/>
          <w:szCs w:val="30"/>
        </w:rPr>
      </w:pPr>
      <w:r>
        <w:rPr>
          <w:rFonts w:eastAsia="黑体"/>
          <w:color w:val="000000"/>
          <w:sz w:val="30"/>
          <w:szCs w:val="30"/>
        </w:rPr>
        <w:t>开标一览表</w:t>
      </w:r>
    </w:p>
    <w:p w14:paraId="504F6C7D">
      <w:pPr>
        <w:spacing w:line="360" w:lineRule="auto"/>
        <w:jc w:val="left"/>
        <w:rPr>
          <w:rFonts w:hint="eastAsia"/>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rFonts w:hint="eastAsia"/>
          <w:color w:val="000000"/>
          <w:szCs w:val="21"/>
        </w:rPr>
        <w:t>：</w:t>
      </w:r>
      <w:r>
        <w:rPr>
          <w:rFonts w:hint="eastAsia"/>
          <w:color w:val="000000"/>
          <w:szCs w:val="21"/>
          <w:lang w:val="en-US" w:eastAsia="zh-CN"/>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F81C116">
      <w:pPr>
        <w:spacing w:line="360" w:lineRule="auto"/>
        <w:rPr>
          <w:rFonts w:hint="eastAsia"/>
          <w:color w:val="000000"/>
          <w:szCs w:val="21"/>
        </w:rPr>
      </w:pP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1"/>
        <w:gridCol w:w="1150"/>
        <w:gridCol w:w="1020"/>
      </w:tblGrid>
      <w:tr w14:paraId="4A4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85" w:type="pct"/>
            <w:vAlign w:val="center"/>
          </w:tcPr>
          <w:p w14:paraId="49D1920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eastAsia="zh-CN"/>
              </w:rPr>
            </w:pPr>
            <w:r>
              <w:rPr>
                <w:rFonts w:hint="eastAsia" w:ascii="宋体" w:hAnsi="宋体"/>
                <w:color w:val="000000"/>
                <w:szCs w:val="21"/>
                <w:lang w:eastAsia="zh-CN"/>
              </w:rPr>
              <w:t>投标总价（元）</w:t>
            </w:r>
          </w:p>
        </w:tc>
        <w:tc>
          <w:tcPr>
            <w:tcW w:w="643" w:type="pct"/>
            <w:vAlign w:val="center"/>
          </w:tcPr>
          <w:p w14:paraId="3DC997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eastAsia="zh-CN"/>
              </w:rPr>
            </w:pPr>
            <w:r>
              <w:rPr>
                <w:rFonts w:hint="eastAsia" w:ascii="宋体" w:hAnsi="宋体"/>
                <w:bCs/>
                <w:color w:val="000000"/>
                <w:szCs w:val="24"/>
                <w:lang w:val="en-US" w:eastAsia="zh-CN"/>
              </w:rPr>
              <w:t>工期</w:t>
            </w:r>
          </w:p>
        </w:tc>
        <w:tc>
          <w:tcPr>
            <w:tcW w:w="570" w:type="pct"/>
            <w:vAlign w:val="center"/>
          </w:tcPr>
          <w:p w14:paraId="20D92F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7A2F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85" w:type="pct"/>
            <w:vAlign w:val="top"/>
          </w:tcPr>
          <w:p w14:paraId="252A634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643" w:type="pct"/>
            <w:vMerge w:val="restart"/>
            <w:vAlign w:val="top"/>
          </w:tcPr>
          <w:p w14:paraId="16708DE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570" w:type="pct"/>
            <w:vMerge w:val="restart"/>
            <w:vAlign w:val="top"/>
          </w:tcPr>
          <w:p w14:paraId="1054691B">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1E1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85" w:type="pct"/>
            <w:vAlign w:val="center"/>
          </w:tcPr>
          <w:p w14:paraId="62419E14">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投标总价（人民币大写）：</w:t>
            </w:r>
          </w:p>
        </w:tc>
        <w:tc>
          <w:tcPr>
            <w:tcW w:w="643" w:type="pct"/>
            <w:vMerge w:val="continue"/>
            <w:vAlign w:val="top"/>
          </w:tcPr>
          <w:p w14:paraId="2EAE32FF">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570" w:type="pct"/>
            <w:vMerge w:val="continue"/>
            <w:vAlign w:val="top"/>
          </w:tcPr>
          <w:p w14:paraId="333E8E32">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691A93F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6A53BBB0">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540EB32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FD0E9E4">
      <w:pPr>
        <w:spacing w:line="300" w:lineRule="auto"/>
        <w:rPr>
          <w:rFonts w:hint="eastAsia" w:ascii="宋体" w:hAnsi="宋体"/>
          <w:bCs/>
          <w:sz w:val="24"/>
          <w:szCs w:val="24"/>
        </w:rPr>
      </w:pPr>
      <w:r>
        <w:rPr>
          <w:rFonts w:ascii="宋体" w:hAnsi="宋体"/>
          <w:color w:val="000000"/>
          <w:szCs w:val="21"/>
        </w:rPr>
        <w:br w:type="page"/>
      </w:r>
    </w:p>
    <w:p w14:paraId="18D690AD">
      <w:pPr>
        <w:rPr>
          <w:rFonts w:ascii="宋体" w:hAnsi="宋体"/>
          <w:color w:val="000000"/>
          <w:szCs w:val="21"/>
        </w:rPr>
      </w:pPr>
      <w:bookmarkStart w:id="3" w:name="_Toc211243319"/>
      <w:bookmarkStart w:id="4" w:name="_Toc311468378"/>
      <w:r>
        <w:rPr>
          <w:rFonts w:ascii="宋体" w:hAnsi="宋体"/>
          <w:color w:val="000000"/>
          <w:szCs w:val="21"/>
        </w:rPr>
        <w:t>格式</w:t>
      </w:r>
      <w:r>
        <w:rPr>
          <w:rFonts w:hint="eastAsia" w:ascii="宋体" w:hAnsi="宋体"/>
          <w:color w:val="000000"/>
          <w:szCs w:val="21"/>
          <w:lang w:val="en-US" w:eastAsia="zh-CN"/>
        </w:rPr>
        <w:t>3</w:t>
      </w:r>
      <w:r>
        <w:rPr>
          <w:rFonts w:ascii="宋体" w:hAnsi="宋体"/>
          <w:color w:val="000000"/>
          <w:szCs w:val="21"/>
        </w:rPr>
        <w:t>.</w:t>
      </w:r>
      <w:bookmarkEnd w:id="3"/>
      <w:r>
        <w:rPr>
          <w:rFonts w:ascii="宋体" w:hAnsi="宋体"/>
          <w:color w:val="000000"/>
          <w:szCs w:val="21"/>
        </w:rPr>
        <w:t xml:space="preserve"> </w:t>
      </w:r>
      <w:bookmarkEnd w:id="4"/>
      <w:r>
        <w:rPr>
          <w:rFonts w:hint="eastAsia" w:ascii="宋体" w:hAnsi="宋体"/>
          <w:color w:val="000000"/>
          <w:szCs w:val="21"/>
        </w:rPr>
        <w:t>技术标投标文件格式</w:t>
      </w:r>
    </w:p>
    <w:p w14:paraId="6A5E4672">
      <w:pPr>
        <w:jc w:val="center"/>
        <w:rPr>
          <w:rFonts w:hint="eastAsia"/>
          <w:b/>
          <w:bCs/>
          <w:sz w:val="32"/>
        </w:rPr>
      </w:pPr>
      <w:r>
        <w:rPr>
          <w:rFonts w:hint="eastAsia"/>
          <w:b/>
          <w:bCs/>
          <w:sz w:val="32"/>
        </w:rPr>
        <w:t>技术标投标文件格式</w:t>
      </w:r>
    </w:p>
    <w:p w14:paraId="475F3FE1">
      <w:pPr>
        <w:jc w:val="center"/>
        <w:rPr>
          <w:rFonts w:hint="eastAsia"/>
          <w:b/>
          <w:bCs/>
        </w:rPr>
      </w:pPr>
    </w:p>
    <w:p w14:paraId="36BBF254">
      <w:pPr>
        <w:spacing w:line="360" w:lineRule="auto"/>
        <w:jc w:val="center"/>
        <w:rPr>
          <w:rFonts w:hint="eastAsia"/>
          <w:b/>
          <w:bCs/>
          <w:sz w:val="28"/>
        </w:rPr>
      </w:pPr>
    </w:p>
    <w:p w14:paraId="74C9A09F">
      <w:pPr>
        <w:numPr>
          <w:ilvl w:val="0"/>
          <w:numId w:val="8"/>
        </w:numPr>
        <w:spacing w:line="360" w:lineRule="auto"/>
        <w:ind w:hanging="11"/>
        <w:rPr>
          <w:rFonts w:hint="eastAsia"/>
          <w:sz w:val="28"/>
        </w:rPr>
      </w:pPr>
      <w:r>
        <w:rPr>
          <w:rFonts w:hint="eastAsia"/>
          <w:sz w:val="28"/>
        </w:rPr>
        <w:t>施工方案</w:t>
      </w:r>
      <w:r>
        <w:rPr>
          <w:rFonts w:hint="eastAsia"/>
          <w:sz w:val="28"/>
          <w:lang w:eastAsia="zh-CN"/>
        </w:rPr>
        <w:t>、</w:t>
      </w:r>
      <w:r>
        <w:rPr>
          <w:rFonts w:hint="eastAsia"/>
          <w:sz w:val="28"/>
          <w:lang w:val="en-US" w:eastAsia="zh-CN"/>
        </w:rPr>
        <w:t>质保维修及保障措施</w:t>
      </w:r>
    </w:p>
    <w:p w14:paraId="77C53A59">
      <w:pPr>
        <w:numPr>
          <w:ilvl w:val="0"/>
          <w:numId w:val="8"/>
        </w:numPr>
        <w:spacing w:line="360" w:lineRule="auto"/>
        <w:ind w:hanging="11"/>
        <w:rPr>
          <w:rFonts w:hint="eastAsia"/>
          <w:sz w:val="28"/>
        </w:rPr>
      </w:pPr>
      <w:r>
        <w:rPr>
          <w:rFonts w:hint="eastAsia"/>
          <w:sz w:val="28"/>
          <w:lang w:val="en-US" w:eastAsia="zh-CN"/>
        </w:rPr>
        <w:t>技术保障措施</w:t>
      </w:r>
    </w:p>
    <w:p w14:paraId="7AF3D335">
      <w:pPr>
        <w:numPr>
          <w:ilvl w:val="0"/>
          <w:numId w:val="8"/>
        </w:numPr>
        <w:spacing w:line="360" w:lineRule="auto"/>
        <w:ind w:hanging="11"/>
        <w:rPr>
          <w:rFonts w:hint="eastAsia"/>
          <w:sz w:val="28"/>
        </w:rPr>
      </w:pPr>
      <w:r>
        <w:rPr>
          <w:rFonts w:hint="eastAsia"/>
          <w:sz w:val="28"/>
          <w:lang w:val="en-US" w:eastAsia="zh-CN"/>
        </w:rPr>
        <w:t>安全保证措施</w:t>
      </w:r>
    </w:p>
    <w:p w14:paraId="4C9241B3">
      <w:pPr>
        <w:numPr>
          <w:ilvl w:val="0"/>
          <w:numId w:val="8"/>
        </w:numPr>
        <w:spacing w:line="360" w:lineRule="auto"/>
        <w:ind w:hanging="11"/>
        <w:rPr>
          <w:rFonts w:hint="eastAsia"/>
          <w:sz w:val="28"/>
        </w:rPr>
      </w:pPr>
      <w:r>
        <w:rPr>
          <w:rFonts w:hint="eastAsia"/>
          <w:sz w:val="28"/>
          <w:lang w:val="en-US" w:eastAsia="zh-CN"/>
        </w:rPr>
        <w:t>劳动力、机械设备（或者场地）、材料投入计划及保障措施</w:t>
      </w:r>
    </w:p>
    <w:p w14:paraId="75256036">
      <w:pPr>
        <w:numPr>
          <w:ilvl w:val="0"/>
          <w:numId w:val="8"/>
        </w:numPr>
        <w:spacing w:line="360" w:lineRule="auto"/>
        <w:ind w:hanging="11"/>
        <w:rPr>
          <w:rFonts w:hint="eastAsia"/>
          <w:sz w:val="28"/>
        </w:rPr>
      </w:pPr>
      <w:r>
        <w:rPr>
          <w:rFonts w:hint="eastAsia"/>
          <w:sz w:val="28"/>
          <w:lang w:val="en-US" w:eastAsia="zh-CN"/>
        </w:rPr>
        <w:t>项目实施的重点、难点分析和解决方案</w:t>
      </w:r>
    </w:p>
    <w:p w14:paraId="71167A84">
      <w:pPr>
        <w:numPr>
          <w:ilvl w:val="0"/>
          <w:numId w:val="8"/>
        </w:numPr>
        <w:spacing w:line="360" w:lineRule="auto"/>
        <w:ind w:hanging="11"/>
        <w:rPr>
          <w:rFonts w:hint="eastAsia"/>
          <w:sz w:val="28"/>
        </w:rPr>
      </w:pPr>
      <w:r>
        <w:rPr>
          <w:rFonts w:hint="eastAsia"/>
          <w:sz w:val="28"/>
        </w:rPr>
        <w:t>招标文件要求的其他资料或投标人认为需要补充的资料</w:t>
      </w:r>
    </w:p>
    <w:p w14:paraId="70640286">
      <w:pPr>
        <w:spacing w:line="300" w:lineRule="auto"/>
        <w:rPr>
          <w:rFonts w:hint="eastAsia" w:ascii="宋体" w:hAnsi="宋体"/>
          <w:bCs/>
          <w:sz w:val="24"/>
          <w:szCs w:val="24"/>
        </w:rPr>
      </w:pPr>
    </w:p>
    <w:p w14:paraId="6A5B2406">
      <w:pPr>
        <w:spacing w:line="300" w:lineRule="auto"/>
        <w:rPr>
          <w:rFonts w:hint="eastAsia" w:ascii="宋体" w:hAnsi="宋体"/>
          <w:bCs/>
          <w:sz w:val="24"/>
          <w:szCs w:val="24"/>
        </w:rPr>
      </w:pPr>
    </w:p>
    <w:p w14:paraId="684EB676">
      <w:pPr>
        <w:spacing w:line="300" w:lineRule="auto"/>
        <w:rPr>
          <w:rFonts w:hint="eastAsia" w:ascii="宋体" w:hAnsi="宋体"/>
          <w:bCs/>
          <w:sz w:val="24"/>
          <w:szCs w:val="24"/>
        </w:rPr>
      </w:pPr>
    </w:p>
    <w:p w14:paraId="4CB142D3">
      <w:pPr>
        <w:spacing w:line="300" w:lineRule="auto"/>
        <w:rPr>
          <w:rFonts w:hint="eastAsia" w:ascii="宋体" w:hAnsi="宋体"/>
          <w:bCs/>
          <w:sz w:val="24"/>
          <w:szCs w:val="24"/>
        </w:rPr>
      </w:pPr>
    </w:p>
    <w:p w14:paraId="728A8FDB">
      <w:pPr>
        <w:spacing w:line="300" w:lineRule="auto"/>
        <w:rPr>
          <w:rFonts w:hint="eastAsia" w:ascii="宋体" w:hAnsi="宋体"/>
          <w:bCs/>
          <w:sz w:val="24"/>
          <w:szCs w:val="24"/>
        </w:rPr>
      </w:pPr>
    </w:p>
    <w:p w14:paraId="0D600AC6">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4</w:t>
      </w:r>
      <w:r>
        <w:rPr>
          <w:rFonts w:ascii="宋体" w:hAnsi="宋体"/>
          <w:color w:val="000000"/>
          <w:szCs w:val="21"/>
        </w:rPr>
        <w:t xml:space="preserve"> </w:t>
      </w:r>
    </w:p>
    <w:p w14:paraId="2862B4B5">
      <w:pPr>
        <w:jc w:val="center"/>
        <w:rPr>
          <w:rFonts w:hint="eastAsia"/>
          <w:b/>
          <w:bCs/>
          <w:sz w:val="32"/>
        </w:rPr>
      </w:pPr>
      <w:r>
        <w:rPr>
          <w:rFonts w:hint="eastAsia"/>
          <w:b/>
          <w:bCs/>
          <w:sz w:val="32"/>
        </w:rPr>
        <w:t>商务标投标文件格式</w:t>
      </w:r>
    </w:p>
    <w:p w14:paraId="4A0434A3">
      <w:pPr>
        <w:jc w:val="center"/>
        <w:rPr>
          <w:rFonts w:hint="eastAsia"/>
          <w:b/>
          <w:bCs/>
        </w:rPr>
      </w:pPr>
    </w:p>
    <w:p w14:paraId="5C401BF0">
      <w:pPr>
        <w:rPr>
          <w:rFonts w:hint="eastAsia"/>
          <w:b/>
          <w:bCs/>
          <w:sz w:val="28"/>
        </w:rPr>
      </w:pPr>
    </w:p>
    <w:p w14:paraId="7C7DA1C5">
      <w:pPr>
        <w:numPr>
          <w:ilvl w:val="0"/>
          <w:numId w:val="9"/>
        </w:numPr>
        <w:spacing w:line="480" w:lineRule="auto"/>
        <w:ind w:firstLine="131"/>
        <w:rPr>
          <w:rFonts w:hint="eastAsia"/>
          <w:sz w:val="28"/>
        </w:rPr>
      </w:pPr>
      <w:r>
        <w:rPr>
          <w:rFonts w:hint="eastAsia"/>
          <w:sz w:val="28"/>
        </w:rPr>
        <w:t>工程量清单报价表</w:t>
      </w:r>
    </w:p>
    <w:p w14:paraId="674B1CEE">
      <w:pPr>
        <w:numPr>
          <w:ilvl w:val="0"/>
          <w:numId w:val="9"/>
        </w:numPr>
        <w:spacing w:line="480" w:lineRule="auto"/>
        <w:ind w:firstLine="131"/>
        <w:rPr>
          <w:rFonts w:hint="eastAsia"/>
          <w:sz w:val="28"/>
        </w:rPr>
      </w:pPr>
      <w:r>
        <w:rPr>
          <w:rFonts w:hint="eastAsia"/>
          <w:sz w:val="28"/>
        </w:rPr>
        <w:t>投标人资格情况及通过相关认证情况</w:t>
      </w:r>
    </w:p>
    <w:p w14:paraId="23FFD7C9">
      <w:pPr>
        <w:numPr>
          <w:ilvl w:val="0"/>
          <w:numId w:val="9"/>
        </w:numPr>
        <w:spacing w:line="480" w:lineRule="auto"/>
        <w:ind w:firstLine="131"/>
        <w:rPr>
          <w:rFonts w:hint="eastAsia"/>
          <w:sz w:val="28"/>
        </w:rPr>
      </w:pPr>
      <w:r>
        <w:rPr>
          <w:rFonts w:hint="eastAsia"/>
          <w:sz w:val="28"/>
        </w:rPr>
        <w:t>投标人同类项目业绩情况</w:t>
      </w:r>
    </w:p>
    <w:p w14:paraId="309D3FC5">
      <w:pPr>
        <w:numPr>
          <w:ilvl w:val="0"/>
          <w:numId w:val="9"/>
        </w:numPr>
        <w:spacing w:line="480" w:lineRule="auto"/>
        <w:ind w:firstLine="131"/>
        <w:rPr>
          <w:rFonts w:hint="eastAsia"/>
          <w:sz w:val="28"/>
        </w:rPr>
      </w:pPr>
      <w:r>
        <w:rPr>
          <w:rFonts w:hint="eastAsia"/>
          <w:sz w:val="28"/>
        </w:rPr>
        <w:t>招标文件要求的其他资料或投标人认为需要补充的资料</w:t>
      </w:r>
    </w:p>
    <w:p w14:paraId="41367F44">
      <w:pPr>
        <w:spacing w:line="300" w:lineRule="auto"/>
        <w:rPr>
          <w:rFonts w:hint="eastAsia" w:ascii="宋体" w:hAnsi="宋体"/>
          <w:bCs/>
          <w:sz w:val="24"/>
          <w:szCs w:val="24"/>
        </w:rPr>
      </w:pPr>
      <w:r>
        <w:rPr>
          <w:rFonts w:ascii="宋体" w:hAnsi="宋体"/>
          <w:color w:val="000000"/>
          <w:szCs w:val="21"/>
        </w:rPr>
        <w:br w:type="page"/>
      </w:r>
    </w:p>
    <w:p w14:paraId="15552E74">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5</w:t>
      </w:r>
      <w:r>
        <w:rPr>
          <w:rFonts w:ascii="宋体" w:hAnsi="宋体"/>
          <w:color w:val="000000"/>
          <w:szCs w:val="21"/>
        </w:rPr>
        <w:t xml:space="preserve">. </w:t>
      </w:r>
      <w:r>
        <w:rPr>
          <w:rFonts w:hint="eastAsia" w:ascii="宋体" w:hAnsi="宋体"/>
          <w:color w:val="000000"/>
          <w:szCs w:val="21"/>
        </w:rPr>
        <w:t>项目班子情况格式</w:t>
      </w:r>
    </w:p>
    <w:p w14:paraId="16E8C46A">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0BA5410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5" w:name="_Toc101074903"/>
      <w:bookmarkStart w:id="6" w:name="_Toc100052473"/>
    </w:p>
    <w:p w14:paraId="7082D71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5"/>
      <w:bookmarkEnd w:id="6"/>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7E9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7431315">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6EAC2589">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1B3FFD28">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24150372">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5C458AF3">
            <w:pPr>
              <w:jc w:val="center"/>
              <w:rPr>
                <w:rFonts w:hint="eastAsia" w:ascii="宋体" w:hAnsi="宋体"/>
                <w:color w:val="000000"/>
                <w:szCs w:val="21"/>
              </w:rPr>
            </w:pPr>
            <w:r>
              <w:rPr>
                <w:rFonts w:hint="eastAsia" w:ascii="宋体" w:hAnsi="宋体"/>
                <w:color w:val="000000"/>
                <w:szCs w:val="21"/>
              </w:rPr>
              <w:t>已承担项目情况</w:t>
            </w:r>
          </w:p>
        </w:tc>
      </w:tr>
      <w:tr w14:paraId="2D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C60E42D">
            <w:pPr>
              <w:jc w:val="center"/>
              <w:rPr>
                <w:rFonts w:hint="eastAsia" w:ascii="宋体" w:hAnsi="宋体"/>
                <w:color w:val="000000"/>
                <w:szCs w:val="21"/>
              </w:rPr>
            </w:pPr>
          </w:p>
        </w:tc>
        <w:tc>
          <w:tcPr>
            <w:tcW w:w="981" w:type="dxa"/>
            <w:vMerge w:val="continue"/>
            <w:vAlign w:val="center"/>
          </w:tcPr>
          <w:p w14:paraId="588E4BFD">
            <w:pPr>
              <w:jc w:val="center"/>
              <w:rPr>
                <w:rFonts w:hint="eastAsia" w:ascii="宋体" w:hAnsi="宋体"/>
                <w:color w:val="000000"/>
                <w:szCs w:val="21"/>
              </w:rPr>
            </w:pPr>
          </w:p>
        </w:tc>
        <w:tc>
          <w:tcPr>
            <w:tcW w:w="976" w:type="dxa"/>
            <w:vMerge w:val="continue"/>
            <w:vAlign w:val="center"/>
          </w:tcPr>
          <w:p w14:paraId="57A87C89">
            <w:pPr>
              <w:jc w:val="center"/>
              <w:rPr>
                <w:rFonts w:hint="eastAsia" w:ascii="宋体" w:hAnsi="宋体"/>
                <w:color w:val="000000"/>
                <w:szCs w:val="21"/>
              </w:rPr>
            </w:pPr>
          </w:p>
        </w:tc>
        <w:tc>
          <w:tcPr>
            <w:tcW w:w="1501" w:type="dxa"/>
            <w:vAlign w:val="center"/>
          </w:tcPr>
          <w:p w14:paraId="449A653B">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0B62187F">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08C8B687">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797FAB67">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7230858A">
            <w:pPr>
              <w:jc w:val="center"/>
              <w:rPr>
                <w:rFonts w:hint="eastAsia" w:ascii="宋体" w:hAnsi="宋体"/>
                <w:color w:val="000000"/>
                <w:szCs w:val="21"/>
              </w:rPr>
            </w:pPr>
            <w:r>
              <w:rPr>
                <w:rFonts w:hint="eastAsia" w:ascii="宋体" w:hAnsi="宋体"/>
                <w:color w:val="000000"/>
                <w:szCs w:val="21"/>
              </w:rPr>
              <w:t>项目获奖情况</w:t>
            </w:r>
          </w:p>
        </w:tc>
      </w:tr>
      <w:tr w14:paraId="6F6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2DAB2375">
            <w:pPr>
              <w:rPr>
                <w:rFonts w:hint="eastAsia" w:ascii="宋体" w:hAnsi="宋体"/>
                <w:color w:val="000000"/>
                <w:szCs w:val="21"/>
              </w:rPr>
            </w:pPr>
          </w:p>
        </w:tc>
        <w:tc>
          <w:tcPr>
            <w:tcW w:w="981" w:type="dxa"/>
            <w:vAlign w:val="top"/>
          </w:tcPr>
          <w:p w14:paraId="1A3DBE7B">
            <w:pPr>
              <w:rPr>
                <w:rFonts w:hint="eastAsia" w:ascii="宋体" w:hAnsi="宋体"/>
                <w:color w:val="000000"/>
                <w:szCs w:val="21"/>
              </w:rPr>
            </w:pPr>
          </w:p>
        </w:tc>
        <w:tc>
          <w:tcPr>
            <w:tcW w:w="976" w:type="dxa"/>
            <w:vAlign w:val="top"/>
          </w:tcPr>
          <w:p w14:paraId="06308AD9">
            <w:pPr>
              <w:rPr>
                <w:rFonts w:hint="eastAsia" w:ascii="宋体" w:hAnsi="宋体"/>
                <w:color w:val="000000"/>
                <w:szCs w:val="21"/>
              </w:rPr>
            </w:pPr>
          </w:p>
        </w:tc>
        <w:tc>
          <w:tcPr>
            <w:tcW w:w="1501" w:type="dxa"/>
            <w:vAlign w:val="top"/>
          </w:tcPr>
          <w:p w14:paraId="7825014D">
            <w:pPr>
              <w:rPr>
                <w:rFonts w:hint="eastAsia" w:ascii="宋体" w:hAnsi="宋体"/>
                <w:color w:val="000000"/>
                <w:szCs w:val="21"/>
              </w:rPr>
            </w:pPr>
          </w:p>
        </w:tc>
        <w:tc>
          <w:tcPr>
            <w:tcW w:w="785" w:type="dxa"/>
            <w:vAlign w:val="top"/>
          </w:tcPr>
          <w:p w14:paraId="7F086115">
            <w:pPr>
              <w:rPr>
                <w:rFonts w:hint="eastAsia" w:ascii="宋体" w:hAnsi="宋体"/>
                <w:color w:val="000000"/>
                <w:szCs w:val="21"/>
              </w:rPr>
            </w:pPr>
          </w:p>
        </w:tc>
        <w:tc>
          <w:tcPr>
            <w:tcW w:w="786" w:type="dxa"/>
            <w:vAlign w:val="top"/>
          </w:tcPr>
          <w:p w14:paraId="72E66CC0">
            <w:pPr>
              <w:rPr>
                <w:rFonts w:hint="eastAsia" w:ascii="宋体" w:hAnsi="宋体"/>
                <w:color w:val="000000"/>
                <w:szCs w:val="21"/>
              </w:rPr>
            </w:pPr>
          </w:p>
        </w:tc>
        <w:tc>
          <w:tcPr>
            <w:tcW w:w="1187" w:type="dxa"/>
            <w:vAlign w:val="top"/>
          </w:tcPr>
          <w:p w14:paraId="6D1206A7">
            <w:pPr>
              <w:rPr>
                <w:rFonts w:hint="eastAsia" w:ascii="宋体" w:hAnsi="宋体"/>
                <w:color w:val="000000"/>
                <w:szCs w:val="21"/>
              </w:rPr>
            </w:pPr>
          </w:p>
        </w:tc>
        <w:tc>
          <w:tcPr>
            <w:tcW w:w="1528" w:type="dxa"/>
            <w:vAlign w:val="top"/>
          </w:tcPr>
          <w:p w14:paraId="4DE5D442">
            <w:pPr>
              <w:rPr>
                <w:rFonts w:hint="eastAsia" w:ascii="宋体" w:hAnsi="宋体"/>
                <w:color w:val="000000"/>
                <w:szCs w:val="21"/>
              </w:rPr>
            </w:pPr>
          </w:p>
        </w:tc>
      </w:tr>
      <w:tr w14:paraId="495B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74EE7784">
            <w:pPr>
              <w:rPr>
                <w:rFonts w:hint="eastAsia" w:ascii="宋体" w:hAnsi="宋体"/>
                <w:color w:val="000000"/>
                <w:szCs w:val="21"/>
              </w:rPr>
            </w:pPr>
          </w:p>
        </w:tc>
        <w:tc>
          <w:tcPr>
            <w:tcW w:w="981" w:type="dxa"/>
            <w:vAlign w:val="top"/>
          </w:tcPr>
          <w:p w14:paraId="64568F9B">
            <w:pPr>
              <w:rPr>
                <w:rFonts w:hint="eastAsia" w:ascii="宋体" w:hAnsi="宋体"/>
                <w:color w:val="000000"/>
                <w:szCs w:val="21"/>
              </w:rPr>
            </w:pPr>
          </w:p>
        </w:tc>
        <w:tc>
          <w:tcPr>
            <w:tcW w:w="976" w:type="dxa"/>
            <w:vAlign w:val="top"/>
          </w:tcPr>
          <w:p w14:paraId="1CFB16F7">
            <w:pPr>
              <w:rPr>
                <w:rFonts w:hint="eastAsia" w:ascii="宋体" w:hAnsi="宋体"/>
                <w:color w:val="000000"/>
                <w:szCs w:val="21"/>
              </w:rPr>
            </w:pPr>
          </w:p>
        </w:tc>
        <w:tc>
          <w:tcPr>
            <w:tcW w:w="1501" w:type="dxa"/>
            <w:vAlign w:val="top"/>
          </w:tcPr>
          <w:p w14:paraId="1BE9A6B4">
            <w:pPr>
              <w:rPr>
                <w:rFonts w:hint="eastAsia" w:ascii="宋体" w:hAnsi="宋体"/>
                <w:color w:val="000000"/>
                <w:szCs w:val="21"/>
              </w:rPr>
            </w:pPr>
          </w:p>
        </w:tc>
        <w:tc>
          <w:tcPr>
            <w:tcW w:w="785" w:type="dxa"/>
            <w:vAlign w:val="top"/>
          </w:tcPr>
          <w:p w14:paraId="18D6F397">
            <w:pPr>
              <w:rPr>
                <w:rFonts w:hint="eastAsia" w:ascii="宋体" w:hAnsi="宋体"/>
                <w:color w:val="000000"/>
                <w:szCs w:val="21"/>
              </w:rPr>
            </w:pPr>
          </w:p>
        </w:tc>
        <w:tc>
          <w:tcPr>
            <w:tcW w:w="786" w:type="dxa"/>
            <w:vAlign w:val="top"/>
          </w:tcPr>
          <w:p w14:paraId="484749FF">
            <w:pPr>
              <w:rPr>
                <w:rFonts w:hint="eastAsia" w:ascii="宋体" w:hAnsi="宋体"/>
                <w:color w:val="000000"/>
                <w:szCs w:val="21"/>
              </w:rPr>
            </w:pPr>
          </w:p>
        </w:tc>
        <w:tc>
          <w:tcPr>
            <w:tcW w:w="1187" w:type="dxa"/>
            <w:vAlign w:val="top"/>
          </w:tcPr>
          <w:p w14:paraId="243CB90F">
            <w:pPr>
              <w:rPr>
                <w:rFonts w:hint="eastAsia" w:ascii="宋体" w:hAnsi="宋体"/>
                <w:color w:val="000000"/>
                <w:szCs w:val="21"/>
              </w:rPr>
            </w:pPr>
          </w:p>
        </w:tc>
        <w:tc>
          <w:tcPr>
            <w:tcW w:w="1528" w:type="dxa"/>
            <w:vAlign w:val="top"/>
          </w:tcPr>
          <w:p w14:paraId="5A3776C9">
            <w:pPr>
              <w:rPr>
                <w:rFonts w:hint="eastAsia" w:ascii="宋体" w:hAnsi="宋体"/>
                <w:color w:val="000000"/>
                <w:szCs w:val="21"/>
              </w:rPr>
            </w:pPr>
          </w:p>
        </w:tc>
      </w:tr>
    </w:tbl>
    <w:p w14:paraId="24AAA226">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6D6FD965">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5C14AD56">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B2F0E20">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21563806">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7BB8462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49ED621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37440D81">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1499E4B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7" w:name="_Toc73521707"/>
      <w:bookmarkStart w:id="8" w:name="_Toc100052474"/>
      <w:bookmarkStart w:id="9" w:name="_Toc101074904"/>
      <w:bookmarkStart w:id="10" w:name="_Toc73521619"/>
    </w:p>
    <w:p w14:paraId="6F55E4F6">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7"/>
      <w:bookmarkEnd w:id="8"/>
      <w:bookmarkEnd w:id="9"/>
      <w:bookmarkEnd w:id="10"/>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499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F5715A5">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705F77A1">
            <w:pPr>
              <w:jc w:val="center"/>
              <w:rPr>
                <w:rFonts w:hint="eastAsia" w:ascii="宋体" w:hAnsi="宋体"/>
                <w:color w:val="000000"/>
                <w:szCs w:val="21"/>
              </w:rPr>
            </w:pPr>
          </w:p>
        </w:tc>
        <w:tc>
          <w:tcPr>
            <w:tcW w:w="972" w:type="dxa"/>
            <w:vAlign w:val="center"/>
          </w:tcPr>
          <w:p w14:paraId="64B897D2">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7003BA6C">
            <w:pPr>
              <w:jc w:val="center"/>
              <w:rPr>
                <w:rFonts w:hint="eastAsia" w:ascii="宋体" w:hAnsi="宋体"/>
                <w:color w:val="000000"/>
                <w:szCs w:val="21"/>
              </w:rPr>
            </w:pPr>
          </w:p>
        </w:tc>
        <w:tc>
          <w:tcPr>
            <w:tcW w:w="1007" w:type="dxa"/>
            <w:gridSpan w:val="2"/>
            <w:vAlign w:val="center"/>
          </w:tcPr>
          <w:p w14:paraId="6530F8DE">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661CEDBD">
            <w:pPr>
              <w:jc w:val="center"/>
              <w:rPr>
                <w:rFonts w:hint="eastAsia" w:ascii="宋体" w:hAnsi="宋体"/>
                <w:color w:val="000000"/>
                <w:szCs w:val="21"/>
              </w:rPr>
            </w:pPr>
          </w:p>
        </w:tc>
      </w:tr>
      <w:tr w14:paraId="186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B42E23">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7F8D5760">
            <w:pPr>
              <w:jc w:val="center"/>
              <w:rPr>
                <w:rFonts w:hint="eastAsia" w:ascii="宋体" w:hAnsi="宋体"/>
                <w:color w:val="000000"/>
                <w:szCs w:val="21"/>
              </w:rPr>
            </w:pPr>
          </w:p>
        </w:tc>
        <w:tc>
          <w:tcPr>
            <w:tcW w:w="972" w:type="dxa"/>
            <w:vAlign w:val="center"/>
          </w:tcPr>
          <w:p w14:paraId="06E072CD">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09AC8DD5">
            <w:pPr>
              <w:jc w:val="center"/>
              <w:rPr>
                <w:rFonts w:hint="eastAsia" w:ascii="宋体" w:hAnsi="宋体"/>
                <w:color w:val="000000"/>
                <w:szCs w:val="21"/>
              </w:rPr>
            </w:pPr>
          </w:p>
        </w:tc>
        <w:tc>
          <w:tcPr>
            <w:tcW w:w="1007" w:type="dxa"/>
            <w:gridSpan w:val="2"/>
            <w:vAlign w:val="center"/>
          </w:tcPr>
          <w:p w14:paraId="796DC006">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124D29A5">
            <w:pPr>
              <w:jc w:val="center"/>
              <w:rPr>
                <w:rFonts w:hint="eastAsia" w:ascii="宋体" w:hAnsi="宋体"/>
                <w:color w:val="000000"/>
                <w:szCs w:val="21"/>
              </w:rPr>
            </w:pPr>
          </w:p>
        </w:tc>
      </w:tr>
      <w:tr w14:paraId="3DD2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797DDEB5">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4836BC13">
            <w:pPr>
              <w:jc w:val="center"/>
              <w:rPr>
                <w:rFonts w:hint="eastAsia" w:ascii="宋体" w:hAnsi="宋体"/>
                <w:color w:val="000000"/>
                <w:szCs w:val="21"/>
              </w:rPr>
            </w:pPr>
          </w:p>
        </w:tc>
      </w:tr>
      <w:tr w14:paraId="19A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156C09">
            <w:pPr>
              <w:jc w:val="center"/>
              <w:rPr>
                <w:rFonts w:hint="eastAsia" w:ascii="宋体" w:hAnsi="宋体"/>
                <w:color w:val="000000"/>
                <w:szCs w:val="21"/>
              </w:rPr>
            </w:pPr>
            <w:r>
              <w:rPr>
                <w:rFonts w:hint="eastAsia" w:ascii="宋体" w:hAnsi="宋体"/>
                <w:color w:val="000000"/>
                <w:szCs w:val="21"/>
              </w:rPr>
              <w:t>在执行和已完项目情况</w:t>
            </w:r>
          </w:p>
        </w:tc>
      </w:tr>
      <w:tr w14:paraId="015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CD9AAF4">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28937ED4">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6F6CAB41">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6CD431D1">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1D7A3BF4">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23F33C54">
            <w:pPr>
              <w:jc w:val="center"/>
              <w:rPr>
                <w:rFonts w:hint="eastAsia" w:ascii="宋体" w:hAnsi="宋体"/>
                <w:color w:val="000000"/>
                <w:szCs w:val="21"/>
              </w:rPr>
            </w:pPr>
            <w:r>
              <w:rPr>
                <w:rFonts w:hint="eastAsia" w:ascii="宋体" w:hAnsi="宋体"/>
                <w:color w:val="000000"/>
                <w:szCs w:val="21"/>
              </w:rPr>
              <w:t>项目获奖情况</w:t>
            </w:r>
          </w:p>
        </w:tc>
      </w:tr>
      <w:tr w14:paraId="1BD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D61CFC2">
            <w:pPr>
              <w:rPr>
                <w:rFonts w:hint="eastAsia" w:ascii="宋体" w:hAnsi="宋体"/>
                <w:color w:val="000000"/>
                <w:szCs w:val="21"/>
              </w:rPr>
            </w:pPr>
          </w:p>
        </w:tc>
        <w:tc>
          <w:tcPr>
            <w:tcW w:w="1622" w:type="dxa"/>
            <w:gridSpan w:val="2"/>
            <w:vAlign w:val="center"/>
          </w:tcPr>
          <w:p w14:paraId="44C5CF5E">
            <w:pPr>
              <w:rPr>
                <w:rFonts w:hint="eastAsia" w:ascii="宋体" w:hAnsi="宋体"/>
                <w:color w:val="000000"/>
                <w:szCs w:val="21"/>
              </w:rPr>
            </w:pPr>
          </w:p>
        </w:tc>
        <w:tc>
          <w:tcPr>
            <w:tcW w:w="1326" w:type="dxa"/>
            <w:gridSpan w:val="3"/>
            <w:vAlign w:val="center"/>
          </w:tcPr>
          <w:p w14:paraId="67A21C9E">
            <w:pPr>
              <w:rPr>
                <w:rFonts w:hint="eastAsia" w:ascii="宋体" w:hAnsi="宋体"/>
                <w:color w:val="000000"/>
                <w:szCs w:val="21"/>
              </w:rPr>
            </w:pPr>
          </w:p>
        </w:tc>
        <w:tc>
          <w:tcPr>
            <w:tcW w:w="1592" w:type="dxa"/>
            <w:gridSpan w:val="2"/>
            <w:vAlign w:val="center"/>
          </w:tcPr>
          <w:p w14:paraId="60AFB242">
            <w:pPr>
              <w:rPr>
                <w:rFonts w:hint="eastAsia" w:ascii="宋体" w:hAnsi="宋体"/>
                <w:color w:val="000000"/>
                <w:szCs w:val="21"/>
              </w:rPr>
            </w:pPr>
          </w:p>
        </w:tc>
        <w:tc>
          <w:tcPr>
            <w:tcW w:w="1461" w:type="dxa"/>
            <w:gridSpan w:val="2"/>
            <w:vAlign w:val="center"/>
          </w:tcPr>
          <w:p w14:paraId="1F30D4C4">
            <w:pPr>
              <w:rPr>
                <w:rFonts w:hint="eastAsia" w:ascii="宋体" w:hAnsi="宋体"/>
                <w:color w:val="000000"/>
                <w:szCs w:val="21"/>
              </w:rPr>
            </w:pPr>
          </w:p>
        </w:tc>
        <w:tc>
          <w:tcPr>
            <w:tcW w:w="1068" w:type="dxa"/>
            <w:vAlign w:val="center"/>
          </w:tcPr>
          <w:p w14:paraId="24A80B6F">
            <w:pPr>
              <w:rPr>
                <w:rFonts w:hint="eastAsia" w:ascii="宋体" w:hAnsi="宋体"/>
                <w:color w:val="000000"/>
                <w:szCs w:val="21"/>
              </w:rPr>
            </w:pPr>
          </w:p>
        </w:tc>
      </w:tr>
    </w:tbl>
    <w:p w14:paraId="033109E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1" w:name="_Toc101074905"/>
      <w:bookmarkStart w:id="12" w:name="_Toc100052475"/>
      <w:bookmarkStart w:id="13" w:name="_Toc73521620"/>
      <w:bookmarkStart w:id="14" w:name="_Toc73521708"/>
      <w:r>
        <w:rPr>
          <w:rFonts w:hint="eastAsia" w:ascii="宋体" w:hAnsi="宋体"/>
          <w:color w:val="000000"/>
          <w:szCs w:val="21"/>
        </w:rPr>
        <w:t>投标单位公章：</w:t>
      </w:r>
    </w:p>
    <w:p w14:paraId="5077C470">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62D843B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5B4BBCF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1"/>
      <w:bookmarkEnd w:id="12"/>
      <w:bookmarkEnd w:id="13"/>
      <w:bookmarkEnd w:id="14"/>
    </w:p>
    <w:p w14:paraId="530A9E7F">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247E017C">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5" w:name="_Toc201401658"/>
      <w:bookmarkStart w:id="16" w:name="_Toc201742861"/>
      <w:bookmarkStart w:id="17" w:name="_Toc201719118"/>
      <w:bookmarkStart w:id="18" w:name="_Toc201997946"/>
      <w:bookmarkStart w:id="19" w:name="_Toc201743116"/>
    </w:p>
    <w:p w14:paraId="18DE14E9">
      <w:pPr>
        <w:spacing w:line="300" w:lineRule="auto"/>
        <w:rPr>
          <w:rFonts w:hint="eastAsia" w:ascii="宋体" w:hAnsi="宋体"/>
          <w:color w:val="000000"/>
          <w:szCs w:val="21"/>
        </w:rPr>
      </w:pPr>
      <w:r>
        <w:rPr>
          <w:rFonts w:hint="eastAsia" w:ascii="宋体" w:hAnsi="宋体"/>
          <w:color w:val="000000"/>
          <w:szCs w:val="21"/>
        </w:rPr>
        <w:t>格式</w:t>
      </w:r>
      <w:r>
        <w:rPr>
          <w:rFonts w:hint="eastAsia" w:ascii="宋体" w:hAnsi="宋体"/>
          <w:color w:val="000000"/>
          <w:szCs w:val="21"/>
          <w:lang w:val="en-US" w:eastAsia="zh-CN"/>
        </w:rPr>
        <w:t>6</w:t>
      </w:r>
      <w:r>
        <w:rPr>
          <w:rFonts w:hint="eastAsia" w:ascii="宋体" w:hAnsi="宋体"/>
          <w:color w:val="000000"/>
          <w:szCs w:val="21"/>
        </w:rPr>
        <w:t>：法人授权书</w:t>
      </w:r>
    </w:p>
    <w:p w14:paraId="76CA3135">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6BC5B523">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3DE9308D">
      <w:pPr>
        <w:spacing w:line="360" w:lineRule="auto"/>
        <w:ind w:firstLine="480" w:firstLineChars="200"/>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FE8075F">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510D8AA0">
      <w:pPr>
        <w:spacing w:line="500" w:lineRule="exact"/>
        <w:ind w:firstLine="480" w:firstLineChars="200"/>
        <w:jc w:val="left"/>
        <w:rPr>
          <w:rFonts w:ascii="宋体" w:hAnsi="宋体"/>
          <w:bCs/>
          <w:sz w:val="24"/>
          <w:szCs w:val="24"/>
        </w:rPr>
      </w:pPr>
    </w:p>
    <w:p w14:paraId="2986696C">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2A3A3ADF">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53D27AE">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CB2FA62">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2"/>
                            </w:pPr>
                            <w:r>
                              <w:rPr>
                                <w:rFonts w:hint="eastAsia"/>
                              </w:rPr>
                              <w:t>（请加盖骑缝章）</w:t>
                            </w:r>
                          </w:p>
                          <w:p w14:paraId="4268FCB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2"/>
                      </w:pPr>
                      <w:r>
                        <w:rPr>
                          <w:rFonts w:hint="eastAsia"/>
                        </w:rPr>
                        <w:t>（请加盖骑缝章）</w:t>
                      </w:r>
                    </w:p>
                    <w:p w14:paraId="4268FCB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2"/>
                            </w:pPr>
                            <w:r>
                              <w:rPr>
                                <w:rFonts w:hint="eastAsia"/>
                              </w:rPr>
                              <w:t>（请加盖骑缝章）</w:t>
                            </w:r>
                          </w:p>
                          <w:p w14:paraId="66AC318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2"/>
                      </w:pPr>
                      <w:r>
                        <w:rPr>
                          <w:rFonts w:hint="eastAsia"/>
                        </w:rPr>
                        <w:t>（请加盖骑缝章）</w:t>
                      </w:r>
                    </w:p>
                    <w:p w14:paraId="66AC3182">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2"/>
                            </w:pPr>
                            <w:r>
                              <w:rPr>
                                <w:rFonts w:hint="eastAsia"/>
                              </w:rPr>
                              <w:t>（请加盖骑缝章）</w:t>
                            </w:r>
                          </w:p>
                          <w:p w14:paraId="4166002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2"/>
                      </w:pPr>
                      <w:r>
                        <w:rPr>
                          <w:rFonts w:hint="eastAsia"/>
                        </w:rPr>
                        <w:t>（请加盖骑缝章）</w:t>
                      </w:r>
                    </w:p>
                    <w:p w14:paraId="4166002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2"/>
                            </w:pPr>
                            <w:r>
                              <w:rPr>
                                <w:rFonts w:hint="eastAsia"/>
                              </w:rPr>
                              <w:t>（请加盖骑缝章）</w:t>
                            </w:r>
                          </w:p>
                          <w:p w14:paraId="25FE921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2"/>
                      </w:pPr>
                      <w:r>
                        <w:rPr>
                          <w:rFonts w:hint="eastAsia"/>
                        </w:rPr>
                        <w:t>（请加盖骑缝章）</w:t>
                      </w:r>
                    </w:p>
                    <w:p w14:paraId="25FE921E">
                      <w:pPr>
                        <w:jc w:val="center"/>
                        <w:rPr>
                          <w:rFonts w:eastAsia="华文中宋"/>
                          <w:sz w:val="28"/>
                        </w:rPr>
                      </w:pPr>
                    </w:p>
                  </w:txbxContent>
                </v:textbox>
              </v:rect>
            </w:pict>
          </mc:Fallback>
        </mc:AlternateContent>
      </w:r>
    </w:p>
    <w:p w14:paraId="0F61809A">
      <w:pPr>
        <w:spacing w:line="500" w:lineRule="exact"/>
        <w:ind w:firstLine="555"/>
        <w:jc w:val="left"/>
        <w:rPr>
          <w:rFonts w:ascii="宋体" w:hAnsi="宋体"/>
          <w:bCs/>
          <w:sz w:val="24"/>
          <w:szCs w:val="24"/>
          <w:u w:val="single"/>
        </w:rPr>
      </w:pPr>
    </w:p>
    <w:p w14:paraId="1F22EC69">
      <w:pPr>
        <w:spacing w:line="500" w:lineRule="exact"/>
        <w:ind w:firstLine="555"/>
        <w:jc w:val="left"/>
        <w:rPr>
          <w:rFonts w:ascii="宋体" w:hAnsi="宋体"/>
          <w:bCs/>
          <w:sz w:val="24"/>
          <w:szCs w:val="24"/>
          <w:u w:val="single"/>
        </w:rPr>
      </w:pPr>
    </w:p>
    <w:p w14:paraId="399D4DE2">
      <w:pPr>
        <w:spacing w:line="500" w:lineRule="exact"/>
        <w:ind w:firstLine="555"/>
        <w:jc w:val="left"/>
        <w:rPr>
          <w:rFonts w:ascii="宋体" w:hAnsi="宋体"/>
          <w:bCs/>
          <w:sz w:val="24"/>
          <w:szCs w:val="24"/>
          <w:u w:val="single"/>
        </w:rPr>
      </w:pPr>
    </w:p>
    <w:p w14:paraId="4D644C5A">
      <w:pPr>
        <w:tabs>
          <w:tab w:val="left" w:pos="0"/>
        </w:tabs>
        <w:spacing w:line="276" w:lineRule="auto"/>
        <w:jc w:val="left"/>
        <w:rPr>
          <w:rFonts w:ascii="宋体" w:hAnsi="宋体"/>
          <w:sz w:val="24"/>
          <w:szCs w:val="24"/>
        </w:rPr>
      </w:pPr>
    </w:p>
    <w:p w14:paraId="78790AAA">
      <w:pPr>
        <w:rPr>
          <w:rFonts w:ascii="宋体" w:hAnsi="宋体"/>
          <w:sz w:val="24"/>
          <w:szCs w:val="24"/>
        </w:rPr>
      </w:pPr>
    </w:p>
    <w:p w14:paraId="58F207EA">
      <w:pPr>
        <w:rPr>
          <w:rFonts w:ascii="宋体" w:hAnsi="宋体"/>
          <w:sz w:val="24"/>
          <w:szCs w:val="24"/>
        </w:rPr>
      </w:pPr>
    </w:p>
    <w:p w14:paraId="52158F7A">
      <w:pPr>
        <w:spacing w:line="300" w:lineRule="auto"/>
        <w:rPr>
          <w:rFonts w:ascii="宋体" w:hAnsi="宋体"/>
          <w:sz w:val="24"/>
          <w:szCs w:val="24"/>
        </w:rPr>
      </w:pPr>
    </w:p>
    <w:p w14:paraId="7A1BEBAA">
      <w:pPr>
        <w:spacing w:line="300" w:lineRule="auto"/>
        <w:rPr>
          <w:rFonts w:ascii="宋体" w:hAnsi="宋体"/>
          <w:sz w:val="24"/>
          <w:szCs w:val="24"/>
        </w:rPr>
      </w:pPr>
    </w:p>
    <w:p w14:paraId="38B2A25D">
      <w:pPr>
        <w:spacing w:line="300" w:lineRule="auto"/>
        <w:rPr>
          <w:rFonts w:ascii="宋体" w:hAnsi="宋体"/>
          <w:sz w:val="24"/>
          <w:szCs w:val="24"/>
        </w:rPr>
      </w:pPr>
    </w:p>
    <w:p w14:paraId="776096CB">
      <w:pPr>
        <w:spacing w:line="300" w:lineRule="auto"/>
        <w:rPr>
          <w:rFonts w:ascii="宋体" w:hAnsi="宋体"/>
          <w:sz w:val="24"/>
          <w:szCs w:val="24"/>
        </w:rPr>
      </w:pPr>
    </w:p>
    <w:p w14:paraId="5F6775F5">
      <w:pPr>
        <w:spacing w:line="300" w:lineRule="auto"/>
        <w:rPr>
          <w:rFonts w:ascii="宋体" w:hAnsi="宋体"/>
          <w:sz w:val="24"/>
          <w:szCs w:val="24"/>
        </w:rPr>
      </w:pPr>
    </w:p>
    <w:p w14:paraId="28544239">
      <w:pPr>
        <w:spacing w:line="300" w:lineRule="auto"/>
        <w:rPr>
          <w:rFonts w:ascii="宋体" w:hAnsi="宋体"/>
          <w:sz w:val="24"/>
          <w:szCs w:val="24"/>
        </w:rPr>
      </w:pPr>
    </w:p>
    <w:p w14:paraId="0D169A0F">
      <w:pPr>
        <w:spacing w:line="300" w:lineRule="auto"/>
        <w:rPr>
          <w:rFonts w:ascii="宋体" w:hAnsi="宋体"/>
          <w:sz w:val="24"/>
          <w:szCs w:val="24"/>
        </w:rPr>
      </w:pPr>
    </w:p>
    <w:p w14:paraId="740D4FE0">
      <w:pPr>
        <w:spacing w:line="300" w:lineRule="auto"/>
        <w:rPr>
          <w:rFonts w:ascii="宋体" w:hAnsi="宋体"/>
          <w:sz w:val="24"/>
          <w:szCs w:val="24"/>
        </w:rPr>
      </w:pPr>
    </w:p>
    <w:p w14:paraId="61CD3C8A">
      <w:pPr>
        <w:spacing w:line="300" w:lineRule="auto"/>
        <w:rPr>
          <w:rFonts w:ascii="宋体" w:hAnsi="宋体"/>
          <w:sz w:val="24"/>
          <w:szCs w:val="24"/>
        </w:rPr>
      </w:pPr>
    </w:p>
    <w:p w14:paraId="6E69457E">
      <w:pPr>
        <w:spacing w:line="300" w:lineRule="auto"/>
        <w:rPr>
          <w:rFonts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5"/>
    <w:bookmarkEnd w:id="16"/>
    <w:bookmarkEnd w:id="17"/>
    <w:bookmarkEnd w:id="18"/>
    <w:bookmarkEnd w:id="19"/>
    <w:p w14:paraId="69D53534">
      <w:pPr>
        <w:rPr>
          <w:rFonts w:hint="eastAsia" w:ascii="宋体" w:hAnsi="宋体"/>
          <w:bCs/>
          <w:sz w:val="24"/>
          <w:szCs w:val="24"/>
        </w:rPr>
      </w:pPr>
      <w:r>
        <w:rPr>
          <w:rFonts w:hint="eastAsia" w:ascii="宋体" w:hAnsi="宋体"/>
          <w:bCs/>
          <w:sz w:val="24"/>
          <w:szCs w:val="24"/>
        </w:rPr>
        <w:t>格式</w:t>
      </w:r>
      <w:r>
        <w:rPr>
          <w:rFonts w:hint="eastAsia" w:ascii="宋体" w:hAnsi="宋体"/>
          <w:bCs/>
          <w:sz w:val="24"/>
          <w:szCs w:val="24"/>
          <w:lang w:val="en-US" w:eastAsia="zh-CN"/>
        </w:rPr>
        <w:t>7</w:t>
      </w:r>
      <w:r>
        <w:rPr>
          <w:rFonts w:hint="eastAsia" w:ascii="宋体" w:hAnsi="宋体"/>
          <w:bCs/>
          <w:sz w:val="24"/>
          <w:szCs w:val="24"/>
        </w:rPr>
        <w:t>：诚信承诺函</w:t>
      </w:r>
    </w:p>
    <w:p w14:paraId="50309923">
      <w:pPr>
        <w:jc w:val="center"/>
        <w:rPr>
          <w:rFonts w:ascii="宋体" w:hAnsi="宋体"/>
          <w:b/>
          <w:sz w:val="24"/>
          <w:szCs w:val="24"/>
        </w:rPr>
      </w:pPr>
      <w:r>
        <w:rPr>
          <w:rFonts w:hint="eastAsia" w:ascii="宋体" w:hAnsi="宋体"/>
          <w:b/>
          <w:bCs/>
          <w:sz w:val="24"/>
          <w:szCs w:val="24"/>
        </w:rPr>
        <w:t>诚信情况承诺函</w:t>
      </w:r>
    </w:p>
    <w:p w14:paraId="0597C1C0">
      <w:pPr>
        <w:spacing w:line="312" w:lineRule="auto"/>
        <w:rPr>
          <w:rFonts w:ascii="宋体" w:hAnsi="宋体"/>
          <w:sz w:val="24"/>
          <w:szCs w:val="24"/>
        </w:rPr>
      </w:pPr>
    </w:p>
    <w:p w14:paraId="4A439B52">
      <w:pPr>
        <w:spacing w:line="360" w:lineRule="auto"/>
        <w:rPr>
          <w:rFonts w:ascii="宋体" w:hAnsi="宋体"/>
          <w:i/>
          <w:iCs/>
          <w:sz w:val="24"/>
          <w:szCs w:val="24"/>
        </w:rPr>
      </w:pPr>
      <w:r>
        <w:rPr>
          <w:rFonts w:hint="eastAsia" w:ascii="宋体" w:hAnsi="宋体"/>
          <w:sz w:val="24"/>
          <w:szCs w:val="24"/>
        </w:rPr>
        <w:t>致：深圳市儿童医院</w:t>
      </w:r>
    </w:p>
    <w:p w14:paraId="0073BE66">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751FCF2">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27A672F">
      <w:pPr>
        <w:numPr>
          <w:ilvl w:val="1"/>
          <w:numId w:val="10"/>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512CD6EF">
      <w:pPr>
        <w:numPr>
          <w:ilvl w:val="1"/>
          <w:numId w:val="10"/>
        </w:numPr>
        <w:spacing w:line="360" w:lineRule="auto"/>
        <w:rPr>
          <w:rFonts w:ascii="宋体" w:hAnsi="宋体"/>
          <w:sz w:val="24"/>
          <w:szCs w:val="24"/>
        </w:rPr>
      </w:pPr>
      <w:r>
        <w:rPr>
          <w:rFonts w:hint="eastAsia" w:ascii="宋体" w:hAnsi="宋体"/>
          <w:sz w:val="24"/>
          <w:szCs w:val="24"/>
        </w:rPr>
        <w:t>未按规定签订、履行采购合同，造成严重后果的；</w:t>
      </w:r>
    </w:p>
    <w:p w14:paraId="31A7EBBE">
      <w:pPr>
        <w:numPr>
          <w:ilvl w:val="1"/>
          <w:numId w:val="10"/>
        </w:numPr>
        <w:spacing w:line="360" w:lineRule="auto"/>
        <w:rPr>
          <w:rFonts w:ascii="宋体" w:hAnsi="宋体"/>
          <w:sz w:val="24"/>
          <w:szCs w:val="24"/>
        </w:rPr>
      </w:pPr>
      <w:r>
        <w:rPr>
          <w:rFonts w:hint="eastAsia" w:ascii="宋体" w:hAnsi="宋体"/>
          <w:sz w:val="24"/>
          <w:szCs w:val="24"/>
        </w:rPr>
        <w:t>隐瞒真实情况，提供虚假资料的；</w:t>
      </w:r>
    </w:p>
    <w:p w14:paraId="5B129833">
      <w:pPr>
        <w:numPr>
          <w:ilvl w:val="1"/>
          <w:numId w:val="10"/>
        </w:numPr>
        <w:spacing w:line="360" w:lineRule="auto"/>
        <w:rPr>
          <w:rFonts w:ascii="宋体" w:hAnsi="宋体"/>
          <w:sz w:val="24"/>
          <w:szCs w:val="24"/>
        </w:rPr>
      </w:pPr>
      <w:r>
        <w:rPr>
          <w:rFonts w:hint="eastAsia" w:ascii="宋体" w:hAnsi="宋体"/>
          <w:sz w:val="24"/>
          <w:szCs w:val="24"/>
        </w:rPr>
        <w:t>以非法手段排斥其他供应商参与竞争的；</w:t>
      </w:r>
    </w:p>
    <w:p w14:paraId="22A156AB">
      <w:pPr>
        <w:numPr>
          <w:ilvl w:val="1"/>
          <w:numId w:val="10"/>
        </w:numPr>
        <w:spacing w:line="360" w:lineRule="auto"/>
        <w:rPr>
          <w:rFonts w:ascii="宋体" w:hAnsi="宋体"/>
          <w:sz w:val="24"/>
          <w:szCs w:val="24"/>
        </w:rPr>
      </w:pPr>
      <w:r>
        <w:rPr>
          <w:rFonts w:hint="eastAsia" w:ascii="宋体" w:hAnsi="宋体"/>
          <w:sz w:val="24"/>
          <w:szCs w:val="24"/>
        </w:rPr>
        <w:t>与其他采购参加人串通投标的；</w:t>
      </w:r>
    </w:p>
    <w:p w14:paraId="37548042">
      <w:pPr>
        <w:numPr>
          <w:ilvl w:val="1"/>
          <w:numId w:val="10"/>
        </w:numPr>
        <w:spacing w:line="360" w:lineRule="auto"/>
        <w:rPr>
          <w:rFonts w:ascii="宋体" w:hAnsi="宋体"/>
          <w:sz w:val="24"/>
          <w:szCs w:val="24"/>
        </w:rPr>
      </w:pPr>
      <w:r>
        <w:rPr>
          <w:rFonts w:hint="eastAsia" w:ascii="宋体" w:hAnsi="宋体"/>
          <w:sz w:val="24"/>
          <w:szCs w:val="24"/>
        </w:rPr>
        <w:t>在采购活动中应当回避而未回避的；</w:t>
      </w:r>
    </w:p>
    <w:p w14:paraId="6CC60E0B">
      <w:pPr>
        <w:numPr>
          <w:ilvl w:val="1"/>
          <w:numId w:val="10"/>
        </w:numPr>
        <w:spacing w:line="360" w:lineRule="auto"/>
        <w:rPr>
          <w:rFonts w:ascii="宋体" w:hAnsi="宋体"/>
          <w:sz w:val="24"/>
          <w:szCs w:val="24"/>
        </w:rPr>
      </w:pPr>
      <w:r>
        <w:rPr>
          <w:rFonts w:hint="eastAsia" w:ascii="宋体" w:hAnsi="宋体"/>
          <w:sz w:val="24"/>
          <w:szCs w:val="24"/>
        </w:rPr>
        <w:t>恶意投诉的；</w:t>
      </w:r>
    </w:p>
    <w:p w14:paraId="07D73382">
      <w:pPr>
        <w:numPr>
          <w:ilvl w:val="1"/>
          <w:numId w:val="10"/>
        </w:numPr>
        <w:spacing w:line="360" w:lineRule="auto"/>
        <w:rPr>
          <w:rFonts w:ascii="宋体" w:hAnsi="宋体"/>
          <w:sz w:val="24"/>
          <w:szCs w:val="24"/>
        </w:rPr>
      </w:pPr>
      <w:r>
        <w:rPr>
          <w:rFonts w:hint="eastAsia" w:ascii="宋体" w:hAnsi="宋体"/>
          <w:sz w:val="24"/>
          <w:szCs w:val="24"/>
        </w:rPr>
        <w:t>向采购项目相关人行贿或者提供其他不当利益的；</w:t>
      </w:r>
    </w:p>
    <w:p w14:paraId="48D61673">
      <w:pPr>
        <w:numPr>
          <w:ilvl w:val="1"/>
          <w:numId w:val="10"/>
        </w:numPr>
        <w:spacing w:line="360" w:lineRule="auto"/>
        <w:rPr>
          <w:rFonts w:ascii="宋体" w:hAnsi="宋体"/>
          <w:sz w:val="24"/>
          <w:szCs w:val="24"/>
        </w:rPr>
      </w:pPr>
      <w:r>
        <w:rPr>
          <w:rFonts w:hint="eastAsia" w:ascii="宋体" w:hAnsi="宋体"/>
          <w:sz w:val="24"/>
          <w:szCs w:val="24"/>
        </w:rPr>
        <w:t>阻碍、抗拒主管部门监督检查的；</w:t>
      </w:r>
    </w:p>
    <w:p w14:paraId="19D12B17">
      <w:pPr>
        <w:numPr>
          <w:ilvl w:val="1"/>
          <w:numId w:val="10"/>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61383A7C">
      <w:pPr>
        <w:spacing w:line="360" w:lineRule="auto"/>
        <w:ind w:left="420"/>
        <w:rPr>
          <w:rFonts w:ascii="宋体" w:hAnsi="宋体"/>
          <w:sz w:val="24"/>
          <w:szCs w:val="24"/>
        </w:rPr>
      </w:pPr>
      <w:r>
        <w:rPr>
          <w:rFonts w:hint="eastAsia" w:ascii="宋体" w:hAnsi="宋体"/>
          <w:sz w:val="24"/>
          <w:szCs w:val="24"/>
        </w:rPr>
        <w:t>（十一）主管部门认定的其他情形。</w:t>
      </w:r>
    </w:p>
    <w:p w14:paraId="33F8BCDD">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A534E2C">
      <w:pPr>
        <w:spacing w:line="312" w:lineRule="auto"/>
        <w:ind w:firstLine="525"/>
        <w:rPr>
          <w:rFonts w:ascii="宋体" w:hAnsi="宋体"/>
          <w:sz w:val="24"/>
          <w:szCs w:val="24"/>
        </w:rPr>
      </w:pPr>
    </w:p>
    <w:p w14:paraId="48EE483B">
      <w:pPr>
        <w:spacing w:line="312" w:lineRule="auto"/>
        <w:ind w:firstLine="525"/>
        <w:rPr>
          <w:rFonts w:ascii="宋体" w:hAnsi="宋体"/>
          <w:sz w:val="24"/>
          <w:szCs w:val="24"/>
        </w:rPr>
      </w:pPr>
    </w:p>
    <w:p w14:paraId="07A76224">
      <w:pPr>
        <w:spacing w:line="312" w:lineRule="auto"/>
        <w:ind w:firstLine="525"/>
        <w:rPr>
          <w:rFonts w:ascii="宋体" w:hAnsi="宋体"/>
          <w:sz w:val="24"/>
          <w:szCs w:val="24"/>
        </w:rPr>
      </w:pPr>
    </w:p>
    <w:p w14:paraId="53FB0036">
      <w:pPr>
        <w:spacing w:line="312" w:lineRule="auto"/>
        <w:ind w:firstLine="525"/>
        <w:rPr>
          <w:rFonts w:ascii="宋体" w:hAnsi="宋体"/>
          <w:sz w:val="24"/>
          <w:szCs w:val="24"/>
        </w:rPr>
      </w:pPr>
    </w:p>
    <w:p w14:paraId="593E00CD">
      <w:pPr>
        <w:spacing w:line="312" w:lineRule="auto"/>
        <w:ind w:firstLine="525"/>
        <w:rPr>
          <w:rFonts w:ascii="宋体" w:hAnsi="宋体"/>
          <w:sz w:val="24"/>
          <w:szCs w:val="24"/>
        </w:rPr>
      </w:pPr>
    </w:p>
    <w:p w14:paraId="0F71AE85">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7E022055">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9AC0061">
      <w:pPr>
        <w:spacing w:line="360" w:lineRule="auto"/>
        <w:ind w:firstLine="360" w:firstLineChars="150"/>
        <w:rPr>
          <w:rFonts w:ascii="宋体" w:hAnsi="宋体"/>
          <w:sz w:val="24"/>
          <w:szCs w:val="24"/>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05DC2266"/>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5F7">
    <w:pPr>
      <w:pStyle w:val="12"/>
      <w:jc w:val="center"/>
    </w:pPr>
    <w:r>
      <w:fldChar w:fldCharType="begin"/>
    </w:r>
    <w:r>
      <w:instrText xml:space="preserve"> PAGE   \* MERGEFORMAT </w:instrText>
    </w:r>
    <w:r>
      <w:fldChar w:fldCharType="separate"/>
    </w:r>
    <w:r>
      <w:rPr>
        <w:lang w:val="zh-CN"/>
      </w:rPr>
      <w:t>4</w:t>
    </w:r>
    <w:r>
      <w:rPr>
        <w:lang w:val="zh-CN"/>
      </w:rPr>
      <w:fldChar w:fldCharType="end"/>
    </w:r>
  </w:p>
  <w:p w14:paraId="7F51543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9A4">
    <w:pPr>
      <w:pStyle w:val="12"/>
      <w:framePr w:wrap="around" w:vAnchor="text" w:hAnchor="page" w:x="5521" w:y="-50"/>
      <w:rPr>
        <w:rStyle w:val="20"/>
      </w:rPr>
    </w:pPr>
    <w:r>
      <w:fldChar w:fldCharType="begin"/>
    </w:r>
    <w:r>
      <w:rPr>
        <w:rStyle w:val="20"/>
      </w:rPr>
      <w:instrText xml:space="preserve">PAGE  </w:instrText>
    </w:r>
    <w:r>
      <w:fldChar w:fldCharType="separate"/>
    </w:r>
    <w:r>
      <w:rPr>
        <w:rStyle w:val="20"/>
      </w:rPr>
      <w:t>14</w:t>
    </w:r>
    <w:r>
      <w:fldChar w:fldCharType="end"/>
    </w:r>
  </w:p>
  <w:p w14:paraId="52B4CE8A">
    <w:pPr>
      <w:pStyle w:val="12"/>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75856A3B">
        <w:pPr>
          <w:pStyle w:val="12"/>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E3606C">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1BBD">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A102">
    <w:pPr>
      <w:pStyle w:val="13"/>
      <w:pBdr>
        <w:bottom w:val="single" w:color="auto" w:sz="4"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D3B17F"/>
    <w:multiLevelType w:val="singleLevel"/>
    <w:tmpl w:val="DED3B17F"/>
    <w:lvl w:ilvl="0" w:tentative="0">
      <w:start w:val="1"/>
      <w:numFmt w:val="decimal"/>
      <w:suff w:val="nothing"/>
      <w:lvlText w:val="%1、"/>
      <w:lvlJc w:val="left"/>
    </w:lvl>
  </w:abstractNum>
  <w:abstractNum w:abstractNumId="1">
    <w:nsid w:val="F5EFF90E"/>
    <w:multiLevelType w:val="singleLevel"/>
    <w:tmpl w:val="F5EFF90E"/>
    <w:lvl w:ilvl="0" w:tentative="0">
      <w:start w:val="2"/>
      <w:numFmt w:val="decimal"/>
      <w:suff w:val="nothing"/>
      <w:lvlText w:val="%1、"/>
      <w:lvlJc w:val="left"/>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3006744"/>
    <w:multiLevelType w:val="multilevel"/>
    <w:tmpl w:val="23006744"/>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62356AF"/>
    <w:multiLevelType w:val="multilevel"/>
    <w:tmpl w:val="562356AF"/>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AB754DF"/>
    <w:multiLevelType w:val="multilevel"/>
    <w:tmpl w:val="5AB754DF"/>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4"/>
  </w:num>
  <w:num w:numId="3">
    <w:abstractNumId w:val="0"/>
  </w:num>
  <w:num w:numId="4">
    <w:abstractNumId w:val="1"/>
  </w:num>
  <w:num w:numId="5">
    <w:abstractNumId w:val="6"/>
  </w:num>
  <w:num w:numId="6">
    <w:abstractNumId w:val="5"/>
  </w:num>
  <w:num w:numId="7">
    <w:abstractNumId w:val="3"/>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8A5D39"/>
    <w:rsid w:val="0AA13162"/>
    <w:rsid w:val="0AB6258A"/>
    <w:rsid w:val="0B452B9B"/>
    <w:rsid w:val="0B5770DF"/>
    <w:rsid w:val="0C372CCD"/>
    <w:rsid w:val="0C5603A3"/>
    <w:rsid w:val="0C5C2346"/>
    <w:rsid w:val="0C5E5BB8"/>
    <w:rsid w:val="0C94782E"/>
    <w:rsid w:val="0E215C17"/>
    <w:rsid w:val="0FDB5BF8"/>
    <w:rsid w:val="0FF0756D"/>
    <w:rsid w:val="108D0931"/>
    <w:rsid w:val="10BB60F9"/>
    <w:rsid w:val="10CB03AE"/>
    <w:rsid w:val="110A33B6"/>
    <w:rsid w:val="11EC5E17"/>
    <w:rsid w:val="121432F4"/>
    <w:rsid w:val="13545A8B"/>
    <w:rsid w:val="13840F17"/>
    <w:rsid w:val="13992498"/>
    <w:rsid w:val="140F5863"/>
    <w:rsid w:val="15D233F0"/>
    <w:rsid w:val="16320B1F"/>
    <w:rsid w:val="169C6A39"/>
    <w:rsid w:val="16D00C09"/>
    <w:rsid w:val="172939D1"/>
    <w:rsid w:val="17596B0C"/>
    <w:rsid w:val="17AC41D5"/>
    <w:rsid w:val="17D52C2C"/>
    <w:rsid w:val="18A962E7"/>
    <w:rsid w:val="18B20DA1"/>
    <w:rsid w:val="197C450A"/>
    <w:rsid w:val="19931B20"/>
    <w:rsid w:val="1A154751"/>
    <w:rsid w:val="1A580152"/>
    <w:rsid w:val="1AF424DA"/>
    <w:rsid w:val="1B733CDF"/>
    <w:rsid w:val="1BDC6183"/>
    <w:rsid w:val="1C0C72BC"/>
    <w:rsid w:val="1C213878"/>
    <w:rsid w:val="1C6311B2"/>
    <w:rsid w:val="1CBE541D"/>
    <w:rsid w:val="1CDB04F6"/>
    <w:rsid w:val="1D1D0E35"/>
    <w:rsid w:val="1D250BA1"/>
    <w:rsid w:val="1DD93DB9"/>
    <w:rsid w:val="1EFF09E6"/>
    <w:rsid w:val="1F394ED2"/>
    <w:rsid w:val="1FA13095"/>
    <w:rsid w:val="1FE040BC"/>
    <w:rsid w:val="20152CE5"/>
    <w:rsid w:val="204801C9"/>
    <w:rsid w:val="20B44AAB"/>
    <w:rsid w:val="20F304B0"/>
    <w:rsid w:val="21916F90"/>
    <w:rsid w:val="22314524"/>
    <w:rsid w:val="228C71CA"/>
    <w:rsid w:val="22DE11E6"/>
    <w:rsid w:val="242A02DC"/>
    <w:rsid w:val="249C6AFD"/>
    <w:rsid w:val="25D450BA"/>
    <w:rsid w:val="25D56523"/>
    <w:rsid w:val="26E116DC"/>
    <w:rsid w:val="277B4CFD"/>
    <w:rsid w:val="28752B19"/>
    <w:rsid w:val="2876124D"/>
    <w:rsid w:val="28AA01F1"/>
    <w:rsid w:val="28BC4185"/>
    <w:rsid w:val="2A377783"/>
    <w:rsid w:val="2A6266E9"/>
    <w:rsid w:val="2A6C54A9"/>
    <w:rsid w:val="2D21664A"/>
    <w:rsid w:val="2EC8245F"/>
    <w:rsid w:val="2F2F5FB7"/>
    <w:rsid w:val="2F34651F"/>
    <w:rsid w:val="2F425E94"/>
    <w:rsid w:val="2FB81F38"/>
    <w:rsid w:val="2FFE2912"/>
    <w:rsid w:val="30BC2EBC"/>
    <w:rsid w:val="31FF72AF"/>
    <w:rsid w:val="32781A64"/>
    <w:rsid w:val="32782FFB"/>
    <w:rsid w:val="32B86F81"/>
    <w:rsid w:val="33CC15C4"/>
    <w:rsid w:val="33FA3136"/>
    <w:rsid w:val="353577A9"/>
    <w:rsid w:val="357B0EFD"/>
    <w:rsid w:val="35CA2DB9"/>
    <w:rsid w:val="35F41D4F"/>
    <w:rsid w:val="361E7E3B"/>
    <w:rsid w:val="3621266D"/>
    <w:rsid w:val="36974B68"/>
    <w:rsid w:val="375C2773"/>
    <w:rsid w:val="38092A8A"/>
    <w:rsid w:val="384C47A3"/>
    <w:rsid w:val="39031BEB"/>
    <w:rsid w:val="39072F88"/>
    <w:rsid w:val="394D7D0F"/>
    <w:rsid w:val="399E4DCC"/>
    <w:rsid w:val="3B5330E7"/>
    <w:rsid w:val="3BD85452"/>
    <w:rsid w:val="3BF6596E"/>
    <w:rsid w:val="3C125C3B"/>
    <w:rsid w:val="3C6162AD"/>
    <w:rsid w:val="3CC86BE5"/>
    <w:rsid w:val="3D132062"/>
    <w:rsid w:val="3D83213E"/>
    <w:rsid w:val="3DDB4F84"/>
    <w:rsid w:val="40A83A07"/>
    <w:rsid w:val="416F41D1"/>
    <w:rsid w:val="41BA0644"/>
    <w:rsid w:val="41F05DAA"/>
    <w:rsid w:val="428A76BF"/>
    <w:rsid w:val="42B477A6"/>
    <w:rsid w:val="4388454E"/>
    <w:rsid w:val="438A277C"/>
    <w:rsid w:val="453B1F7E"/>
    <w:rsid w:val="45C85E8B"/>
    <w:rsid w:val="45F224BA"/>
    <w:rsid w:val="46AF7E6D"/>
    <w:rsid w:val="46FD5BE1"/>
    <w:rsid w:val="478E1DDE"/>
    <w:rsid w:val="47E56E6A"/>
    <w:rsid w:val="481923FF"/>
    <w:rsid w:val="48E21409"/>
    <w:rsid w:val="490579E7"/>
    <w:rsid w:val="493A417A"/>
    <w:rsid w:val="4950692B"/>
    <w:rsid w:val="497146B0"/>
    <w:rsid w:val="4A490D8F"/>
    <w:rsid w:val="4AB26D7B"/>
    <w:rsid w:val="4AB9636A"/>
    <w:rsid w:val="4B315FE3"/>
    <w:rsid w:val="4B693D86"/>
    <w:rsid w:val="4B8F40E0"/>
    <w:rsid w:val="4BC36005"/>
    <w:rsid w:val="4CA37BED"/>
    <w:rsid w:val="4DE74B53"/>
    <w:rsid w:val="4E873EC5"/>
    <w:rsid w:val="4F0F2B66"/>
    <w:rsid w:val="4F296C73"/>
    <w:rsid w:val="4F747F89"/>
    <w:rsid w:val="4F8121CC"/>
    <w:rsid w:val="50331FAE"/>
    <w:rsid w:val="506247ED"/>
    <w:rsid w:val="5128622E"/>
    <w:rsid w:val="51541FB9"/>
    <w:rsid w:val="51653541"/>
    <w:rsid w:val="51BA3918"/>
    <w:rsid w:val="51BF7541"/>
    <w:rsid w:val="52FB6FDA"/>
    <w:rsid w:val="535459AE"/>
    <w:rsid w:val="53B23A34"/>
    <w:rsid w:val="55794964"/>
    <w:rsid w:val="55A22FA6"/>
    <w:rsid w:val="55AE397F"/>
    <w:rsid w:val="56214ACF"/>
    <w:rsid w:val="56403B5B"/>
    <w:rsid w:val="567505FD"/>
    <w:rsid w:val="56820A81"/>
    <w:rsid w:val="56AA68E1"/>
    <w:rsid w:val="56D26193"/>
    <w:rsid w:val="57B233A0"/>
    <w:rsid w:val="586B2478"/>
    <w:rsid w:val="58865E64"/>
    <w:rsid w:val="58C255AE"/>
    <w:rsid w:val="58DE6711"/>
    <w:rsid w:val="59507231"/>
    <w:rsid w:val="5A4D3BF6"/>
    <w:rsid w:val="5B6B290C"/>
    <w:rsid w:val="5BE55FB8"/>
    <w:rsid w:val="5BFD4EC8"/>
    <w:rsid w:val="5C55335F"/>
    <w:rsid w:val="5C914C90"/>
    <w:rsid w:val="5CD613C1"/>
    <w:rsid w:val="5CDD77D2"/>
    <w:rsid w:val="5D514298"/>
    <w:rsid w:val="5E954ECC"/>
    <w:rsid w:val="5F067A4C"/>
    <w:rsid w:val="5F2430A4"/>
    <w:rsid w:val="5F762EF1"/>
    <w:rsid w:val="5FC6029B"/>
    <w:rsid w:val="60003EDC"/>
    <w:rsid w:val="60405D44"/>
    <w:rsid w:val="604959AE"/>
    <w:rsid w:val="613269C6"/>
    <w:rsid w:val="61371FA3"/>
    <w:rsid w:val="61C15C3A"/>
    <w:rsid w:val="630D6DD2"/>
    <w:rsid w:val="631907A1"/>
    <w:rsid w:val="632640B2"/>
    <w:rsid w:val="64893CF5"/>
    <w:rsid w:val="654B39AE"/>
    <w:rsid w:val="65BB756F"/>
    <w:rsid w:val="66027D44"/>
    <w:rsid w:val="66420C8D"/>
    <w:rsid w:val="67434ACE"/>
    <w:rsid w:val="675160F0"/>
    <w:rsid w:val="67873AE3"/>
    <w:rsid w:val="679E29E3"/>
    <w:rsid w:val="67C46DBD"/>
    <w:rsid w:val="68043A23"/>
    <w:rsid w:val="68124293"/>
    <w:rsid w:val="68A37534"/>
    <w:rsid w:val="69006315"/>
    <w:rsid w:val="6A7800D0"/>
    <w:rsid w:val="6A994F1F"/>
    <w:rsid w:val="6B740773"/>
    <w:rsid w:val="6BA96793"/>
    <w:rsid w:val="6BE47E9D"/>
    <w:rsid w:val="6C2D715B"/>
    <w:rsid w:val="6CCC2F03"/>
    <w:rsid w:val="6D7C1A08"/>
    <w:rsid w:val="6D7E3DB9"/>
    <w:rsid w:val="6EBC525F"/>
    <w:rsid w:val="6EED19D9"/>
    <w:rsid w:val="6EEE2197"/>
    <w:rsid w:val="6EEF7E4F"/>
    <w:rsid w:val="6F2D12A0"/>
    <w:rsid w:val="70F03E4F"/>
    <w:rsid w:val="712D573D"/>
    <w:rsid w:val="72BB566D"/>
    <w:rsid w:val="72FE0135"/>
    <w:rsid w:val="73021E25"/>
    <w:rsid w:val="733B0CC7"/>
    <w:rsid w:val="74B2057B"/>
    <w:rsid w:val="75017925"/>
    <w:rsid w:val="75BF5C57"/>
    <w:rsid w:val="76287E23"/>
    <w:rsid w:val="76437394"/>
    <w:rsid w:val="76D20986"/>
    <w:rsid w:val="79A732D1"/>
    <w:rsid w:val="79BA4A36"/>
    <w:rsid w:val="7AD6416D"/>
    <w:rsid w:val="7B616DAE"/>
    <w:rsid w:val="7BCD7517"/>
    <w:rsid w:val="7BFA4470"/>
    <w:rsid w:val="7C0039D3"/>
    <w:rsid w:val="7C6C6D2C"/>
    <w:rsid w:val="7C7163B3"/>
    <w:rsid w:val="7C8C07BD"/>
    <w:rsid w:val="7D45640A"/>
    <w:rsid w:val="7DE6504F"/>
    <w:rsid w:val="7DEC76CD"/>
    <w:rsid w:val="7F3E3C42"/>
    <w:rsid w:val="7F75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autoRedefine/>
    <w:qFormat/>
    <w:uiPriority w:val="0"/>
    <w:pPr>
      <w:spacing w:before="240" w:after="240"/>
      <w:outlineLvl w:val="2"/>
    </w:pPr>
    <w:rPr>
      <w:b/>
      <w:sz w:val="24"/>
    </w:rPr>
  </w:style>
  <w:style w:type="character" w:default="1" w:styleId="18">
    <w:name w:val="Default Paragraph Font"/>
    <w:autoRedefine/>
    <w:unhideWhenUsed/>
    <w:qFormat/>
    <w:uiPriority w:val="1"/>
  </w:style>
  <w:style w:type="table" w:default="1" w:styleId="16">
    <w:name w:val="Normal Table"/>
    <w:autoRedefine/>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7"/>
    <w:autoRedefine/>
    <w:qFormat/>
    <w:uiPriority w:val="0"/>
    <w:pPr>
      <w:spacing w:after="120"/>
    </w:pPr>
    <w:rPr>
      <w:kern w:val="0"/>
      <w:sz w:val="20"/>
    </w:rPr>
  </w:style>
  <w:style w:type="paragraph" w:styleId="7">
    <w:name w:val="Body Text 2"/>
    <w:basedOn w:val="1"/>
    <w:unhideWhenUsed/>
    <w:qFormat/>
    <w:uiPriority w:val="99"/>
    <w:pPr>
      <w:spacing w:line="360" w:lineRule="auto"/>
    </w:pPr>
    <w:rPr>
      <w:sz w:val="24"/>
    </w:rPr>
  </w:style>
  <w:style w:type="paragraph" w:styleId="8">
    <w:name w:val="Body Text Indent"/>
    <w:basedOn w:val="1"/>
    <w:autoRedefine/>
    <w:qFormat/>
    <w:uiPriority w:val="0"/>
    <w:pPr>
      <w:spacing w:line="360" w:lineRule="auto"/>
      <w:ind w:left="720" w:hanging="720" w:hangingChars="300"/>
    </w:pPr>
    <w:rPr>
      <w:sz w:val="24"/>
      <w:szCs w:val="20"/>
    </w:rPr>
  </w:style>
  <w:style w:type="paragraph" w:styleId="9">
    <w:name w:val="Plain Text"/>
    <w:basedOn w:val="1"/>
    <w:link w:val="24"/>
    <w:autoRedefine/>
    <w:qFormat/>
    <w:uiPriority w:val="0"/>
    <w:rPr>
      <w:rFonts w:ascii="宋体" w:hAnsi="Courier New" w:cs="Courier New"/>
      <w:szCs w:val="21"/>
    </w:rPr>
  </w:style>
  <w:style w:type="paragraph" w:styleId="10">
    <w:name w:val="Date"/>
    <w:basedOn w:val="1"/>
    <w:next w:val="1"/>
    <w:autoRedefine/>
    <w:qFormat/>
    <w:uiPriority w:val="0"/>
    <w:rPr>
      <w:szCs w:val="20"/>
    </w:rPr>
  </w:style>
  <w:style w:type="paragraph" w:styleId="11">
    <w:name w:val="Body Text Indent 2"/>
    <w:basedOn w:val="1"/>
    <w:autoRedefine/>
    <w:qFormat/>
    <w:uiPriority w:val="0"/>
    <w:pPr>
      <w:spacing w:line="360" w:lineRule="auto"/>
      <w:ind w:left="502" w:hanging="502" w:hangingChars="276"/>
    </w:pPr>
    <w:rPr>
      <w:rFonts w:ascii="仿宋_GB2312"/>
      <w:kern w:val="0"/>
      <w:sz w:val="20"/>
    </w:rPr>
  </w:style>
  <w:style w:type="paragraph" w:styleId="12">
    <w:name w:val="footer"/>
    <w:basedOn w:val="1"/>
    <w:link w:val="28"/>
    <w:autoRedefine/>
    <w:qFormat/>
    <w:uiPriority w:val="99"/>
    <w:pPr>
      <w:tabs>
        <w:tab w:val="center" w:pos="4153"/>
        <w:tab w:val="right" w:pos="8306"/>
      </w:tabs>
      <w:snapToGrid w:val="0"/>
      <w:jc w:val="left"/>
    </w:pPr>
    <w:rPr>
      <w:sz w:val="18"/>
      <w:szCs w:val="18"/>
    </w:rPr>
  </w:style>
  <w:style w:type="paragraph" w:styleId="13">
    <w:name w:val="header"/>
    <w:basedOn w:val="1"/>
    <w:link w:val="27"/>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0"/>
    <w:pPr>
      <w:spacing w:before="100" w:beforeAutospacing="1" w:after="100" w:afterAutospacing="1"/>
      <w:jc w:val="left"/>
    </w:pPr>
    <w:rPr>
      <w:kern w:val="0"/>
      <w:sz w:val="24"/>
      <w:szCs w:val="20"/>
    </w:rPr>
  </w:style>
  <w:style w:type="paragraph" w:styleId="15">
    <w:name w:val="Body Text First Indent 2"/>
    <w:basedOn w:val="8"/>
    <w:unhideWhenUsed/>
    <w:qFormat/>
    <w:uiPriority w:val="0"/>
    <w:pPr>
      <w:spacing w:after="120" w:line="240" w:lineRule="auto"/>
      <w:ind w:left="420" w:leftChars="200"/>
    </w:pPr>
    <w:rPr>
      <w:rFonts w:ascii="Calibri" w:hAnsi="Calibri"/>
      <w:szCs w:val="22"/>
    </w:rPr>
  </w:style>
  <w:style w:type="table" w:styleId="17">
    <w:name w:val="Table Grid"/>
    <w:basedOn w:val="16"/>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autoRedefine/>
    <w:qFormat/>
    <w:uiPriority w:val="22"/>
    <w:rPr>
      <w:b/>
      <w:bCs/>
    </w:rPr>
  </w:style>
  <w:style w:type="character" w:styleId="20">
    <w:name w:val="page number"/>
    <w:basedOn w:val="18"/>
    <w:autoRedefine/>
    <w:semiHidden/>
    <w:qFormat/>
    <w:uiPriority w:val="0"/>
  </w:style>
  <w:style w:type="character" w:styleId="21">
    <w:name w:val="Hyperlink"/>
    <w:basedOn w:val="18"/>
    <w:autoRedefine/>
    <w:qFormat/>
    <w:uiPriority w:val="0"/>
    <w:rPr>
      <w:color w:val="0000FF"/>
      <w:u w:val="single"/>
    </w:rPr>
  </w:style>
  <w:style w:type="paragraph" w:customStyle="1" w:styleId="22">
    <w:name w:val="样式 行距: 1.5 倍行距 首行缩进:  2 字符"/>
    <w:basedOn w:val="1"/>
    <w:qFormat/>
    <w:uiPriority w:val="0"/>
    <w:pPr>
      <w:adjustRightInd w:val="0"/>
      <w:snapToGrid w:val="0"/>
      <w:spacing w:line="460" w:lineRule="exact"/>
    </w:pPr>
  </w:style>
  <w:style w:type="character" w:customStyle="1" w:styleId="23">
    <w:name w:val="标题 3 Char"/>
    <w:basedOn w:val="18"/>
    <w:link w:val="4"/>
    <w:autoRedefine/>
    <w:qFormat/>
    <w:uiPriority w:val="0"/>
    <w:rPr>
      <w:b/>
      <w:kern w:val="2"/>
      <w:sz w:val="24"/>
    </w:rPr>
  </w:style>
  <w:style w:type="character" w:customStyle="1" w:styleId="24">
    <w:name w:val="纯文本 Char"/>
    <w:basedOn w:val="18"/>
    <w:link w:val="9"/>
    <w:autoRedefine/>
    <w:qFormat/>
    <w:uiPriority w:val="0"/>
    <w:rPr>
      <w:rFonts w:ascii="宋体" w:hAnsi="Courier New" w:cs="Courier New"/>
      <w:kern w:val="2"/>
      <w:sz w:val="21"/>
      <w:szCs w:val="21"/>
    </w:rPr>
  </w:style>
  <w:style w:type="paragraph" w:customStyle="1" w:styleId="25">
    <w:name w:val="Char"/>
    <w:basedOn w:val="1"/>
    <w:autoRedefine/>
    <w:qFormat/>
    <w:uiPriority w:val="0"/>
    <w:rPr>
      <w:rFonts w:ascii="仿宋_GB2312" w:eastAsia="仿宋_GB2312"/>
      <w:b/>
      <w:sz w:val="32"/>
      <w:szCs w:val="32"/>
    </w:rPr>
  </w:style>
  <w:style w:type="paragraph" w:customStyle="1" w:styleId="26">
    <w:name w:val="样式 (西文) 宋体 行距: 1.5 倍行距"/>
    <w:basedOn w:val="1"/>
    <w:autoRedefine/>
    <w:qFormat/>
    <w:uiPriority w:val="0"/>
    <w:pPr>
      <w:spacing w:line="360" w:lineRule="auto"/>
    </w:pPr>
    <w:rPr>
      <w:rFonts w:ascii="宋体" w:hAnsi="宋体" w:cs="宋体"/>
    </w:rPr>
  </w:style>
  <w:style w:type="character" w:customStyle="1" w:styleId="27">
    <w:name w:val="页眉 Char"/>
    <w:basedOn w:val="18"/>
    <w:link w:val="13"/>
    <w:autoRedefine/>
    <w:qFormat/>
    <w:uiPriority w:val="0"/>
    <w:rPr>
      <w:kern w:val="2"/>
      <w:sz w:val="18"/>
      <w:szCs w:val="18"/>
    </w:rPr>
  </w:style>
  <w:style w:type="character" w:customStyle="1" w:styleId="28">
    <w:name w:val="页脚 Char"/>
    <w:basedOn w:val="18"/>
    <w:link w:val="12"/>
    <w:autoRedefine/>
    <w:qFormat/>
    <w:uiPriority w:val="99"/>
    <w:rPr>
      <w:kern w:val="2"/>
      <w:sz w:val="18"/>
      <w:szCs w:val="18"/>
    </w:rPr>
  </w:style>
  <w:style w:type="character" w:customStyle="1" w:styleId="29">
    <w:name w:val="标题 2 Char"/>
    <w:basedOn w:val="18"/>
    <w:link w:val="3"/>
    <w:autoRedefine/>
    <w:semiHidden/>
    <w:qFormat/>
    <w:uiPriority w:val="0"/>
    <w:rPr>
      <w:rFonts w:asciiTheme="majorHAnsi" w:hAnsiTheme="majorHAnsi" w:eastAsiaTheme="majorEastAsia" w:cstheme="majorBidi"/>
      <w:b/>
      <w:bCs/>
      <w:kern w:val="2"/>
      <w:sz w:val="32"/>
      <w:szCs w:val="32"/>
    </w:rPr>
  </w:style>
  <w:style w:type="paragraph" w:customStyle="1" w:styleId="30">
    <w:name w:val="List Paragraph"/>
    <w:basedOn w:val="1"/>
    <w:autoRedefine/>
    <w:qFormat/>
    <w:uiPriority w:val="34"/>
    <w:pPr>
      <w:ind w:firstLine="420" w:firstLineChars="200"/>
    </w:pPr>
    <w:rPr>
      <w:rFonts w:ascii="Calibri" w:hAnsi="Calibri"/>
      <w:szCs w:val="22"/>
    </w:rPr>
  </w:style>
  <w:style w:type="character" w:customStyle="1" w:styleId="31">
    <w:name w:val="标题 1 Char"/>
    <w:basedOn w:val="18"/>
    <w:link w:val="2"/>
    <w:autoRedefine/>
    <w:qFormat/>
    <w:uiPriority w:val="0"/>
    <w:rPr>
      <w:b/>
      <w:bCs/>
      <w:kern w:val="44"/>
      <w:sz w:val="44"/>
      <w:szCs w:val="44"/>
    </w:rPr>
  </w:style>
  <w:style w:type="paragraph" w:customStyle="1" w:styleId="32">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3">
    <w:name w:val="_Style 1"/>
    <w:basedOn w:val="1"/>
    <w:autoRedefine/>
    <w:qFormat/>
    <w:uiPriority w:val="34"/>
    <w:pPr>
      <w:ind w:firstLine="420" w:firstLineChars="200"/>
    </w:pPr>
  </w:style>
  <w:style w:type="paragraph" w:customStyle="1" w:styleId="34">
    <w:name w:val="样式3"/>
    <w:basedOn w:val="1"/>
    <w:autoRedefine/>
    <w:qFormat/>
    <w:uiPriority w:val="0"/>
    <w:pPr>
      <w:spacing w:line="0" w:lineRule="atLeast"/>
      <w:outlineLvl w:val="0"/>
    </w:pPr>
    <w:rPr>
      <w:rFonts w:ascii="宋体" w:hAnsi="Courier New"/>
      <w:sz w:val="28"/>
      <w:szCs w:val="24"/>
    </w:rPr>
  </w:style>
  <w:style w:type="paragraph" w:customStyle="1" w:styleId="35">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6">
    <w:name w:val="招标文件样式2"/>
    <w:basedOn w:val="1"/>
    <w:autoRedefine/>
    <w:qFormat/>
    <w:uiPriority w:val="99"/>
    <w:pPr>
      <w:jc w:val="center"/>
      <w:outlineLvl w:val="0"/>
    </w:pPr>
    <w:rPr>
      <w:rFonts w:ascii="宋体" w:hAnsi="宋体"/>
      <w:b/>
      <w:sz w:val="28"/>
      <w:szCs w:val="28"/>
    </w:rPr>
  </w:style>
  <w:style w:type="paragraph" w:customStyle="1" w:styleId="37">
    <w:name w:val="列出段落1"/>
    <w:basedOn w:val="1"/>
    <w:autoRedefine/>
    <w:qFormat/>
    <w:uiPriority w:val="99"/>
    <w:pPr>
      <w:ind w:firstLine="420" w:firstLineChars="200"/>
    </w:pPr>
  </w:style>
  <w:style w:type="paragraph" w:customStyle="1" w:styleId="38">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9">
    <w:name w:val="List Paragraph1"/>
    <w:basedOn w:val="1"/>
    <w:autoRedefine/>
    <w:qFormat/>
    <w:uiPriority w:val="99"/>
    <w:pPr>
      <w:ind w:firstLine="420" w:firstLineChars="200"/>
    </w:pPr>
  </w:style>
  <w:style w:type="paragraph" w:customStyle="1" w:styleId="40">
    <w:name w:val="msolistparagraph"/>
    <w:basedOn w:val="1"/>
    <w:autoRedefine/>
    <w:qFormat/>
    <w:uiPriority w:val="0"/>
    <w:pPr>
      <w:adjustRightInd w:val="0"/>
      <w:snapToGrid w:val="0"/>
      <w:ind w:firstLine="420" w:firstLineChars="200"/>
    </w:pPr>
    <w:rPr>
      <w:sz w:val="28"/>
      <w:szCs w:val="24"/>
    </w:rPr>
  </w:style>
  <w:style w:type="character" w:customStyle="1" w:styleId="41">
    <w:name w:val="font31"/>
    <w:basedOn w:val="18"/>
    <w:autoRedefine/>
    <w:qFormat/>
    <w:uiPriority w:val="0"/>
    <w:rPr>
      <w:rFonts w:hint="eastAsia" w:ascii="宋体" w:hAnsi="宋体" w:eastAsia="宋体" w:cs="Times New Roman"/>
      <w:color w:val="000000"/>
      <w:sz w:val="20"/>
      <w:szCs w:val="20"/>
      <w:u w:val="none"/>
    </w:rPr>
  </w:style>
  <w:style w:type="character" w:customStyle="1" w:styleId="42">
    <w:name w:val="font21"/>
    <w:basedOn w:val="18"/>
    <w:autoRedefine/>
    <w:qFormat/>
    <w:uiPriority w:val="0"/>
    <w:rPr>
      <w:rFonts w:hint="eastAsia" w:ascii="宋体" w:hAnsi="宋体" w:eastAsia="宋体" w:cs="宋体"/>
      <w:color w:val="000000"/>
      <w:sz w:val="18"/>
      <w:szCs w:val="18"/>
      <w:u w:val="none"/>
    </w:rPr>
  </w:style>
  <w:style w:type="paragraph" w:customStyle="1" w:styleId="43">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4">
    <w:name w:val="Table Text"/>
    <w:basedOn w:val="1"/>
    <w:semiHidden/>
    <w:qFormat/>
    <w:uiPriority w:val="0"/>
    <w:rPr>
      <w:rFonts w:ascii="宋体" w:hAnsi="宋体" w:eastAsia="宋体" w:cs="宋体"/>
      <w:sz w:val="21"/>
      <w:szCs w:val="21"/>
      <w:lang w:val="en-US" w:eastAsia="en-US" w:bidi="ar-SA"/>
    </w:rPr>
  </w:style>
  <w:style w:type="paragraph" w:customStyle="1" w:styleId="4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46">
    <w:name w:val="标题1"/>
    <w:qFormat/>
    <w:uiPriority w:val="0"/>
  </w:style>
  <w:style w:type="paragraph" w:customStyle="1" w:styleId="47">
    <w:name w:val="称呼1"/>
    <w:basedOn w:val="1"/>
    <w:next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6393</Words>
  <Characters>6526</Characters>
  <Lines>48</Lines>
  <Paragraphs>13</Paragraphs>
  <TotalTime>44</TotalTime>
  <ScaleCrop>false</ScaleCrop>
  <LinksUpToDate>false</LinksUpToDate>
  <CharactersWithSpaces>7184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乐乐</cp:lastModifiedBy>
  <cp:lastPrinted>2024-09-11T08:19:00Z</cp:lastPrinted>
  <dcterms:modified xsi:type="dcterms:W3CDTF">2026-06-28T13:28:52Z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C8B659A2A3F048F59429DBA301B568F5_13</vt:lpwstr>
  </property>
  <property fmtid="{D5CDD505-2E9C-101B-9397-08002B2CF9AE}" pid="4" name="KSOTemplateDocerSaveRecord">
    <vt:lpwstr>eyJoZGlkIjoiYmQyMzEwZDg0NDc1ZTBhYzYyYWY0NjAzMTllZmQ3Y2EiLCJ1c2VySWQiOiI0MTA5ODU3OTQifQ==</vt:lpwstr>
  </property>
</Properties>
</file>